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0256" w14:textId="649CD1BE" w:rsidR="00086656" w:rsidRDefault="00B0424C" w:rsidP="0040708A">
      <w:pPr>
        <w:pStyle w:val="Heading1"/>
      </w:pPr>
      <w:r>
        <w:t>S</w:t>
      </w:r>
      <w:r w:rsidR="00DE2C23">
        <w:t>cope and sequence</w:t>
      </w:r>
      <w:r>
        <w:t xml:space="preserve"> evaluation tool</w:t>
      </w:r>
    </w:p>
    <w:p w14:paraId="5AC85CDE" w14:textId="58F84613" w:rsidR="00D05294" w:rsidRDefault="75D820B8" w:rsidP="002A3D66">
      <w:r>
        <w:t xml:space="preserve">Key </w:t>
      </w:r>
      <w:r w:rsidR="002A3D66">
        <w:t>l</w:t>
      </w:r>
      <w:r>
        <w:t xml:space="preserve">earning </w:t>
      </w:r>
      <w:r w:rsidR="002A3D66">
        <w:t>a</w:t>
      </w:r>
      <w:r>
        <w:t xml:space="preserve">rea: </w:t>
      </w:r>
      <w:r>
        <w:br/>
        <w:t xml:space="preserve">Stage: </w:t>
      </w:r>
      <w:r>
        <w:br/>
        <w:t xml:space="preserve">Evaluated by: </w:t>
      </w:r>
    </w:p>
    <w:p w14:paraId="2018EE47" w14:textId="1DD1A1D9" w:rsidR="00D05294" w:rsidRDefault="00D05294" w:rsidP="00D05294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Evaluation </w:t>
      </w:r>
      <w:r w:rsidR="00B0424C">
        <w:t>by</w:t>
      </w:r>
      <w:r>
        <w:t xml:space="preserve"> criterion</w:t>
      </w:r>
    </w:p>
    <w:tbl>
      <w:tblPr>
        <w:tblStyle w:val="Tableheader"/>
        <w:tblW w:w="0" w:type="auto"/>
        <w:tblLook w:val="0420" w:firstRow="1" w:lastRow="0" w:firstColumn="0" w:lastColumn="0" w:noHBand="0" w:noVBand="1"/>
        <w:tblDescription w:val="Table to complete when evaluating a scope and sequence."/>
      </w:tblPr>
      <w:tblGrid>
        <w:gridCol w:w="4673"/>
        <w:gridCol w:w="2835"/>
        <w:gridCol w:w="3260"/>
        <w:gridCol w:w="3420"/>
      </w:tblGrid>
      <w:tr w:rsidR="0023429F" w:rsidRPr="007B6B2F" w14:paraId="183E4094" w14:textId="77777777" w:rsidTr="004070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3" w:type="dxa"/>
          </w:tcPr>
          <w:p w14:paraId="0A33D4AE" w14:textId="77777777" w:rsidR="0023429F" w:rsidRPr="007B6B2F" w:rsidRDefault="0023429F" w:rsidP="00EB6F59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Criterion</w:t>
            </w:r>
          </w:p>
        </w:tc>
        <w:tc>
          <w:tcPr>
            <w:tcW w:w="2835" w:type="dxa"/>
          </w:tcPr>
          <w:p w14:paraId="0172C645" w14:textId="457D4E9E" w:rsidR="0023429F" w:rsidRPr="007B6B2F" w:rsidRDefault="0023429F" w:rsidP="00EB6F59">
            <w:pPr>
              <w:rPr>
                <w:lang w:eastAsia="zh-CN"/>
              </w:rPr>
            </w:pPr>
            <w:r>
              <w:rPr>
                <w:lang w:eastAsia="zh-CN"/>
              </w:rPr>
              <w:t>Rating (strength or area for improvement)</w:t>
            </w:r>
          </w:p>
        </w:tc>
        <w:tc>
          <w:tcPr>
            <w:tcW w:w="3260" w:type="dxa"/>
          </w:tcPr>
          <w:p w14:paraId="2B2CFB3E" w14:textId="77777777" w:rsidR="0023429F" w:rsidRPr="007B6B2F" w:rsidRDefault="0023429F" w:rsidP="00EB6F59">
            <w:pPr>
              <w:rPr>
                <w:lang w:eastAsia="zh-CN"/>
              </w:rPr>
            </w:pPr>
            <w:r>
              <w:rPr>
                <w:lang w:eastAsia="zh-CN"/>
              </w:rPr>
              <w:t>Explanation of rating</w:t>
            </w:r>
          </w:p>
        </w:tc>
        <w:tc>
          <w:tcPr>
            <w:tcW w:w="3420" w:type="dxa"/>
          </w:tcPr>
          <w:p w14:paraId="0EE2CFAE" w14:textId="622D49CF" w:rsidR="0023429F" w:rsidRDefault="0023429F" w:rsidP="00EB6F59">
            <w:pPr>
              <w:rPr>
                <w:lang w:eastAsia="zh-CN"/>
              </w:rPr>
            </w:pPr>
            <w:r>
              <w:rPr>
                <w:lang w:eastAsia="zh-CN"/>
              </w:rPr>
              <w:t>Suggested action</w:t>
            </w:r>
          </w:p>
        </w:tc>
      </w:tr>
      <w:tr w:rsidR="0023429F" w:rsidRPr="00F5467A" w14:paraId="6AF648A1" w14:textId="77777777" w:rsidTr="0040708A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3" w:type="dxa"/>
          </w:tcPr>
          <w:p w14:paraId="274031E1" w14:textId="56D632AE" w:rsidR="0023429F" w:rsidRPr="00F5467A" w:rsidRDefault="00B64B5A" w:rsidP="00EB6F59">
            <w:r>
              <w:rPr>
                <w:lang w:eastAsia="zh-CN"/>
              </w:rPr>
              <w:t>Explicitly addresses all outcomes for the stage</w:t>
            </w:r>
            <w:r>
              <w:t xml:space="preserve"> </w:t>
            </w:r>
          </w:p>
        </w:tc>
        <w:tc>
          <w:tcPr>
            <w:tcW w:w="2835" w:type="dxa"/>
          </w:tcPr>
          <w:p w14:paraId="240B4048" w14:textId="72366158" w:rsidR="0023429F" w:rsidRPr="00450BCA" w:rsidRDefault="0023429F" w:rsidP="00450BCA">
            <w:pPr>
              <w:ind w:left="-19"/>
            </w:pPr>
          </w:p>
        </w:tc>
        <w:tc>
          <w:tcPr>
            <w:tcW w:w="3260" w:type="dxa"/>
          </w:tcPr>
          <w:p w14:paraId="5EADDED3" w14:textId="6C9C23C9" w:rsidR="0023429F" w:rsidRPr="00F5467A" w:rsidRDefault="0023429F" w:rsidP="00EB6F59"/>
        </w:tc>
        <w:tc>
          <w:tcPr>
            <w:tcW w:w="3420" w:type="dxa"/>
          </w:tcPr>
          <w:p w14:paraId="4C5DB40F" w14:textId="77777777" w:rsidR="0023429F" w:rsidRPr="00F5467A" w:rsidRDefault="0023429F" w:rsidP="00EB6F59"/>
        </w:tc>
      </w:tr>
      <w:tr w:rsidR="0023429F" w14:paraId="4DBC0354" w14:textId="77777777" w:rsidTr="0040708A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73" w:type="dxa"/>
          </w:tcPr>
          <w:p w14:paraId="054D4998" w14:textId="72632F06" w:rsidR="0023429F" w:rsidRDefault="00B64B5A" w:rsidP="00DE2C23">
            <w:pPr>
              <w:rPr>
                <w:lang w:eastAsia="zh-CN"/>
              </w:rPr>
            </w:pPr>
            <w:r>
              <w:t>Represents a logical sequence of learning that meets syllabus requirements</w:t>
            </w:r>
          </w:p>
        </w:tc>
        <w:tc>
          <w:tcPr>
            <w:tcW w:w="2835" w:type="dxa"/>
          </w:tcPr>
          <w:p w14:paraId="6A8C2367" w14:textId="7BADA722" w:rsidR="0023429F" w:rsidRPr="00450BCA" w:rsidRDefault="0023429F" w:rsidP="00450BCA">
            <w:pPr>
              <w:ind w:left="-19"/>
            </w:pPr>
          </w:p>
        </w:tc>
        <w:tc>
          <w:tcPr>
            <w:tcW w:w="3260" w:type="dxa"/>
          </w:tcPr>
          <w:p w14:paraId="1D371B62" w14:textId="77777777" w:rsidR="0023429F" w:rsidRDefault="0023429F" w:rsidP="00DE2C23">
            <w:pPr>
              <w:rPr>
                <w:lang w:eastAsia="zh-CN"/>
              </w:rPr>
            </w:pPr>
          </w:p>
        </w:tc>
        <w:tc>
          <w:tcPr>
            <w:tcW w:w="3420" w:type="dxa"/>
          </w:tcPr>
          <w:p w14:paraId="1DAC06F4" w14:textId="77777777" w:rsidR="0023429F" w:rsidRDefault="0023429F" w:rsidP="00DE2C23">
            <w:pPr>
              <w:rPr>
                <w:lang w:eastAsia="zh-CN"/>
              </w:rPr>
            </w:pPr>
          </w:p>
        </w:tc>
      </w:tr>
      <w:tr w:rsidR="0023429F" w14:paraId="1A86E9FC" w14:textId="77777777" w:rsidTr="0040708A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3" w:type="dxa"/>
          </w:tcPr>
          <w:p w14:paraId="40D87F90" w14:textId="279B060D" w:rsidR="0023429F" w:rsidRDefault="0023429F" w:rsidP="00DE2C23">
            <w:pPr>
              <w:rPr>
                <w:lang w:eastAsia="zh-CN"/>
              </w:rPr>
            </w:pPr>
            <w:r w:rsidRPr="24CFEE68">
              <w:rPr>
                <w:lang w:eastAsia="zh-CN"/>
              </w:rPr>
              <w:t>Identifies assessment tasks and when they occur in the sequence of learning</w:t>
            </w:r>
          </w:p>
        </w:tc>
        <w:tc>
          <w:tcPr>
            <w:tcW w:w="2835" w:type="dxa"/>
          </w:tcPr>
          <w:p w14:paraId="130EFDB2" w14:textId="3F855B42" w:rsidR="0023429F" w:rsidRPr="00450BCA" w:rsidRDefault="0023429F" w:rsidP="00450BCA">
            <w:pPr>
              <w:ind w:left="-19"/>
            </w:pPr>
          </w:p>
        </w:tc>
        <w:tc>
          <w:tcPr>
            <w:tcW w:w="3260" w:type="dxa"/>
          </w:tcPr>
          <w:p w14:paraId="4127634A" w14:textId="77777777" w:rsidR="0023429F" w:rsidRDefault="0023429F" w:rsidP="00DE2C23">
            <w:pPr>
              <w:rPr>
                <w:lang w:eastAsia="zh-CN"/>
              </w:rPr>
            </w:pPr>
          </w:p>
        </w:tc>
        <w:tc>
          <w:tcPr>
            <w:tcW w:w="3420" w:type="dxa"/>
          </w:tcPr>
          <w:p w14:paraId="13962EAD" w14:textId="77777777" w:rsidR="0023429F" w:rsidRDefault="0023429F" w:rsidP="00DE2C23">
            <w:pPr>
              <w:rPr>
                <w:lang w:eastAsia="zh-CN"/>
              </w:rPr>
            </w:pPr>
          </w:p>
        </w:tc>
      </w:tr>
      <w:tr w:rsidR="0023429F" w14:paraId="0D9F6B96" w14:textId="77777777" w:rsidTr="0040708A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73" w:type="dxa"/>
          </w:tcPr>
          <w:p w14:paraId="44CB2012" w14:textId="503C419E" w:rsidR="0023429F" w:rsidRDefault="0023429F" w:rsidP="00DE2C23">
            <w:pPr>
              <w:rPr>
                <w:lang w:eastAsia="zh-CN"/>
              </w:rPr>
            </w:pPr>
            <w:r w:rsidRPr="58B8A698">
              <w:rPr>
                <w:lang w:eastAsia="zh-CN"/>
              </w:rPr>
              <w:t>Reflects the needs, interests</w:t>
            </w:r>
            <w:r w:rsidR="00D164A1">
              <w:rPr>
                <w:lang w:eastAsia="zh-CN"/>
              </w:rPr>
              <w:t>,</w:t>
            </w:r>
            <w:r w:rsidRPr="58B8A698">
              <w:rPr>
                <w:lang w:eastAsia="zh-CN"/>
              </w:rPr>
              <w:t xml:space="preserve"> and abilities of </w:t>
            </w:r>
            <w:r w:rsidRPr="58B8A698">
              <w:rPr>
                <w:b/>
                <w:bCs/>
                <w:lang w:eastAsia="zh-CN"/>
              </w:rPr>
              <w:t>all</w:t>
            </w:r>
            <w:r w:rsidRPr="58B8A698">
              <w:rPr>
                <w:lang w:eastAsia="zh-CN"/>
              </w:rPr>
              <w:t xml:space="preserve"> students</w:t>
            </w:r>
          </w:p>
        </w:tc>
        <w:tc>
          <w:tcPr>
            <w:tcW w:w="2835" w:type="dxa"/>
          </w:tcPr>
          <w:p w14:paraId="165251AF" w14:textId="1BDCEB41" w:rsidR="0023429F" w:rsidRPr="00450BCA" w:rsidRDefault="0023429F" w:rsidP="00450BCA">
            <w:pPr>
              <w:ind w:left="-19"/>
            </w:pPr>
          </w:p>
        </w:tc>
        <w:tc>
          <w:tcPr>
            <w:tcW w:w="3260" w:type="dxa"/>
          </w:tcPr>
          <w:p w14:paraId="6F1462AA" w14:textId="77777777" w:rsidR="0023429F" w:rsidRDefault="0023429F" w:rsidP="00DE2C23">
            <w:pPr>
              <w:rPr>
                <w:lang w:eastAsia="zh-CN"/>
              </w:rPr>
            </w:pPr>
          </w:p>
        </w:tc>
        <w:tc>
          <w:tcPr>
            <w:tcW w:w="3420" w:type="dxa"/>
          </w:tcPr>
          <w:p w14:paraId="47627895" w14:textId="77777777" w:rsidR="0023429F" w:rsidRDefault="0023429F" w:rsidP="00DE2C23">
            <w:pPr>
              <w:rPr>
                <w:lang w:eastAsia="zh-CN"/>
              </w:rPr>
            </w:pPr>
          </w:p>
        </w:tc>
      </w:tr>
      <w:tr w:rsidR="0023429F" w14:paraId="0C8D9C6A" w14:textId="77777777" w:rsidTr="0040708A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3" w:type="dxa"/>
          </w:tcPr>
          <w:p w14:paraId="37EF0D1E" w14:textId="299B88B8" w:rsidR="0023429F" w:rsidRDefault="0023429F" w:rsidP="00DE2C23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Identifies the </w:t>
            </w:r>
            <w:r w:rsidR="00B64B5A">
              <w:rPr>
                <w:lang w:eastAsia="zh-CN"/>
              </w:rPr>
              <w:t>knowledge,</w:t>
            </w:r>
            <w:r>
              <w:rPr>
                <w:lang w:eastAsia="zh-CN"/>
              </w:rPr>
              <w:t xml:space="preserve"> skills</w:t>
            </w:r>
            <w:r w:rsidR="00122C85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r w:rsidR="00B64B5A">
              <w:rPr>
                <w:lang w:eastAsia="zh-CN"/>
              </w:rPr>
              <w:t xml:space="preserve">and understandings </w:t>
            </w:r>
            <w:r>
              <w:rPr>
                <w:lang w:eastAsia="zh-CN"/>
              </w:rPr>
              <w:t>as well as the content focus of each unit of work</w:t>
            </w:r>
          </w:p>
        </w:tc>
        <w:tc>
          <w:tcPr>
            <w:tcW w:w="2835" w:type="dxa"/>
          </w:tcPr>
          <w:p w14:paraId="1EADA760" w14:textId="0BBF3A2E" w:rsidR="0023429F" w:rsidRPr="00450BCA" w:rsidRDefault="0023429F" w:rsidP="00450BCA">
            <w:pPr>
              <w:ind w:left="-19"/>
            </w:pPr>
          </w:p>
        </w:tc>
        <w:tc>
          <w:tcPr>
            <w:tcW w:w="3260" w:type="dxa"/>
          </w:tcPr>
          <w:p w14:paraId="06FADCDA" w14:textId="77777777" w:rsidR="0023429F" w:rsidRDefault="0023429F" w:rsidP="00DE2C23">
            <w:pPr>
              <w:rPr>
                <w:lang w:eastAsia="zh-CN"/>
              </w:rPr>
            </w:pPr>
          </w:p>
        </w:tc>
        <w:tc>
          <w:tcPr>
            <w:tcW w:w="3420" w:type="dxa"/>
          </w:tcPr>
          <w:p w14:paraId="76674E93" w14:textId="77777777" w:rsidR="0023429F" w:rsidRDefault="0023429F" w:rsidP="00DE2C23">
            <w:pPr>
              <w:rPr>
                <w:lang w:eastAsia="zh-CN"/>
              </w:rPr>
            </w:pPr>
          </w:p>
        </w:tc>
      </w:tr>
      <w:tr w:rsidR="0023429F" w14:paraId="5EA027B8" w14:textId="77777777" w:rsidTr="0040708A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73" w:type="dxa"/>
          </w:tcPr>
          <w:p w14:paraId="2FB64CC6" w14:textId="0982D126" w:rsidR="0023429F" w:rsidRPr="00AD71C2" w:rsidRDefault="00AD71C2" w:rsidP="00AD71C2">
            <w:r w:rsidRPr="00AD71C2">
              <w:t>Provides opportunities to reinforce and build upon prior student learning by revisiting outcomes over the stage or year </w:t>
            </w:r>
          </w:p>
        </w:tc>
        <w:tc>
          <w:tcPr>
            <w:tcW w:w="2835" w:type="dxa"/>
          </w:tcPr>
          <w:p w14:paraId="0944F7FE" w14:textId="36D280AE" w:rsidR="0023429F" w:rsidRPr="00450BCA" w:rsidRDefault="0023429F" w:rsidP="00450BCA">
            <w:pPr>
              <w:ind w:left="-19"/>
            </w:pPr>
          </w:p>
        </w:tc>
        <w:tc>
          <w:tcPr>
            <w:tcW w:w="3260" w:type="dxa"/>
          </w:tcPr>
          <w:p w14:paraId="35EA82CC" w14:textId="77777777" w:rsidR="0023429F" w:rsidRDefault="0023429F" w:rsidP="00DE2C23">
            <w:pPr>
              <w:rPr>
                <w:lang w:eastAsia="zh-CN"/>
              </w:rPr>
            </w:pPr>
          </w:p>
        </w:tc>
        <w:tc>
          <w:tcPr>
            <w:tcW w:w="3420" w:type="dxa"/>
          </w:tcPr>
          <w:p w14:paraId="14AE76AF" w14:textId="77777777" w:rsidR="0023429F" w:rsidRDefault="0023429F" w:rsidP="00DE2C23">
            <w:pPr>
              <w:rPr>
                <w:lang w:eastAsia="zh-CN"/>
              </w:rPr>
            </w:pPr>
          </w:p>
        </w:tc>
      </w:tr>
      <w:tr w:rsidR="0023429F" w14:paraId="1BEFABB7" w14:textId="77777777" w:rsidTr="0040708A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3" w:type="dxa"/>
          </w:tcPr>
          <w:p w14:paraId="4120A04D" w14:textId="36034FF8" w:rsidR="0023429F" w:rsidRDefault="0023429F" w:rsidP="00DE2C2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Allows for </w:t>
            </w:r>
            <w:r w:rsidR="00B64B5A">
              <w:rPr>
                <w:lang w:eastAsia="zh-CN"/>
              </w:rPr>
              <w:t>flexible timeframes for the delivery of content and</w:t>
            </w:r>
            <w:r>
              <w:rPr>
                <w:lang w:eastAsia="zh-CN"/>
              </w:rPr>
              <w:t xml:space="preserve"> works around school-based events</w:t>
            </w:r>
          </w:p>
        </w:tc>
        <w:tc>
          <w:tcPr>
            <w:tcW w:w="2835" w:type="dxa"/>
          </w:tcPr>
          <w:p w14:paraId="2A5235EB" w14:textId="102FACA9" w:rsidR="0023429F" w:rsidRPr="00450BCA" w:rsidRDefault="0023429F" w:rsidP="00450BCA">
            <w:pPr>
              <w:ind w:left="-19"/>
            </w:pPr>
          </w:p>
        </w:tc>
        <w:tc>
          <w:tcPr>
            <w:tcW w:w="3260" w:type="dxa"/>
          </w:tcPr>
          <w:p w14:paraId="2EEB3A9C" w14:textId="77777777" w:rsidR="0023429F" w:rsidRDefault="0023429F" w:rsidP="00DE2C23">
            <w:pPr>
              <w:rPr>
                <w:lang w:eastAsia="zh-CN"/>
              </w:rPr>
            </w:pPr>
          </w:p>
        </w:tc>
        <w:tc>
          <w:tcPr>
            <w:tcW w:w="3420" w:type="dxa"/>
          </w:tcPr>
          <w:p w14:paraId="540EFCAB" w14:textId="77777777" w:rsidR="0023429F" w:rsidRDefault="0023429F" w:rsidP="00DE2C23">
            <w:pPr>
              <w:rPr>
                <w:lang w:eastAsia="zh-CN"/>
              </w:rPr>
            </w:pPr>
          </w:p>
        </w:tc>
      </w:tr>
      <w:tr w:rsidR="0023429F" w14:paraId="21DE4612" w14:textId="77777777" w:rsidTr="0040708A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73" w:type="dxa"/>
          </w:tcPr>
          <w:p w14:paraId="549B56C8" w14:textId="6F0BB0DE" w:rsidR="0023429F" w:rsidRDefault="00122C85" w:rsidP="00DE2C2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Allows flexibility </w:t>
            </w:r>
            <w:r w:rsidR="0023429F">
              <w:rPr>
                <w:lang w:eastAsia="zh-CN"/>
              </w:rPr>
              <w:t>to ensure equitable access to resources</w:t>
            </w:r>
          </w:p>
        </w:tc>
        <w:tc>
          <w:tcPr>
            <w:tcW w:w="2835" w:type="dxa"/>
          </w:tcPr>
          <w:p w14:paraId="1E766578" w14:textId="788021CF" w:rsidR="0023429F" w:rsidRPr="00450BCA" w:rsidRDefault="0023429F" w:rsidP="00450BCA">
            <w:pPr>
              <w:ind w:left="-19"/>
            </w:pPr>
          </w:p>
        </w:tc>
        <w:tc>
          <w:tcPr>
            <w:tcW w:w="3260" w:type="dxa"/>
          </w:tcPr>
          <w:p w14:paraId="3F1F7EDE" w14:textId="77777777" w:rsidR="0023429F" w:rsidRDefault="0023429F" w:rsidP="00DE2C23">
            <w:pPr>
              <w:rPr>
                <w:lang w:eastAsia="zh-CN"/>
              </w:rPr>
            </w:pPr>
          </w:p>
        </w:tc>
        <w:tc>
          <w:tcPr>
            <w:tcW w:w="3420" w:type="dxa"/>
          </w:tcPr>
          <w:p w14:paraId="4441A566" w14:textId="77777777" w:rsidR="0023429F" w:rsidRDefault="0023429F" w:rsidP="00DE2C23">
            <w:pPr>
              <w:rPr>
                <w:lang w:eastAsia="zh-CN"/>
              </w:rPr>
            </w:pPr>
          </w:p>
        </w:tc>
      </w:tr>
      <w:tr w:rsidR="0023429F" w14:paraId="4B3C4EA7" w14:textId="77777777" w:rsidTr="0040708A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3" w:type="dxa"/>
          </w:tcPr>
          <w:p w14:paraId="6732EF49" w14:textId="65EA26E2" w:rsidR="0023429F" w:rsidRDefault="0023429F" w:rsidP="00D05294">
            <w:pPr>
              <w:rPr>
                <w:lang w:eastAsia="zh-CN"/>
              </w:rPr>
            </w:pPr>
            <w:r w:rsidRPr="4BA800DA">
              <w:rPr>
                <w:lang w:eastAsia="zh-CN"/>
              </w:rPr>
              <w:t>Coordinates with scope and sequences for other key learning areas</w:t>
            </w:r>
          </w:p>
        </w:tc>
        <w:tc>
          <w:tcPr>
            <w:tcW w:w="2835" w:type="dxa"/>
          </w:tcPr>
          <w:p w14:paraId="725E8837" w14:textId="3C5A49A7" w:rsidR="0023429F" w:rsidRPr="00450BCA" w:rsidRDefault="0023429F" w:rsidP="00D05294">
            <w:pPr>
              <w:ind w:left="-19"/>
            </w:pPr>
          </w:p>
        </w:tc>
        <w:tc>
          <w:tcPr>
            <w:tcW w:w="3260" w:type="dxa"/>
          </w:tcPr>
          <w:p w14:paraId="2F9C897D" w14:textId="77777777" w:rsidR="0023429F" w:rsidRDefault="0023429F" w:rsidP="00D05294">
            <w:pPr>
              <w:rPr>
                <w:lang w:eastAsia="zh-CN"/>
              </w:rPr>
            </w:pPr>
          </w:p>
        </w:tc>
        <w:tc>
          <w:tcPr>
            <w:tcW w:w="3420" w:type="dxa"/>
          </w:tcPr>
          <w:p w14:paraId="4A00132D" w14:textId="77777777" w:rsidR="0023429F" w:rsidRDefault="0023429F" w:rsidP="00D05294">
            <w:pPr>
              <w:rPr>
                <w:lang w:eastAsia="zh-CN"/>
              </w:rPr>
            </w:pPr>
          </w:p>
        </w:tc>
      </w:tr>
    </w:tbl>
    <w:p w14:paraId="60D2ADBE" w14:textId="735FDA71" w:rsidR="003D22E3" w:rsidRPr="003D22E3" w:rsidRDefault="003D22E3" w:rsidP="00D05294"/>
    <w:sectPr w:rsidR="003D22E3" w:rsidRPr="003D22E3" w:rsidSect="00593783"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D9AE2" w14:textId="77777777" w:rsidR="00F85BC6" w:rsidRDefault="00F85BC6" w:rsidP="00191F45">
      <w:r>
        <w:separator/>
      </w:r>
    </w:p>
    <w:p w14:paraId="26BBBA80" w14:textId="77777777" w:rsidR="00F85BC6" w:rsidRDefault="00F85BC6"/>
    <w:p w14:paraId="0AEE97A5" w14:textId="77777777" w:rsidR="00F85BC6" w:rsidRDefault="00F85BC6"/>
    <w:p w14:paraId="7E3C51EE" w14:textId="77777777" w:rsidR="00F85BC6" w:rsidRDefault="00F85BC6"/>
  </w:endnote>
  <w:endnote w:type="continuationSeparator" w:id="0">
    <w:p w14:paraId="4863F013" w14:textId="77777777" w:rsidR="00F85BC6" w:rsidRDefault="00F85BC6" w:rsidP="00191F45">
      <w:r>
        <w:continuationSeparator/>
      </w:r>
    </w:p>
    <w:p w14:paraId="3CFDE763" w14:textId="77777777" w:rsidR="00F85BC6" w:rsidRDefault="00F85BC6"/>
    <w:p w14:paraId="73A29CAD" w14:textId="77777777" w:rsidR="00F85BC6" w:rsidRDefault="00F85BC6"/>
    <w:p w14:paraId="40617F46" w14:textId="77777777" w:rsidR="00F85BC6" w:rsidRDefault="00F85B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64EF0" w14:textId="77777777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DE2C23">
      <w:rPr>
        <w:noProof/>
      </w:rPr>
      <w:t>2</w:t>
    </w:r>
    <w:r w:rsidRPr="002810D3">
      <w:fldChar w:fldCharType="end"/>
    </w:r>
    <w:r w:rsidRPr="002810D3">
      <w:tab/>
    </w:r>
    <w:r>
      <w:t>Replace with name of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A8EE8" w14:textId="7A0E2B4E" w:rsidR="007A3356" w:rsidRPr="004D333E" w:rsidRDefault="004D333E" w:rsidP="0040708A">
    <w:pPr>
      <w:pStyle w:val="Footer"/>
      <w:tabs>
        <w:tab w:val="clear" w:pos="4513"/>
        <w:tab w:val="clear" w:pos="9026"/>
        <w:tab w:val="clear" w:pos="10773"/>
        <w:tab w:val="right" w:pos="14459"/>
      </w:tabs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1F33A9">
      <w:rPr>
        <w:noProof/>
      </w:rPr>
      <w:t>Jun-22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0A0994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BA9A" w14:textId="77777777" w:rsidR="00493120" w:rsidRDefault="4BA800DA" w:rsidP="0040708A">
    <w:pPr>
      <w:pStyle w:val="Logo"/>
      <w:tabs>
        <w:tab w:val="clear" w:pos="10200"/>
        <w:tab w:val="right" w:pos="14601"/>
      </w:tabs>
    </w:pPr>
    <w:r w:rsidRPr="4BA800DA">
      <w:t>education.nsw.gov.au</w:t>
    </w:r>
    <w:r w:rsidR="00493120" w:rsidRPr="00791B72">
      <w:tab/>
    </w:r>
    <w:r w:rsidR="00493120" w:rsidRPr="009C69B7">
      <w:rPr>
        <w:noProof/>
        <w:lang w:eastAsia="en-AU"/>
      </w:rPr>
      <w:drawing>
        <wp:inline distT="0" distB="0" distL="0" distR="0" wp14:anchorId="0437B8BA" wp14:editId="68B6662C">
          <wp:extent cx="507600" cy="540000"/>
          <wp:effectExtent l="0" t="0" r="635" b="6350"/>
          <wp:docPr id="22" name="Picture 22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AC2D9" w14:textId="77777777" w:rsidR="00F85BC6" w:rsidRDefault="00F85BC6" w:rsidP="00191F45">
      <w:r>
        <w:separator/>
      </w:r>
    </w:p>
    <w:p w14:paraId="40F1F8E4" w14:textId="77777777" w:rsidR="00F85BC6" w:rsidRDefault="00F85BC6"/>
    <w:p w14:paraId="1DE618A0" w14:textId="77777777" w:rsidR="00F85BC6" w:rsidRDefault="00F85BC6"/>
    <w:p w14:paraId="1F4B64C7" w14:textId="77777777" w:rsidR="00F85BC6" w:rsidRDefault="00F85BC6"/>
  </w:footnote>
  <w:footnote w:type="continuationSeparator" w:id="0">
    <w:p w14:paraId="24E977FE" w14:textId="77777777" w:rsidR="00F85BC6" w:rsidRDefault="00F85BC6" w:rsidP="00191F45">
      <w:r>
        <w:continuationSeparator/>
      </w:r>
    </w:p>
    <w:p w14:paraId="2BAD1561" w14:textId="77777777" w:rsidR="00F85BC6" w:rsidRDefault="00F85BC6"/>
    <w:p w14:paraId="2A19F65E" w14:textId="77777777" w:rsidR="00F85BC6" w:rsidRDefault="00F85BC6"/>
    <w:p w14:paraId="410D3C9B" w14:textId="77777777" w:rsidR="00F85BC6" w:rsidRDefault="00F85B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DADD0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0"/>
    <w:multiLevelType w:val="multi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1"/>
    <w:multiLevelType w:val="multi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2"/>
    <w:multiLevelType w:val="multi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8"/>
    <w:multiLevelType w:val="multi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C71595F"/>
    <w:multiLevelType w:val="multilevel"/>
    <w:tmpl w:val="1ADA5BD4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2C183F24"/>
    <w:multiLevelType w:val="multilevel"/>
    <w:tmpl w:val="D578FB76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42B84BF1"/>
    <w:multiLevelType w:val="multilevel"/>
    <w:tmpl w:val="0F0A3046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5BE53912"/>
    <w:multiLevelType w:val="multilevel"/>
    <w:tmpl w:val="27FC7202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8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0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2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3" w15:restartNumberingAfterBreak="0">
    <w:nsid w:val="66993DE0"/>
    <w:multiLevelType w:val="multilevel"/>
    <w:tmpl w:val="AC82A0A8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AE73AE6"/>
    <w:multiLevelType w:val="multilevel"/>
    <w:tmpl w:val="59C8D89E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5" w15:restartNumberingAfterBreak="0">
    <w:nsid w:val="7CA059CC"/>
    <w:multiLevelType w:val="hybridMultilevel"/>
    <w:tmpl w:val="4B68280A"/>
    <w:lvl w:ilvl="0" w:tplc="9BD266D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55806">
    <w:abstractNumId w:val="17"/>
  </w:num>
  <w:num w:numId="2" w16cid:durableId="1896968502">
    <w:abstractNumId w:val="14"/>
  </w:num>
  <w:num w:numId="3" w16cid:durableId="1224213948">
    <w:abstractNumId w:val="19"/>
  </w:num>
  <w:num w:numId="4" w16cid:durableId="185532847">
    <w:abstractNumId w:val="21"/>
  </w:num>
  <w:num w:numId="5" w16cid:durableId="12648453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2381361">
    <w:abstractNumId w:val="13"/>
  </w:num>
  <w:num w:numId="7" w16cid:durableId="610943170">
    <w:abstractNumId w:val="22"/>
  </w:num>
  <w:num w:numId="8" w16cid:durableId="1818298714">
    <w:abstractNumId w:val="11"/>
  </w:num>
  <w:num w:numId="9" w16cid:durableId="1579703467">
    <w:abstractNumId w:val="18"/>
  </w:num>
  <w:num w:numId="10" w16cid:durableId="1979453822">
    <w:abstractNumId w:val="9"/>
  </w:num>
  <w:num w:numId="11" w16cid:durableId="2096198170">
    <w:abstractNumId w:val="16"/>
  </w:num>
  <w:num w:numId="12" w16cid:durableId="764301229">
    <w:abstractNumId w:val="6"/>
  </w:num>
  <w:num w:numId="13" w16cid:durableId="864175589">
    <w:abstractNumId w:val="8"/>
  </w:num>
  <w:num w:numId="14" w16cid:durableId="1535457834">
    <w:abstractNumId w:val="0"/>
  </w:num>
  <w:num w:numId="15" w16cid:durableId="1019701176">
    <w:abstractNumId w:val="1"/>
  </w:num>
  <w:num w:numId="16" w16cid:durableId="1834642252">
    <w:abstractNumId w:val="2"/>
  </w:num>
  <w:num w:numId="17" w16cid:durableId="209657474">
    <w:abstractNumId w:val="3"/>
  </w:num>
  <w:num w:numId="18" w16cid:durableId="641741317">
    <w:abstractNumId w:val="4"/>
  </w:num>
  <w:num w:numId="19" w16cid:durableId="1767923797">
    <w:abstractNumId w:val="5"/>
  </w:num>
  <w:num w:numId="20" w16cid:durableId="927466035">
    <w:abstractNumId w:val="7"/>
  </w:num>
  <w:num w:numId="21" w16cid:durableId="457917284">
    <w:abstractNumId w:val="24"/>
  </w:num>
  <w:num w:numId="22" w16cid:durableId="1745176051">
    <w:abstractNumId w:val="20"/>
  </w:num>
  <w:num w:numId="23" w16cid:durableId="780615775">
    <w:abstractNumId w:val="14"/>
  </w:num>
  <w:num w:numId="24" w16cid:durableId="73824223">
    <w:abstractNumId w:val="14"/>
  </w:num>
  <w:num w:numId="25" w16cid:durableId="1467314562">
    <w:abstractNumId w:val="14"/>
  </w:num>
  <w:num w:numId="26" w16cid:durableId="450980812">
    <w:abstractNumId w:val="14"/>
  </w:num>
  <w:num w:numId="27" w16cid:durableId="1578394043">
    <w:abstractNumId w:val="14"/>
  </w:num>
  <w:num w:numId="28" w16cid:durableId="305362170">
    <w:abstractNumId w:val="14"/>
  </w:num>
  <w:num w:numId="29" w16cid:durableId="2034764345">
    <w:abstractNumId w:val="14"/>
  </w:num>
  <w:num w:numId="30" w16cid:durableId="307789760">
    <w:abstractNumId w:val="14"/>
  </w:num>
  <w:num w:numId="31" w16cid:durableId="2079471590">
    <w:abstractNumId w:val="17"/>
  </w:num>
  <w:num w:numId="32" w16cid:durableId="1066223337">
    <w:abstractNumId w:val="24"/>
  </w:num>
  <w:num w:numId="33" w16cid:durableId="1281760871">
    <w:abstractNumId w:val="19"/>
  </w:num>
  <w:num w:numId="34" w16cid:durableId="1642731477">
    <w:abstractNumId w:val="21"/>
  </w:num>
  <w:num w:numId="35" w16cid:durableId="1093891300">
    <w:abstractNumId w:val="25"/>
  </w:num>
  <w:num w:numId="36" w16cid:durableId="436676076">
    <w:abstractNumId w:val="15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37" w16cid:durableId="2083671355">
    <w:abstractNumId w:val="10"/>
  </w:num>
  <w:num w:numId="38" w16cid:durableId="506286606">
    <w:abstractNumId w:val="23"/>
  </w:num>
  <w:num w:numId="39" w16cid:durableId="79390515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gutterAtTop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C23"/>
    <w:rsid w:val="0000031A"/>
    <w:rsid w:val="00001C08"/>
    <w:rsid w:val="00002BF1"/>
    <w:rsid w:val="00006220"/>
    <w:rsid w:val="00006CD7"/>
    <w:rsid w:val="000103FC"/>
    <w:rsid w:val="00010746"/>
    <w:rsid w:val="00013C55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2929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994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16AA"/>
    <w:rsid w:val="000E3C1C"/>
    <w:rsid w:val="000E41B7"/>
    <w:rsid w:val="000E6BA0"/>
    <w:rsid w:val="000F174A"/>
    <w:rsid w:val="000F319B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2C85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3AB"/>
    <w:rsid w:val="0017075C"/>
    <w:rsid w:val="00170CB5"/>
    <w:rsid w:val="00171601"/>
    <w:rsid w:val="00174183"/>
    <w:rsid w:val="00176C65"/>
    <w:rsid w:val="00177D01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597E"/>
    <w:rsid w:val="001B3065"/>
    <w:rsid w:val="001B33C0"/>
    <w:rsid w:val="001B4A46"/>
    <w:rsid w:val="001B5E34"/>
    <w:rsid w:val="001B67C3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33A9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6B98"/>
    <w:rsid w:val="002270CC"/>
    <w:rsid w:val="00227421"/>
    <w:rsid w:val="00227894"/>
    <w:rsid w:val="0022791F"/>
    <w:rsid w:val="00231E53"/>
    <w:rsid w:val="0023429F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3D66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0E8D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094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5548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08A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0BCA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4CEA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3783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B768E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55E7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5ACF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24E32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6C73"/>
    <w:rsid w:val="006B73E5"/>
    <w:rsid w:val="006C00A3"/>
    <w:rsid w:val="006C7AB5"/>
    <w:rsid w:val="006D062E"/>
    <w:rsid w:val="006D0817"/>
    <w:rsid w:val="006D0996"/>
    <w:rsid w:val="006D2405"/>
    <w:rsid w:val="006D2786"/>
    <w:rsid w:val="006D3A0E"/>
    <w:rsid w:val="006D4A39"/>
    <w:rsid w:val="006D53A4"/>
    <w:rsid w:val="006D6748"/>
    <w:rsid w:val="006E08A7"/>
    <w:rsid w:val="006E08C4"/>
    <w:rsid w:val="006E091B"/>
    <w:rsid w:val="006E2552"/>
    <w:rsid w:val="006E40B4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38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053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AFD"/>
    <w:rsid w:val="00832DA5"/>
    <w:rsid w:val="00832F4B"/>
    <w:rsid w:val="00833A2E"/>
    <w:rsid w:val="00833EDF"/>
    <w:rsid w:val="00834038"/>
    <w:rsid w:val="008347D5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237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10B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52BA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C79E4"/>
    <w:rsid w:val="00AD02D3"/>
    <w:rsid w:val="00AD3675"/>
    <w:rsid w:val="00AD56A9"/>
    <w:rsid w:val="00AD69C4"/>
    <w:rsid w:val="00AD6F0C"/>
    <w:rsid w:val="00AD71C2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24C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B5A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27C56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294"/>
    <w:rsid w:val="00D053CE"/>
    <w:rsid w:val="00D055EB"/>
    <w:rsid w:val="00D056FE"/>
    <w:rsid w:val="00D05B56"/>
    <w:rsid w:val="00D05D60"/>
    <w:rsid w:val="00D06C96"/>
    <w:rsid w:val="00D114B2"/>
    <w:rsid w:val="00D121C4"/>
    <w:rsid w:val="00D14274"/>
    <w:rsid w:val="00D15E5B"/>
    <w:rsid w:val="00D164A1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114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2C23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7BA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04F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008C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5BC6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5083F0E"/>
    <w:rsid w:val="0B063802"/>
    <w:rsid w:val="1FF75EE5"/>
    <w:rsid w:val="24CFEE68"/>
    <w:rsid w:val="2880EA4C"/>
    <w:rsid w:val="342A0766"/>
    <w:rsid w:val="3BB16C0A"/>
    <w:rsid w:val="3F90F103"/>
    <w:rsid w:val="4645DCBF"/>
    <w:rsid w:val="4BA800DA"/>
    <w:rsid w:val="58B8A698"/>
    <w:rsid w:val="5ED9C50F"/>
    <w:rsid w:val="75D820B8"/>
    <w:rsid w:val="780F12E8"/>
    <w:rsid w:val="7B3E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99267"/>
  <w14:defaultImageDpi w14:val="32767"/>
  <w15:chartTrackingRefBased/>
  <w15:docId w15:val="{51C21015-9A40-4569-8FEC-6D92960D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24" w:unhideWhenUsed="1" w:qFormat="1"/>
    <w:lsdException w:name="footer" w:semiHidden="1" w:unhideWhenUsed="1" w:qFormat="1"/>
    <w:lsdException w:name="index heading" w:semiHidden="1"/>
    <w:lsdException w:name="caption" w:semiHidden="1" w:uiPriority="35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0" w:qFormat="1"/>
    <w:lsdException w:name="List Number" w:semiHidden="1" w:uiPriority="8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1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9" w:unhideWhenUsed="1" w:qFormat="1"/>
    <w:lsdException w:name="List Number 3" w:semiHidden="1"/>
    <w:lsdException w:name="List Number 4" w:semiHidden="1"/>
    <w:lsdException w:name="List Number 5" w:semiHidden="1"/>
    <w:lsdException w:name="Title" w:uiPriority="2" w:qFormat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uiPriority="31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2F0E8D"/>
    <w:pPr>
      <w:spacing w:before="100" w:after="100" w:line="360" w:lineRule="auto"/>
    </w:pPr>
    <w:rPr>
      <w:rFonts w:ascii="Arial" w:hAnsi="Arial" w:cs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2F0E8D"/>
    <w:pPr>
      <w:keepNext/>
      <w:keepLines/>
      <w:spacing w:before="0" w:after="0"/>
      <w:outlineLvl w:val="0"/>
    </w:pPr>
    <w:rPr>
      <w:rFonts w:eastAsiaTheme="majorEastAsia"/>
      <w:b/>
      <w:bCs/>
      <w:color w:val="302D6D"/>
      <w:sz w:val="52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4"/>
    <w:qFormat/>
    <w:rsid w:val="002F0E8D"/>
    <w:pPr>
      <w:keepNext/>
      <w:keepLines/>
      <w:outlineLvl w:val="1"/>
    </w:pPr>
    <w:rPr>
      <w:rFonts w:eastAsiaTheme="majorEastAsia"/>
      <w:b/>
      <w:bCs/>
      <w:color w:val="302D6D"/>
      <w:sz w:val="48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5"/>
    <w:qFormat/>
    <w:rsid w:val="002F0E8D"/>
    <w:pPr>
      <w:keepNext/>
      <w:contextualSpacing/>
      <w:outlineLvl w:val="2"/>
    </w:pPr>
    <w:rPr>
      <w:color w:val="302D6D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6"/>
    <w:qFormat/>
    <w:rsid w:val="002F0E8D"/>
    <w:pPr>
      <w:keepNext/>
      <w:outlineLvl w:val="3"/>
    </w:pPr>
    <w:rPr>
      <w:color w:val="302D6D"/>
      <w:sz w:val="36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7"/>
    <w:qFormat/>
    <w:rsid w:val="002F0E8D"/>
    <w:pPr>
      <w:keepNext/>
      <w:outlineLvl w:val="4"/>
    </w:pPr>
    <w:rPr>
      <w:color w:val="302D6D"/>
      <w:sz w:val="32"/>
      <w:szCs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 1"/>
    <w:basedOn w:val="Normal"/>
    <w:next w:val="Normal"/>
    <w:uiPriority w:val="39"/>
    <w:unhideWhenUsed/>
    <w:rsid w:val="002F0E8D"/>
    <w:pPr>
      <w:tabs>
        <w:tab w:val="right" w:leader="dot" w:pos="13948"/>
      </w:tabs>
      <w:spacing w:before="0" w:after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2F0E8D"/>
    <w:pPr>
      <w:tabs>
        <w:tab w:val="right" w:leader="dot" w:pos="13948"/>
      </w:tabs>
      <w:spacing w:before="0" w:after="0"/>
      <w:ind w:left="238"/>
    </w:pPr>
    <w:rPr>
      <w:noProof/>
    </w:rPr>
  </w:style>
  <w:style w:type="paragraph" w:styleId="Header">
    <w:name w:val="header"/>
    <w:aliases w:val="ŠHeader"/>
    <w:basedOn w:val="Normal"/>
    <w:link w:val="HeaderChar"/>
    <w:uiPriority w:val="24"/>
    <w:unhideWhenUsed/>
    <w:rsid w:val="002F0E8D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302D6D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7"/>
    <w:rsid w:val="002F0E8D"/>
    <w:rPr>
      <w:rFonts w:ascii="Arial" w:hAnsi="Arial" w:cs="Arial"/>
      <w:color w:val="302D6D"/>
      <w:sz w:val="32"/>
      <w:szCs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24"/>
    <w:rsid w:val="002F0E8D"/>
    <w:rPr>
      <w:rFonts w:ascii="Arial" w:hAnsi="Arial" w:cs="Arial"/>
      <w:b/>
      <w:bCs/>
      <w:color w:val="302D6D"/>
      <w:lang w:val="en-AU"/>
    </w:rPr>
  </w:style>
  <w:style w:type="paragraph" w:styleId="Footer">
    <w:name w:val="footer"/>
    <w:aliases w:val="ŠFooter"/>
    <w:basedOn w:val="Normal"/>
    <w:link w:val="FooterChar"/>
    <w:uiPriority w:val="99"/>
    <w:rsid w:val="002F0E8D"/>
    <w:pPr>
      <w:tabs>
        <w:tab w:val="center" w:pos="4513"/>
        <w:tab w:val="right" w:pos="9026"/>
        <w:tab w:val="right" w:pos="10773"/>
      </w:tabs>
      <w:spacing w:before="480" w:after="0" w:line="23" w:lineRule="atLeast"/>
      <w:ind w:left="-567"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2F0E8D"/>
    <w:rPr>
      <w:rFonts w:ascii="Arial" w:hAnsi="Arial" w:cs="Arial"/>
      <w:sz w:val="18"/>
      <w:szCs w:val="18"/>
      <w:lang w:val="en-AU"/>
    </w:rPr>
  </w:style>
  <w:style w:type="paragraph" w:styleId="Caption">
    <w:name w:val="caption"/>
    <w:aliases w:val="ŠCaption"/>
    <w:basedOn w:val="Normal"/>
    <w:next w:val="Normal"/>
    <w:uiPriority w:val="35"/>
    <w:qFormat/>
    <w:rsid w:val="002F0E8D"/>
    <w:pPr>
      <w:keepNext/>
      <w:spacing w:after="200" w:line="240" w:lineRule="auto"/>
    </w:pPr>
    <w:rPr>
      <w:b/>
      <w:iCs/>
      <w:szCs w:val="18"/>
    </w:rPr>
  </w:style>
  <w:style w:type="paragraph" w:customStyle="1" w:styleId="Logo">
    <w:name w:val="ŠLogo"/>
    <w:basedOn w:val="Normal"/>
    <w:uiPriority w:val="22"/>
    <w:qFormat/>
    <w:rsid w:val="002F0E8D"/>
    <w:pPr>
      <w:tabs>
        <w:tab w:val="right" w:pos="10200"/>
      </w:tabs>
      <w:spacing w:before="240" w:line="300" w:lineRule="atLeast"/>
      <w:ind w:left="-567" w:right="-567"/>
    </w:pPr>
    <w:rPr>
      <w:b/>
      <w:bCs/>
      <w:color w:val="302D6D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rsid w:val="002F0E8D"/>
    <w:pPr>
      <w:spacing w:before="0" w:after="0"/>
      <w:ind w:left="482"/>
    </w:pPr>
  </w:style>
  <w:style w:type="character" w:styleId="Hyperlink">
    <w:name w:val="Hyperlink"/>
    <w:aliases w:val="ŠHyperlink"/>
    <w:basedOn w:val="DefaultParagraphFont"/>
    <w:uiPriority w:val="99"/>
    <w:unhideWhenUsed/>
    <w:rsid w:val="002F0E8D"/>
    <w:rPr>
      <w:color w:val="2F5496" w:themeColor="accent1" w:themeShade="BF"/>
      <w:u w:val="single"/>
    </w:rPr>
  </w:style>
  <w:style w:type="character" w:styleId="SubtleReference">
    <w:name w:val="Subtle Reference"/>
    <w:aliases w:val="ŠSubtle Reference"/>
    <w:uiPriority w:val="31"/>
    <w:qFormat/>
    <w:rsid w:val="002F0E8D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2F0E8D"/>
    <w:rPr>
      <w:rFonts w:ascii="Arial" w:eastAsiaTheme="majorEastAsia" w:hAnsi="Arial" w:cs="Arial"/>
      <w:b/>
      <w:bCs/>
      <w:color w:val="302D6D"/>
      <w:sz w:val="52"/>
      <w:szCs w:val="5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4"/>
    <w:rsid w:val="002F0E8D"/>
    <w:rPr>
      <w:rFonts w:ascii="Arial" w:eastAsiaTheme="majorEastAsia" w:hAnsi="Arial" w:cs="Arial"/>
      <w:b/>
      <w:bCs/>
      <w:color w:val="302D6D"/>
      <w:sz w:val="48"/>
      <w:szCs w:val="48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5"/>
    <w:rsid w:val="002F0E8D"/>
    <w:rPr>
      <w:rFonts w:ascii="Arial" w:hAnsi="Arial" w:cs="Arial"/>
      <w:color w:val="302D6D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6"/>
    <w:rsid w:val="002F0E8D"/>
    <w:rPr>
      <w:rFonts w:ascii="Arial" w:hAnsi="Arial" w:cs="Arial"/>
      <w:color w:val="302D6D"/>
      <w:sz w:val="36"/>
      <w:szCs w:val="36"/>
      <w:lang w:val="en-AU"/>
    </w:rPr>
  </w:style>
  <w:style w:type="table" w:customStyle="1" w:styleId="Tableheader">
    <w:name w:val="ŠTable header"/>
    <w:basedOn w:val="TableNormal"/>
    <w:uiPriority w:val="99"/>
    <w:rsid w:val="002F0E8D"/>
    <w:pPr>
      <w:widowControl w:val="0"/>
      <w:spacing w:before="0" w:line="360" w:lineRule="auto"/>
      <w:mirrorIndents/>
    </w:pPr>
    <w:rPr>
      <w:rFonts w:ascii="Arial" w:hAnsi="Arial"/>
      <w:szCs w:val="22"/>
      <w:lang w:val="en-AU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  <w:tcMar>
        <w:top w:w="0" w:type="dxa"/>
        <w:bottom w:w="0" w:type="dxa"/>
      </w:tcMar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Arial" w:hAnsi="Arial"/>
        <w:b/>
        <w:sz w:val="24"/>
      </w:rPr>
      <w:tblPr>
        <w:jc w:val="center"/>
      </w:tblPr>
      <w:trPr>
        <w:tblHeader/>
        <w:jc w:val="center"/>
      </w:trPr>
      <w:tcPr>
        <w:tcBorders>
          <w:top w:val="single" w:sz="4" w:space="0" w:color="302D6D"/>
          <w:left w:val="single" w:sz="4" w:space="0" w:color="302D6D"/>
          <w:bottom w:val="single" w:sz="24" w:space="0" w:color="D6143B"/>
          <w:right w:val="single" w:sz="4" w:space="0" w:color="302D6D"/>
          <w:insideH w:val="nil"/>
          <w:insideV w:val="nil"/>
        </w:tcBorders>
        <w:shd w:val="clear" w:color="auto" w:fill="302D6D"/>
      </w:tcPr>
    </w:tblStylePr>
    <w:tblStylePr w:type="lastRow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Horz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tcBorders>
          <w:top w:val="nil"/>
        </w:tcBorders>
        <w:shd w:val="clear" w:color="auto" w:fill="EBEBEB"/>
      </w:tcPr>
    </w:tblStylePr>
  </w:style>
  <w:style w:type="paragraph" w:styleId="ListNumber2">
    <w:name w:val="List Number 2"/>
    <w:aliases w:val="ŠList Number 2"/>
    <w:basedOn w:val="Normal"/>
    <w:uiPriority w:val="9"/>
    <w:qFormat/>
    <w:rsid w:val="002F0E8D"/>
    <w:pPr>
      <w:numPr>
        <w:numId w:val="38"/>
      </w:numPr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2F0E8D"/>
    <w:pPr>
      <w:keepNext/>
      <w:spacing w:before="200" w:after="200" w:line="240" w:lineRule="atLeast"/>
      <w:ind w:left="567" w:right="567"/>
    </w:pPr>
  </w:style>
  <w:style w:type="paragraph" w:styleId="ListBullet2">
    <w:name w:val="List Bullet 2"/>
    <w:aliases w:val="ŠList Bullet 2"/>
    <w:basedOn w:val="Normal"/>
    <w:uiPriority w:val="11"/>
    <w:qFormat/>
    <w:rsid w:val="002F0E8D"/>
    <w:pPr>
      <w:numPr>
        <w:numId w:val="36"/>
      </w:numPr>
      <w:contextualSpacing/>
    </w:p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Number"/>
    <w:basedOn w:val="Normal"/>
    <w:uiPriority w:val="8"/>
    <w:qFormat/>
    <w:rsid w:val="002F0E8D"/>
    <w:pPr>
      <w:numPr>
        <w:numId w:val="39"/>
      </w:numPr>
    </w:pPr>
  </w:style>
  <w:style w:type="character" w:styleId="Strong">
    <w:name w:val="Strong"/>
    <w:aliases w:val="ŠStrong"/>
    <w:uiPriority w:val="1"/>
    <w:qFormat/>
    <w:rsid w:val="002F0E8D"/>
    <w:rPr>
      <w:b/>
    </w:rPr>
  </w:style>
  <w:style w:type="paragraph" w:styleId="ListBullet">
    <w:name w:val="List Bullet"/>
    <w:aliases w:val="ŠList Bullet"/>
    <w:basedOn w:val="Normal"/>
    <w:uiPriority w:val="10"/>
    <w:qFormat/>
    <w:rsid w:val="002F0E8D"/>
    <w:pPr>
      <w:numPr>
        <w:numId w:val="37"/>
      </w:numPr>
    </w:p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2F0E8D"/>
    <w:rPr>
      <w:rFonts w:ascii="Arial" w:hAnsi="Arial" w:cs="Arial"/>
      <w:lang w:val="en-AU"/>
    </w:rPr>
  </w:style>
  <w:style w:type="character" w:styleId="Emphasis">
    <w:name w:val="Emphasis"/>
    <w:aliases w:val="ŠLanguage or scientific"/>
    <w:uiPriority w:val="20"/>
    <w:qFormat/>
    <w:rsid w:val="002F0E8D"/>
    <w:rPr>
      <w:i/>
      <w:iCs/>
    </w:rPr>
  </w:style>
  <w:style w:type="paragraph" w:styleId="Title">
    <w:name w:val="Title"/>
    <w:aliases w:val="ŠTitle"/>
    <w:basedOn w:val="Normal"/>
    <w:next w:val="Normal"/>
    <w:link w:val="TitleChar"/>
    <w:uiPriority w:val="2"/>
    <w:qFormat/>
    <w:rsid w:val="002F0E8D"/>
    <w:pPr>
      <w:spacing w:after="200"/>
      <w:contextualSpacing/>
    </w:pPr>
    <w:rPr>
      <w:rFonts w:eastAsiaTheme="majorEastAsia"/>
      <w:b/>
      <w:bCs/>
      <w:color w:val="302D6D"/>
      <w:spacing w:val="-10"/>
      <w:kern w:val="28"/>
      <w:sz w:val="56"/>
      <w:szCs w:val="56"/>
    </w:rPr>
  </w:style>
  <w:style w:type="character" w:customStyle="1" w:styleId="TitleChar">
    <w:name w:val="Title Char"/>
    <w:aliases w:val="ŠTitle Char"/>
    <w:basedOn w:val="DefaultParagraphFont"/>
    <w:link w:val="Title"/>
    <w:uiPriority w:val="2"/>
    <w:rsid w:val="002F0E8D"/>
    <w:rPr>
      <w:rFonts w:ascii="Arial" w:eastAsiaTheme="majorEastAsia" w:hAnsi="Arial" w:cs="Arial"/>
      <w:b/>
      <w:bCs/>
      <w:color w:val="302D6D"/>
      <w:spacing w:val="-10"/>
      <w:kern w:val="28"/>
      <w:sz w:val="56"/>
      <w:szCs w:val="56"/>
      <w:lang w:val="en-AU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99"/>
    <w:rsid w:val="002F0E8D"/>
    <w:pPr>
      <w:spacing w:before="0" w:after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2F0E8D"/>
    <w:rPr>
      <w:rFonts w:ascii="Arial" w:hAnsi="Arial" w:cs="Arial"/>
      <w:lang w:val="en-AU"/>
    </w:rPr>
  </w:style>
  <w:style w:type="paragraph" w:styleId="Signature">
    <w:name w:val="Signature"/>
    <w:aliases w:val="ŠSignature"/>
    <w:basedOn w:val="Normal"/>
    <w:link w:val="SignatureChar"/>
    <w:uiPriority w:val="99"/>
    <w:rsid w:val="002F0E8D"/>
    <w:pPr>
      <w:spacing w:before="0" w:after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2F0E8D"/>
    <w:rPr>
      <w:rFonts w:ascii="Arial" w:hAnsi="Arial" w:cs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2F0E8D"/>
    <w:pPr>
      <w:spacing w:before="0" w:line="240" w:lineRule="auto"/>
    </w:pPr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ŠFeature Box"/>
    <w:basedOn w:val="Normal"/>
    <w:next w:val="Normal"/>
    <w:uiPriority w:val="11"/>
    <w:qFormat/>
    <w:rsid w:val="002F0E8D"/>
    <w:pPr>
      <w:pBdr>
        <w:top w:val="single" w:sz="24" w:space="10" w:color="302D6D"/>
        <w:left w:val="single" w:sz="24" w:space="10" w:color="302D6D"/>
        <w:bottom w:val="single" w:sz="24" w:space="10" w:color="302D6D"/>
        <w:right w:val="single" w:sz="24" w:space="10" w:color="302D6D"/>
      </w:pBdr>
      <w:spacing w:before="120" w:after="120"/>
    </w:pPr>
  </w:style>
  <w:style w:type="paragraph" w:customStyle="1" w:styleId="FeatureBox2">
    <w:name w:val="ŠFeature Box 2"/>
    <w:basedOn w:val="Normal"/>
    <w:next w:val="Normal"/>
    <w:uiPriority w:val="12"/>
    <w:qFormat/>
    <w:rsid w:val="002F0E8D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120" w:after="120"/>
    </w:pPr>
  </w:style>
  <w:style w:type="paragraph" w:styleId="ListParagraph">
    <w:name w:val="List Paragraph"/>
    <w:basedOn w:val="Normal"/>
    <w:uiPriority w:val="99"/>
    <w:unhideWhenUsed/>
    <w:qFormat/>
    <w:rsid w:val="00DE2C23"/>
    <w:pPr>
      <w:ind w:left="720"/>
      <w:contextualSpacing/>
    </w:pPr>
  </w:style>
  <w:style w:type="character" w:customStyle="1" w:styleId="normaltextrun">
    <w:name w:val="normaltextrun"/>
    <w:basedOn w:val="DefaultParagraphFont"/>
    <w:rsid w:val="00AD71C2"/>
  </w:style>
  <w:style w:type="character" w:customStyle="1" w:styleId="eop">
    <w:name w:val="eop"/>
    <w:basedOn w:val="DefaultParagraphFont"/>
    <w:rsid w:val="00AD71C2"/>
  </w:style>
  <w:style w:type="paragraph" w:styleId="CommentText">
    <w:name w:val="annotation text"/>
    <w:basedOn w:val="Normal"/>
    <w:link w:val="CommentTextChar"/>
    <w:uiPriority w:val="99"/>
    <w:semiHidden/>
    <w:unhideWhenUsed/>
    <w:rsid w:val="002F0E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E8D"/>
    <w:rPr>
      <w:rFonts w:ascii="Arial" w:hAnsi="Arial" w:cs="Arial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F0E8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E8D"/>
    <w:rPr>
      <w:rFonts w:ascii="Arial" w:hAnsi="Arial" w:cs="Arial"/>
      <w:b/>
      <w:bCs/>
      <w:sz w:val="20"/>
      <w:szCs w:val="20"/>
      <w:lang w:val="en-AU"/>
    </w:rPr>
  </w:style>
  <w:style w:type="paragraph" w:customStyle="1" w:styleId="Featurepink">
    <w:name w:val="ŠFeature pink"/>
    <w:basedOn w:val="Normal"/>
    <w:next w:val="Normal"/>
    <w:uiPriority w:val="13"/>
    <w:qFormat/>
    <w:rsid w:val="002F0E8D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2F0E8D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F0E8D"/>
    <w:rPr>
      <w:rFonts w:ascii="Arial" w:eastAsiaTheme="minorEastAsia" w:hAnsi="Arial"/>
      <w:color w:val="5A5A5A" w:themeColor="text1" w:themeTint="A5"/>
      <w:spacing w:val="15"/>
      <w:szCs w:val="22"/>
      <w:lang w:val="en-AU"/>
    </w:rPr>
  </w:style>
  <w:style w:type="character" w:styleId="SubtleEmphasis">
    <w:name w:val="Subtle Emphasis"/>
    <w:basedOn w:val="DefaultParagraphFont"/>
    <w:uiPriority w:val="19"/>
    <w:semiHidden/>
    <w:qFormat/>
    <w:rsid w:val="002F0E8D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2F0E8D"/>
    <w:pPr>
      <w:spacing w:before="0" w:after="0"/>
      <w:ind w:left="720"/>
    </w:pPr>
  </w:style>
  <w:style w:type="paragraph" w:styleId="TOCHeading">
    <w:name w:val="TOC Heading"/>
    <w:aliases w:val="ŠTOC Heading"/>
    <w:basedOn w:val="Heading1"/>
    <w:next w:val="Normal"/>
    <w:uiPriority w:val="39"/>
    <w:unhideWhenUsed/>
    <w:qFormat/>
    <w:rsid w:val="002F0E8D"/>
    <w:pPr>
      <w:outlineLvl w:val="9"/>
    </w:pPr>
    <w:rPr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2F0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02864924864458D8A7651D2138959" ma:contentTypeVersion="11" ma:contentTypeDescription="Create a new document." ma:contentTypeScope="" ma:versionID="f05a656076af0e04076ae62ee73d0326">
  <xsd:schema xmlns:xsd="http://www.w3.org/2001/XMLSchema" xmlns:xs="http://www.w3.org/2001/XMLSchema" xmlns:p="http://schemas.microsoft.com/office/2006/metadata/properties" xmlns:ns2="71c5a270-2cab-4081-bd60-6681928412a9" xmlns:ns3="654a006b-cedf-4f35-a676-59854467968c" targetNamespace="http://schemas.microsoft.com/office/2006/metadata/properties" ma:root="true" ma:fieldsID="87740c41260166888d7d10ca58e38346" ns2:_="" ns3:_="">
    <xsd:import namespace="71c5a270-2cab-4081-bd60-6681928412a9"/>
    <xsd:import namespace="654a006b-cedf-4f35-a676-598544679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270-2cab-4081-bd60-668192841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a006b-cedf-4f35-a676-598544679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76818-4456-4D49-94DF-D9F52F437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F1E13A-0AAB-4F95-A972-82168E93B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31B58-230D-42EB-97E8-8295465F0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270-2cab-4081-bd60-6681928412a9"/>
    <ds:schemaRef ds:uri="654a006b-cedf-4f35-a676-598544679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 and sequence evaluation tool</dc:title>
  <dc:subject/>
  <dc:creator>NSW Department of Education</dc:creator>
  <cp:keywords/>
  <dc:description/>
  <cp:lastModifiedBy>David Boccalatte</cp:lastModifiedBy>
  <cp:revision>3</cp:revision>
  <dcterms:created xsi:type="dcterms:W3CDTF">2022-06-16T06:09:00Z</dcterms:created>
  <dcterms:modified xsi:type="dcterms:W3CDTF">2022-06-16T23:23:00Z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0x0101001B702864924864458D8A7651D2138959</vt:lpwstr>
  </property>
</Properties>
</file>