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AF7D2" w14:textId="2B5CF6FF" w:rsidR="00C77595" w:rsidRDefault="0067119A" w:rsidP="00573AC5">
      <w:pPr>
        <w:rPr>
          <w:rFonts w:eastAsia="SimSun" w:cs="Times New Roman"/>
          <w:b/>
          <w:color w:val="002060"/>
          <w:sz w:val="48"/>
          <w:szCs w:val="20"/>
          <w:lang w:eastAsia="zh-CN"/>
        </w:rPr>
      </w:pPr>
      <w:bookmarkStart w:id="0" w:name="_GoBack"/>
      <w:r>
        <w:rPr>
          <w:rFonts w:eastAsia="SimSun" w:cs="Times New Roman"/>
          <w:b/>
          <w:color w:val="002060"/>
          <w:sz w:val="48"/>
          <w:szCs w:val="20"/>
          <w:lang w:eastAsia="zh-CN"/>
        </w:rPr>
        <w:t xml:space="preserve">Breaking down the </w:t>
      </w:r>
      <w:r w:rsidR="00C77595" w:rsidRPr="00C77595">
        <w:rPr>
          <w:rFonts w:eastAsia="SimSun" w:cs="Times New Roman"/>
          <w:b/>
          <w:color w:val="002060"/>
          <w:sz w:val="48"/>
          <w:szCs w:val="20"/>
          <w:lang w:eastAsia="zh-CN"/>
        </w:rPr>
        <w:t>HSC exam</w:t>
      </w:r>
      <w:r>
        <w:rPr>
          <w:rFonts w:eastAsia="SimSun" w:cs="Times New Roman"/>
          <w:b/>
          <w:color w:val="002060"/>
          <w:sz w:val="48"/>
          <w:szCs w:val="20"/>
          <w:lang w:eastAsia="zh-CN"/>
        </w:rPr>
        <w:t>:</w:t>
      </w:r>
      <w:r w:rsidR="00C77595" w:rsidRPr="00C77595">
        <w:rPr>
          <w:rFonts w:eastAsia="SimSun" w:cs="Times New Roman"/>
          <w:b/>
          <w:color w:val="002060"/>
          <w:sz w:val="48"/>
          <w:szCs w:val="20"/>
          <w:lang w:eastAsia="zh-CN"/>
        </w:rPr>
        <w:t xml:space="preserve"> PDHPE </w:t>
      </w:r>
    </w:p>
    <w:bookmarkEnd w:id="0"/>
    <w:p w14:paraId="45482C9B" w14:textId="7CE40FB2" w:rsidR="009A1B1A" w:rsidRDefault="009A1B1A" w:rsidP="00573AC5">
      <w:pPr>
        <w:rPr>
          <w:rFonts w:eastAsia="Times New Roman" w:cs="Arial"/>
          <w:color w:val="000000" w:themeColor="text1"/>
          <w:lang w:eastAsia="en-AU"/>
        </w:rPr>
      </w:pPr>
      <w:r w:rsidRPr="009A1B1A">
        <w:rPr>
          <w:rFonts w:eastAsia="Times New Roman" w:cs="Arial"/>
          <w:color w:val="000000" w:themeColor="text1"/>
          <w:lang w:eastAsia="en-AU"/>
        </w:rPr>
        <w:t>Information within this document has been developed using the NSW Education Standards Authority documents</w:t>
      </w:r>
      <w:r>
        <w:rPr>
          <w:rFonts w:eastAsia="Times New Roman" w:cs="Arial"/>
          <w:color w:val="000000" w:themeColor="text1"/>
          <w:lang w:eastAsia="en-AU"/>
        </w:rPr>
        <w:t>.</w:t>
      </w:r>
    </w:p>
    <w:p w14:paraId="2215981C" w14:textId="0E06E898" w:rsidR="00F920B6" w:rsidRDefault="00DC0633" w:rsidP="00F920B6">
      <w:r w:rsidRPr="00F920B6">
        <w:t>Each year the enrolment in Stage 6 Personal Development, Health and Physical Education (PDHPE) increases. Students have many reasons for choosing PDHPE for the senior years. It is important to understand how you can demonstrate your learning and excel in PDHPE.</w:t>
      </w:r>
    </w:p>
    <w:p w14:paraId="34CD71D5" w14:textId="77777777" w:rsidR="00FA71C1" w:rsidRPr="00DA1B49" w:rsidRDefault="00FA71C1" w:rsidP="00FA71C1">
      <w:pPr>
        <w:pStyle w:val="Heading3"/>
        <w:rPr>
          <w:sz w:val="32"/>
          <w:szCs w:val="32"/>
        </w:rPr>
      </w:pPr>
      <w:r w:rsidRPr="00DA1B49">
        <w:rPr>
          <w:sz w:val="32"/>
          <w:szCs w:val="32"/>
        </w:rPr>
        <w:t>What does it take to excel in the PDHPE HSC exam?</w:t>
      </w:r>
    </w:p>
    <w:p w14:paraId="4894B78B" w14:textId="77777777" w:rsidR="00FA71C1" w:rsidRDefault="00FA71C1" w:rsidP="00FA71C1">
      <w:r>
        <w:t>The Stage 6 PDHPE syllabus provides clear guidelines for expected student learning. To perform well in PDHPE, students require depth, breadth and application of knowledge. Adopting a critical view of information by questioning current understandings, examining issues from a range of perspectives and evaluating opinions is important.</w:t>
      </w:r>
    </w:p>
    <w:p w14:paraId="2DBCF70E" w14:textId="77777777" w:rsidR="00FA71C1" w:rsidRDefault="00FA71C1" w:rsidP="007C2327">
      <w:pPr>
        <w:pStyle w:val="Heading4"/>
        <w:numPr>
          <w:ilvl w:val="0"/>
          <w:numId w:val="0"/>
        </w:numPr>
      </w:pPr>
      <w:r>
        <w:t xml:space="preserve">Breaking down the exam </w:t>
      </w:r>
    </w:p>
    <w:p w14:paraId="455EA828" w14:textId="77777777" w:rsidR="00FA71C1" w:rsidRDefault="00FA71C1" w:rsidP="00FA71C1">
      <w:r>
        <w:t>To do well in the PDHPE exam, you need to understand exactly how the exam is structured. There are 100 marks in the PDHPE HSC exam, broken down as follows.</w:t>
      </w:r>
    </w:p>
    <w:p w14:paraId="5B65D8BA" w14:textId="7904BAFC" w:rsidR="00FA71C1" w:rsidRDefault="0072507E" w:rsidP="000F7A89">
      <w:pPr>
        <w:pStyle w:val="ListBullet"/>
      </w:pPr>
      <w:r w:rsidRPr="0072507E">
        <w:t>20% of the exam is based on multiple choice questions</w:t>
      </w:r>
    </w:p>
    <w:p w14:paraId="762F419D" w14:textId="4B24B4A3" w:rsidR="0072507E" w:rsidRDefault="000F7A89" w:rsidP="000F7A89">
      <w:pPr>
        <w:pStyle w:val="ListBullet"/>
      </w:pPr>
      <w:r w:rsidRPr="000F7A89">
        <w:t>80% of the exam is based on short and extended answer responses</w:t>
      </w:r>
      <w:r>
        <w:t>.</w:t>
      </w:r>
    </w:p>
    <w:p w14:paraId="214AA99E" w14:textId="77777777" w:rsidR="00FA71C1" w:rsidRDefault="00FA71C1" w:rsidP="00FA71C1">
      <w:r>
        <w:t>Time allowed: 3 hours plus 5 minutes reading time.</w:t>
      </w:r>
    </w:p>
    <w:p w14:paraId="4859E0D9" w14:textId="77777777" w:rsidR="00FA71C1" w:rsidRDefault="00FA71C1" w:rsidP="00661BA8">
      <w:pPr>
        <w:spacing w:after="240"/>
      </w:pPr>
      <w:r>
        <w:t>The paper will consist of two sections.</w:t>
      </w:r>
    </w:p>
    <w:tbl>
      <w:tblPr>
        <w:tblStyle w:val="TableGrid1"/>
        <w:tblW w:w="0" w:type="auto"/>
        <w:tblLook w:val="04A0" w:firstRow="1" w:lastRow="0" w:firstColumn="1" w:lastColumn="0" w:noHBand="0" w:noVBand="1"/>
      </w:tblPr>
      <w:tblGrid>
        <w:gridCol w:w="5240"/>
        <w:gridCol w:w="1418"/>
        <w:gridCol w:w="2584"/>
      </w:tblGrid>
      <w:tr w:rsidR="00661BA8" w14:paraId="4FD2BEB2" w14:textId="77777777" w:rsidTr="0053310A">
        <w:trPr>
          <w:cnfStyle w:val="100000000000" w:firstRow="1" w:lastRow="0" w:firstColumn="0" w:lastColumn="0" w:oddVBand="0" w:evenVBand="0" w:oddHBand="0" w:evenHBand="0" w:firstRowFirstColumn="0" w:firstRowLastColumn="0" w:lastRowFirstColumn="0" w:lastRowLastColumn="0"/>
        </w:trPr>
        <w:tc>
          <w:tcPr>
            <w:tcW w:w="5240" w:type="dxa"/>
          </w:tcPr>
          <w:p w14:paraId="0C4BA039" w14:textId="77777777" w:rsidR="00661BA8" w:rsidRDefault="00661BA8" w:rsidP="00EA6380">
            <w:r>
              <w:t>Section</w:t>
            </w:r>
          </w:p>
        </w:tc>
        <w:tc>
          <w:tcPr>
            <w:tcW w:w="1418" w:type="dxa"/>
          </w:tcPr>
          <w:p w14:paraId="4C4E745D" w14:textId="77777777" w:rsidR="00661BA8" w:rsidRDefault="00661BA8" w:rsidP="00EA6380">
            <w:pPr>
              <w:jc w:val="center"/>
            </w:pPr>
            <w:r>
              <w:t>Weighting</w:t>
            </w:r>
          </w:p>
        </w:tc>
        <w:tc>
          <w:tcPr>
            <w:tcW w:w="2584" w:type="dxa"/>
          </w:tcPr>
          <w:p w14:paraId="78D2F375" w14:textId="44AA6499" w:rsidR="00661BA8" w:rsidRDefault="00661BA8" w:rsidP="00EA6380">
            <w:r>
              <w:t>Syllabus focus</w:t>
            </w:r>
          </w:p>
        </w:tc>
      </w:tr>
      <w:tr w:rsidR="00661BA8" w14:paraId="32C41C7E" w14:textId="77777777" w:rsidTr="0053310A">
        <w:trPr>
          <w:cnfStyle w:val="000000100000" w:firstRow="0" w:lastRow="0" w:firstColumn="0" w:lastColumn="0" w:oddVBand="0" w:evenVBand="0" w:oddHBand="1" w:evenHBand="0" w:firstRowFirstColumn="0" w:firstRowLastColumn="0" w:lastRowFirstColumn="0" w:lastRowLastColumn="0"/>
        </w:trPr>
        <w:tc>
          <w:tcPr>
            <w:tcW w:w="5240" w:type="dxa"/>
            <w:vAlign w:val="center"/>
          </w:tcPr>
          <w:p w14:paraId="5E4D5DCE" w14:textId="78DEA45A" w:rsidR="00661BA8" w:rsidRPr="00AB3710" w:rsidRDefault="00661BA8" w:rsidP="00AB3710">
            <w:pPr>
              <w:rPr>
                <w:rFonts w:cs="Arial"/>
              </w:rPr>
            </w:pPr>
            <w:r w:rsidRPr="00AB3710">
              <w:rPr>
                <w:rFonts w:cs="Arial"/>
              </w:rPr>
              <w:t>Section I</w:t>
            </w:r>
            <w:r w:rsidR="00611B08" w:rsidRPr="00AB3710">
              <w:rPr>
                <w:rFonts w:cs="Arial"/>
              </w:rPr>
              <w:t xml:space="preserve">: </w:t>
            </w:r>
            <w:r w:rsidRPr="00AB3710">
              <w:rPr>
                <w:rFonts w:cs="Arial"/>
              </w:rPr>
              <w:t>Part A</w:t>
            </w:r>
          </w:p>
          <w:p w14:paraId="0582BBB6" w14:textId="3F130C4B" w:rsidR="00661BA8" w:rsidRPr="00AB3710" w:rsidRDefault="00661BA8" w:rsidP="00AB3710">
            <w:pPr>
              <w:rPr>
                <w:rFonts w:cs="Arial"/>
              </w:rPr>
            </w:pPr>
            <w:r w:rsidRPr="00AB3710">
              <w:rPr>
                <w:rFonts w:cs="Arial"/>
              </w:rPr>
              <w:t>Multiple choice</w:t>
            </w:r>
            <w:r w:rsidR="00611B08" w:rsidRPr="00AB3710">
              <w:rPr>
                <w:rFonts w:cs="Arial"/>
              </w:rPr>
              <w:t xml:space="preserve"> </w:t>
            </w:r>
            <w:r w:rsidRPr="00AB3710">
              <w:rPr>
                <w:rFonts w:cs="Arial"/>
              </w:rPr>
              <w:t>20 questions</w:t>
            </w:r>
          </w:p>
        </w:tc>
        <w:tc>
          <w:tcPr>
            <w:tcW w:w="1418" w:type="dxa"/>
            <w:vAlign w:val="center"/>
          </w:tcPr>
          <w:p w14:paraId="0367D7D0" w14:textId="77777777" w:rsidR="00661BA8" w:rsidRPr="00AB3710" w:rsidRDefault="00661BA8" w:rsidP="00AB3710">
            <w:pPr>
              <w:rPr>
                <w:rFonts w:cs="Arial"/>
              </w:rPr>
            </w:pPr>
          </w:p>
          <w:p w14:paraId="3CEDBCB6" w14:textId="77777777" w:rsidR="00661BA8" w:rsidRPr="00AB3710" w:rsidRDefault="00661BA8" w:rsidP="00AB3710">
            <w:pPr>
              <w:rPr>
                <w:rFonts w:cs="Arial"/>
              </w:rPr>
            </w:pPr>
            <w:r w:rsidRPr="00AB3710">
              <w:rPr>
                <w:rFonts w:cs="Arial"/>
              </w:rPr>
              <w:t>20%</w:t>
            </w:r>
          </w:p>
        </w:tc>
        <w:tc>
          <w:tcPr>
            <w:tcW w:w="2584" w:type="dxa"/>
            <w:vAlign w:val="center"/>
          </w:tcPr>
          <w:p w14:paraId="076D5927" w14:textId="77777777" w:rsidR="00661BA8" w:rsidRPr="00AB3710" w:rsidRDefault="00661BA8" w:rsidP="00AB3710">
            <w:pPr>
              <w:rPr>
                <w:rFonts w:cs="Arial"/>
              </w:rPr>
            </w:pPr>
          </w:p>
          <w:p w14:paraId="29335EAF" w14:textId="77777777" w:rsidR="00661BA8" w:rsidRPr="00AB3710" w:rsidRDefault="00661BA8" w:rsidP="00AB3710">
            <w:pPr>
              <w:rPr>
                <w:rFonts w:cs="Arial"/>
              </w:rPr>
            </w:pPr>
            <w:r w:rsidRPr="00AB3710">
              <w:rPr>
                <w:rFonts w:cs="Arial"/>
              </w:rPr>
              <w:t>Core 1 and Core 2</w:t>
            </w:r>
          </w:p>
        </w:tc>
      </w:tr>
      <w:tr w:rsidR="00661BA8" w14:paraId="71628191" w14:textId="77777777" w:rsidTr="0053310A">
        <w:trPr>
          <w:cnfStyle w:val="000000010000" w:firstRow="0" w:lastRow="0" w:firstColumn="0" w:lastColumn="0" w:oddVBand="0" w:evenVBand="0" w:oddHBand="0" w:evenHBand="1" w:firstRowFirstColumn="0" w:firstRowLastColumn="0" w:lastRowFirstColumn="0" w:lastRowLastColumn="0"/>
        </w:trPr>
        <w:tc>
          <w:tcPr>
            <w:tcW w:w="5240" w:type="dxa"/>
            <w:vAlign w:val="center"/>
          </w:tcPr>
          <w:p w14:paraId="2885DB1A" w14:textId="638615F2" w:rsidR="00661BA8" w:rsidRPr="00AB3710" w:rsidRDefault="00661BA8" w:rsidP="00AB3710">
            <w:pPr>
              <w:spacing w:before="192" w:after="192"/>
              <w:rPr>
                <w:rFonts w:cs="Arial"/>
              </w:rPr>
            </w:pPr>
            <w:r w:rsidRPr="00AB3710">
              <w:rPr>
                <w:rFonts w:cs="Arial"/>
              </w:rPr>
              <w:t>Section I</w:t>
            </w:r>
            <w:r w:rsidR="00611B08" w:rsidRPr="00AB3710">
              <w:rPr>
                <w:rFonts w:cs="Arial"/>
              </w:rPr>
              <w:t>:</w:t>
            </w:r>
            <w:r w:rsidRPr="00AB3710">
              <w:rPr>
                <w:rFonts w:cs="Arial"/>
              </w:rPr>
              <w:t xml:space="preserve"> Part B</w:t>
            </w:r>
          </w:p>
          <w:p w14:paraId="722A3C66" w14:textId="77777777" w:rsidR="00661BA8" w:rsidRPr="00AB3710" w:rsidRDefault="00661BA8" w:rsidP="00AB3710">
            <w:pPr>
              <w:spacing w:before="192" w:after="192"/>
              <w:rPr>
                <w:rFonts w:cs="Arial"/>
              </w:rPr>
            </w:pPr>
            <w:r w:rsidRPr="00AB3710">
              <w:rPr>
                <w:rFonts w:cs="Arial"/>
              </w:rPr>
              <w:t>Short answer questions</w:t>
            </w:r>
          </w:p>
          <w:p w14:paraId="595C17CE" w14:textId="77777777" w:rsidR="00661BA8" w:rsidRPr="00AB3710" w:rsidRDefault="00661BA8" w:rsidP="00CC37F1">
            <w:pPr>
              <w:pStyle w:val="ListParagraph"/>
              <w:widowControl/>
              <w:numPr>
                <w:ilvl w:val="0"/>
                <w:numId w:val="6"/>
              </w:numPr>
              <w:snapToGrid/>
              <w:spacing w:before="192" w:after="192" w:line="240" w:lineRule="auto"/>
              <w:rPr>
                <w:rFonts w:ascii="Arial" w:hAnsi="Arial" w:cs="Arial"/>
              </w:rPr>
            </w:pPr>
            <w:r w:rsidRPr="00AB3710">
              <w:rPr>
                <w:rFonts w:ascii="Arial" w:hAnsi="Arial" w:cs="Arial"/>
              </w:rPr>
              <w:t xml:space="preserve">approximately 7 short answer questions containing parts </w:t>
            </w:r>
          </w:p>
          <w:p w14:paraId="3D0A1254" w14:textId="77777777" w:rsidR="00661BA8" w:rsidRPr="00AB3710" w:rsidRDefault="00661BA8" w:rsidP="00CC37F1">
            <w:pPr>
              <w:pStyle w:val="ListParagraph"/>
              <w:widowControl/>
              <w:numPr>
                <w:ilvl w:val="0"/>
                <w:numId w:val="6"/>
              </w:numPr>
              <w:snapToGrid/>
              <w:spacing w:before="192" w:after="192" w:line="240" w:lineRule="auto"/>
              <w:rPr>
                <w:rFonts w:ascii="Arial" w:hAnsi="Arial" w:cs="Arial"/>
              </w:rPr>
            </w:pPr>
            <w:r w:rsidRPr="00AB3710">
              <w:rPr>
                <w:rFonts w:ascii="Arial" w:hAnsi="Arial" w:cs="Arial"/>
              </w:rPr>
              <w:t>approximately 8 items in total</w:t>
            </w:r>
          </w:p>
          <w:p w14:paraId="016446AE" w14:textId="439D60A3" w:rsidR="00661BA8" w:rsidRPr="00AB3710" w:rsidRDefault="00661BA8" w:rsidP="00CC37F1">
            <w:pPr>
              <w:pStyle w:val="ListParagraph"/>
              <w:widowControl/>
              <w:numPr>
                <w:ilvl w:val="0"/>
                <w:numId w:val="6"/>
              </w:numPr>
              <w:snapToGrid/>
              <w:spacing w:before="192" w:after="192" w:line="240" w:lineRule="auto"/>
              <w:rPr>
                <w:rFonts w:ascii="Arial" w:hAnsi="Arial" w:cs="Arial"/>
              </w:rPr>
            </w:pPr>
            <w:r w:rsidRPr="00AB3710">
              <w:rPr>
                <w:rFonts w:ascii="Arial" w:hAnsi="Arial" w:cs="Arial"/>
              </w:rPr>
              <w:t>at least one item will be worth from 6 to 8 marks</w:t>
            </w:r>
          </w:p>
        </w:tc>
        <w:tc>
          <w:tcPr>
            <w:tcW w:w="1418" w:type="dxa"/>
            <w:vAlign w:val="center"/>
          </w:tcPr>
          <w:p w14:paraId="7B888F76" w14:textId="77777777" w:rsidR="00661BA8" w:rsidRPr="00AB3710" w:rsidRDefault="00661BA8" w:rsidP="00AB3710">
            <w:pPr>
              <w:spacing w:before="192" w:after="192"/>
              <w:rPr>
                <w:rFonts w:cs="Arial"/>
              </w:rPr>
            </w:pPr>
            <w:r w:rsidRPr="00AB3710">
              <w:rPr>
                <w:rFonts w:cs="Arial"/>
              </w:rPr>
              <w:t>40%</w:t>
            </w:r>
          </w:p>
        </w:tc>
        <w:tc>
          <w:tcPr>
            <w:tcW w:w="2584" w:type="dxa"/>
            <w:vAlign w:val="center"/>
          </w:tcPr>
          <w:p w14:paraId="64D24308" w14:textId="77777777" w:rsidR="00661BA8" w:rsidRPr="00AB3710" w:rsidRDefault="00661BA8" w:rsidP="00AB3710">
            <w:pPr>
              <w:spacing w:before="192" w:after="192"/>
              <w:rPr>
                <w:rFonts w:cs="Arial"/>
              </w:rPr>
            </w:pPr>
            <w:r w:rsidRPr="00AB3710">
              <w:rPr>
                <w:rFonts w:cs="Arial"/>
              </w:rPr>
              <w:t>Core 1 and Core 2</w:t>
            </w:r>
          </w:p>
        </w:tc>
      </w:tr>
      <w:tr w:rsidR="00661BA8" w14:paraId="2D08A461" w14:textId="77777777" w:rsidTr="0053310A">
        <w:trPr>
          <w:cnfStyle w:val="000000100000" w:firstRow="0" w:lastRow="0" w:firstColumn="0" w:lastColumn="0" w:oddVBand="0" w:evenVBand="0" w:oddHBand="1" w:evenHBand="0" w:firstRowFirstColumn="0" w:firstRowLastColumn="0" w:lastRowFirstColumn="0" w:lastRowLastColumn="0"/>
        </w:trPr>
        <w:tc>
          <w:tcPr>
            <w:tcW w:w="5240" w:type="dxa"/>
            <w:vAlign w:val="center"/>
          </w:tcPr>
          <w:p w14:paraId="196A4D9D" w14:textId="5A118A75" w:rsidR="00661BA8" w:rsidRPr="00AB3710" w:rsidRDefault="00661BA8" w:rsidP="00AB3710">
            <w:pPr>
              <w:rPr>
                <w:rFonts w:cs="Arial"/>
              </w:rPr>
            </w:pPr>
            <w:r w:rsidRPr="00AB3710">
              <w:rPr>
                <w:rFonts w:cs="Arial"/>
              </w:rPr>
              <w:t>Section II</w:t>
            </w:r>
            <w:r w:rsidR="00E745B2" w:rsidRPr="00AB3710">
              <w:rPr>
                <w:rFonts w:cs="Arial"/>
              </w:rPr>
              <w:t>:</w:t>
            </w:r>
            <w:r w:rsidRPr="00AB3710">
              <w:rPr>
                <w:rFonts w:cs="Arial"/>
              </w:rPr>
              <w:t xml:space="preserve"> Options</w:t>
            </w:r>
          </w:p>
          <w:p w14:paraId="3C1DA447" w14:textId="23C88D70" w:rsidR="00661BA8" w:rsidRPr="00AB3710" w:rsidRDefault="00661BA8" w:rsidP="00AB3710">
            <w:pPr>
              <w:rPr>
                <w:rFonts w:cs="Arial"/>
              </w:rPr>
            </w:pPr>
            <w:r w:rsidRPr="00AB3710">
              <w:rPr>
                <w:rFonts w:cs="Arial"/>
              </w:rPr>
              <w:t xml:space="preserve">Short-answer and an extended response question </w:t>
            </w:r>
            <w:r w:rsidRPr="00AB3710">
              <w:rPr>
                <w:rFonts w:cs="Arial"/>
              </w:rPr>
              <w:lastRenderedPageBreak/>
              <w:t xml:space="preserve">on each of the option topics. </w:t>
            </w:r>
          </w:p>
          <w:p w14:paraId="5F02D7A1" w14:textId="2867C49A" w:rsidR="00661BA8" w:rsidRPr="00AB3710" w:rsidRDefault="00661BA8" w:rsidP="00AB3710">
            <w:pPr>
              <w:rPr>
                <w:rFonts w:cs="Arial"/>
              </w:rPr>
            </w:pPr>
            <w:r w:rsidRPr="00AB3710">
              <w:rPr>
                <w:rFonts w:cs="Arial"/>
              </w:rPr>
              <w:t>For each option, the first question will be worth 8 marks and may contain parts.</w:t>
            </w:r>
          </w:p>
          <w:p w14:paraId="0B171661" w14:textId="77777777" w:rsidR="00661BA8" w:rsidRPr="00AB3710" w:rsidRDefault="00661BA8" w:rsidP="00AB3710">
            <w:pPr>
              <w:rPr>
                <w:rFonts w:cs="Arial"/>
              </w:rPr>
            </w:pPr>
            <w:r w:rsidRPr="00AB3710">
              <w:rPr>
                <w:rFonts w:cs="Arial"/>
              </w:rPr>
              <w:t>The second question on each option will be an extended response worth 12 marks with an expected length of response of around three and a half pages of an examination writing booklet (approximately 500 words).</w:t>
            </w:r>
          </w:p>
        </w:tc>
        <w:tc>
          <w:tcPr>
            <w:tcW w:w="1418" w:type="dxa"/>
            <w:vAlign w:val="center"/>
          </w:tcPr>
          <w:p w14:paraId="48B2A914" w14:textId="77777777" w:rsidR="00661BA8" w:rsidRPr="00AB3710" w:rsidRDefault="00661BA8" w:rsidP="00AB3710">
            <w:pPr>
              <w:rPr>
                <w:rFonts w:cs="Arial"/>
              </w:rPr>
            </w:pPr>
            <w:r w:rsidRPr="00AB3710">
              <w:rPr>
                <w:rFonts w:cs="Arial"/>
              </w:rPr>
              <w:lastRenderedPageBreak/>
              <w:t>40%</w:t>
            </w:r>
          </w:p>
        </w:tc>
        <w:tc>
          <w:tcPr>
            <w:tcW w:w="2584" w:type="dxa"/>
            <w:vAlign w:val="center"/>
          </w:tcPr>
          <w:p w14:paraId="5E140C75" w14:textId="77777777" w:rsidR="00661BA8" w:rsidRPr="00AB3710" w:rsidRDefault="00661BA8" w:rsidP="00AB3710">
            <w:pPr>
              <w:rPr>
                <w:rFonts w:cs="Arial"/>
              </w:rPr>
            </w:pPr>
            <w:r w:rsidRPr="00AB3710">
              <w:rPr>
                <w:rFonts w:cs="Arial"/>
              </w:rPr>
              <w:t>Options</w:t>
            </w:r>
          </w:p>
          <w:p w14:paraId="1B454E39" w14:textId="77777777" w:rsidR="00661BA8" w:rsidRPr="00AB3710" w:rsidRDefault="00661BA8" w:rsidP="00AB3710">
            <w:pPr>
              <w:rPr>
                <w:rFonts w:cs="Arial"/>
              </w:rPr>
            </w:pPr>
            <w:r w:rsidRPr="00AB3710">
              <w:rPr>
                <w:rFonts w:cs="Arial"/>
              </w:rPr>
              <w:t xml:space="preserve">Two questions per </w:t>
            </w:r>
            <w:r w:rsidRPr="00AB3710">
              <w:rPr>
                <w:rFonts w:cs="Arial"/>
              </w:rPr>
              <w:lastRenderedPageBreak/>
              <w:t xml:space="preserve">option. </w:t>
            </w:r>
          </w:p>
          <w:p w14:paraId="60AECD58" w14:textId="77777777" w:rsidR="00661BA8" w:rsidRPr="00AB3710" w:rsidRDefault="00661BA8" w:rsidP="00AB3710">
            <w:pPr>
              <w:rPr>
                <w:rFonts w:cs="Arial"/>
              </w:rPr>
            </w:pPr>
            <w:r w:rsidRPr="00AB3710">
              <w:rPr>
                <w:rFonts w:cs="Arial"/>
              </w:rPr>
              <w:t xml:space="preserve">Students are required to answer both the short-answer and extended response questions on the </w:t>
            </w:r>
            <w:r w:rsidRPr="00AB3710">
              <w:rPr>
                <w:rFonts w:cs="Arial"/>
                <w:b/>
              </w:rPr>
              <w:t>two options that they have studied</w:t>
            </w:r>
            <w:r w:rsidRPr="00AB3710">
              <w:rPr>
                <w:rFonts w:cs="Arial"/>
              </w:rPr>
              <w:t>.</w:t>
            </w:r>
          </w:p>
        </w:tc>
      </w:tr>
    </w:tbl>
    <w:p w14:paraId="62805931" w14:textId="77777777" w:rsidR="00FA71C1" w:rsidRDefault="00FA71C1" w:rsidP="00975F67">
      <w:pPr>
        <w:pStyle w:val="Heading5"/>
        <w:numPr>
          <w:ilvl w:val="0"/>
          <w:numId w:val="0"/>
        </w:numPr>
      </w:pPr>
      <w:r>
        <w:lastRenderedPageBreak/>
        <w:t xml:space="preserve">Question types </w:t>
      </w:r>
    </w:p>
    <w:p w14:paraId="70EA8E6E" w14:textId="69531062" w:rsidR="00FA71C1" w:rsidRDefault="00FA71C1" w:rsidP="00FA71C1">
      <w:r>
        <w:t>The nature of some questions in an exam may vary from year to year. Don't assume you can prepare for an exam solely on the basis of past papers. The nature, format or emphasis of questions may vary and while HSC examiners will never set out to trick</w:t>
      </w:r>
      <w:r w:rsidR="00213C22">
        <w:t xml:space="preserve"> </w:t>
      </w:r>
      <w:r>
        <w:t>students, they will also avoid creating an overly predictable exam. It is important that students read and respond to the questions in examinations rather than prepare a response to a preconceived idea of what the question will entail.</w:t>
      </w:r>
    </w:p>
    <w:p w14:paraId="716705CC" w14:textId="77777777" w:rsidR="00FA71C1" w:rsidRPr="00213C22" w:rsidRDefault="00FA71C1" w:rsidP="00FA71C1">
      <w:pPr>
        <w:rPr>
          <w:b/>
          <w:bCs/>
        </w:rPr>
      </w:pPr>
      <w:r w:rsidRPr="00213C22">
        <w:rPr>
          <w:b/>
          <w:bCs/>
        </w:rPr>
        <w:t xml:space="preserve">Multiple-choice questions </w:t>
      </w:r>
    </w:p>
    <w:p w14:paraId="18565C6C" w14:textId="77777777" w:rsidR="00FA71C1" w:rsidRDefault="00FA71C1" w:rsidP="00FA71C1">
      <w:r>
        <w:t>Multiple-choice questions provide you with a range of possible alternative answers from which you choose. Sometimes an alternative would be correct in a different set of circumstances and is not the best overall answer. Or an alternative might be partially right with some element of incorrect information.</w:t>
      </w:r>
    </w:p>
    <w:p w14:paraId="442451B5" w14:textId="77777777" w:rsidR="00FA71C1" w:rsidRPr="00213C22" w:rsidRDefault="00FA71C1" w:rsidP="00FA71C1">
      <w:pPr>
        <w:rPr>
          <w:b/>
          <w:bCs/>
        </w:rPr>
      </w:pPr>
      <w:r w:rsidRPr="00213C22">
        <w:rPr>
          <w:b/>
          <w:bCs/>
        </w:rPr>
        <w:t>Allocating time</w:t>
      </w:r>
    </w:p>
    <w:p w14:paraId="405F689E" w14:textId="77777777" w:rsidR="00FA71C1" w:rsidRDefault="00FA71C1" w:rsidP="00FA71C1">
      <w:r>
        <w:t xml:space="preserve">The time allowed for the HSC PDHPE exam is 3 hours plus 5 minutes reading time. A guide for time allocation is on the cover page of the examination. </w:t>
      </w:r>
    </w:p>
    <w:p w14:paraId="273D4367" w14:textId="0FBB8D1E" w:rsidR="00FA71C1" w:rsidRDefault="00FA71C1" w:rsidP="00FA71C1">
      <w:r>
        <w:t xml:space="preserve">Examination time allocation guide </w:t>
      </w:r>
    </w:p>
    <w:tbl>
      <w:tblPr>
        <w:tblStyle w:val="TableGrid1"/>
        <w:tblW w:w="0" w:type="auto"/>
        <w:tblLook w:val="04A0" w:firstRow="1" w:lastRow="0" w:firstColumn="1" w:lastColumn="0" w:noHBand="0" w:noVBand="1"/>
      </w:tblPr>
      <w:tblGrid>
        <w:gridCol w:w="5240"/>
        <w:gridCol w:w="1418"/>
        <w:gridCol w:w="2584"/>
      </w:tblGrid>
      <w:tr w:rsidR="0018774D" w14:paraId="446FDC29" w14:textId="77777777" w:rsidTr="00EA6380">
        <w:trPr>
          <w:cnfStyle w:val="100000000000" w:firstRow="1" w:lastRow="0" w:firstColumn="0" w:lastColumn="0" w:oddVBand="0" w:evenVBand="0" w:oddHBand="0" w:evenHBand="0" w:firstRowFirstColumn="0" w:firstRowLastColumn="0" w:lastRowFirstColumn="0" w:lastRowLastColumn="0"/>
        </w:trPr>
        <w:tc>
          <w:tcPr>
            <w:tcW w:w="5240" w:type="dxa"/>
          </w:tcPr>
          <w:p w14:paraId="0143BD82" w14:textId="77777777" w:rsidR="0018774D" w:rsidRDefault="0018774D" w:rsidP="00EA6380">
            <w:r>
              <w:t>Section</w:t>
            </w:r>
          </w:p>
        </w:tc>
        <w:tc>
          <w:tcPr>
            <w:tcW w:w="1418" w:type="dxa"/>
          </w:tcPr>
          <w:p w14:paraId="1EC9E1AC" w14:textId="39B13461" w:rsidR="0018774D" w:rsidRDefault="00BD5D5F" w:rsidP="00BD5D5F">
            <w:r>
              <w:t>Marks</w:t>
            </w:r>
          </w:p>
        </w:tc>
        <w:tc>
          <w:tcPr>
            <w:tcW w:w="2584" w:type="dxa"/>
          </w:tcPr>
          <w:p w14:paraId="41E334DD" w14:textId="4FC14117" w:rsidR="0018774D" w:rsidRDefault="00BD5D5F" w:rsidP="00EA6380">
            <w:r>
              <w:t>Time guide</w:t>
            </w:r>
          </w:p>
        </w:tc>
      </w:tr>
      <w:tr w:rsidR="0018774D" w14:paraId="5408926A" w14:textId="77777777" w:rsidTr="00EA6380">
        <w:trPr>
          <w:cnfStyle w:val="000000100000" w:firstRow="0" w:lastRow="0" w:firstColumn="0" w:lastColumn="0" w:oddVBand="0" w:evenVBand="0" w:oddHBand="1" w:evenHBand="0" w:firstRowFirstColumn="0" w:firstRowLastColumn="0" w:lastRowFirstColumn="0" w:lastRowLastColumn="0"/>
        </w:trPr>
        <w:tc>
          <w:tcPr>
            <w:tcW w:w="5240" w:type="dxa"/>
            <w:vAlign w:val="center"/>
          </w:tcPr>
          <w:p w14:paraId="125DF933" w14:textId="77777777" w:rsidR="0018774D" w:rsidRPr="00AB3710" w:rsidRDefault="0018774D" w:rsidP="00EA6380">
            <w:pPr>
              <w:rPr>
                <w:rFonts w:cs="Arial"/>
              </w:rPr>
            </w:pPr>
            <w:r w:rsidRPr="00AB3710">
              <w:rPr>
                <w:rFonts w:cs="Arial"/>
              </w:rPr>
              <w:t>Section I: Part A</w:t>
            </w:r>
          </w:p>
          <w:p w14:paraId="3A2DC702" w14:textId="77777777" w:rsidR="0018774D" w:rsidRPr="00AB3710" w:rsidRDefault="0018774D" w:rsidP="00EA6380">
            <w:pPr>
              <w:rPr>
                <w:rFonts w:cs="Arial"/>
              </w:rPr>
            </w:pPr>
            <w:r w:rsidRPr="00AB3710">
              <w:rPr>
                <w:rFonts w:cs="Arial"/>
              </w:rPr>
              <w:t>Multiple choice 20 questions</w:t>
            </w:r>
          </w:p>
        </w:tc>
        <w:tc>
          <w:tcPr>
            <w:tcW w:w="1418" w:type="dxa"/>
            <w:vAlign w:val="center"/>
          </w:tcPr>
          <w:p w14:paraId="09387B63" w14:textId="77777777" w:rsidR="0018774D" w:rsidRPr="00AB3710" w:rsidRDefault="0018774D" w:rsidP="00582355">
            <w:pPr>
              <w:jc w:val="center"/>
              <w:rPr>
                <w:rFonts w:cs="Arial"/>
              </w:rPr>
            </w:pPr>
          </w:p>
          <w:p w14:paraId="56E22868" w14:textId="43EADC4F" w:rsidR="0018774D" w:rsidRPr="00AB3710" w:rsidRDefault="0018774D" w:rsidP="00582355">
            <w:pPr>
              <w:jc w:val="center"/>
              <w:rPr>
                <w:rFonts w:cs="Arial"/>
              </w:rPr>
            </w:pPr>
            <w:r w:rsidRPr="00AB3710">
              <w:rPr>
                <w:rFonts w:cs="Arial"/>
              </w:rPr>
              <w:t>20</w:t>
            </w:r>
          </w:p>
        </w:tc>
        <w:tc>
          <w:tcPr>
            <w:tcW w:w="2584" w:type="dxa"/>
            <w:vAlign w:val="center"/>
          </w:tcPr>
          <w:p w14:paraId="3D34F466" w14:textId="77777777" w:rsidR="0018774D" w:rsidRPr="00AB3710" w:rsidRDefault="0018774D" w:rsidP="00EA6380">
            <w:pPr>
              <w:rPr>
                <w:rFonts w:cs="Arial"/>
              </w:rPr>
            </w:pPr>
          </w:p>
          <w:p w14:paraId="3390C5FF" w14:textId="3D107B02" w:rsidR="0018774D" w:rsidRPr="00AB3710" w:rsidRDefault="00BD5D5F" w:rsidP="00EA6380">
            <w:pPr>
              <w:rPr>
                <w:rFonts w:cs="Arial"/>
              </w:rPr>
            </w:pPr>
            <w:r>
              <w:rPr>
                <w:rFonts w:cs="Arial"/>
              </w:rPr>
              <w:t>40 minutes</w:t>
            </w:r>
          </w:p>
        </w:tc>
      </w:tr>
      <w:tr w:rsidR="0018774D" w14:paraId="621DFC5B" w14:textId="77777777" w:rsidTr="00EA6380">
        <w:trPr>
          <w:cnfStyle w:val="000000010000" w:firstRow="0" w:lastRow="0" w:firstColumn="0" w:lastColumn="0" w:oddVBand="0" w:evenVBand="0" w:oddHBand="0" w:evenHBand="1" w:firstRowFirstColumn="0" w:firstRowLastColumn="0" w:lastRowFirstColumn="0" w:lastRowLastColumn="0"/>
        </w:trPr>
        <w:tc>
          <w:tcPr>
            <w:tcW w:w="5240" w:type="dxa"/>
            <w:vAlign w:val="center"/>
          </w:tcPr>
          <w:p w14:paraId="67E5D0FC" w14:textId="77777777" w:rsidR="0018774D" w:rsidRPr="00AB3710" w:rsidRDefault="0018774D" w:rsidP="00EA6380">
            <w:pPr>
              <w:spacing w:before="192" w:after="192"/>
              <w:rPr>
                <w:rFonts w:cs="Arial"/>
              </w:rPr>
            </w:pPr>
            <w:r w:rsidRPr="00AB3710">
              <w:rPr>
                <w:rFonts w:cs="Arial"/>
              </w:rPr>
              <w:t>Section I: Part B</w:t>
            </w:r>
          </w:p>
          <w:p w14:paraId="629362B3" w14:textId="0DA1BD06" w:rsidR="0018774D" w:rsidRPr="00582355" w:rsidRDefault="00BD5D5F" w:rsidP="00582355">
            <w:pPr>
              <w:spacing w:before="192" w:after="192"/>
              <w:rPr>
                <w:rFonts w:cs="Arial"/>
              </w:rPr>
            </w:pPr>
            <w:r w:rsidRPr="00BD5D5F">
              <w:rPr>
                <w:rFonts w:cs="Arial"/>
              </w:rPr>
              <w:t>Approximately 6 short answer questions containing parts (approximately 8 items in total)</w:t>
            </w:r>
          </w:p>
        </w:tc>
        <w:tc>
          <w:tcPr>
            <w:tcW w:w="1418" w:type="dxa"/>
            <w:vAlign w:val="center"/>
          </w:tcPr>
          <w:p w14:paraId="4B3E57E0" w14:textId="2460B55C" w:rsidR="0018774D" w:rsidRPr="00AB3710" w:rsidRDefault="0018774D" w:rsidP="00582355">
            <w:pPr>
              <w:spacing w:before="192" w:after="192"/>
              <w:jc w:val="center"/>
              <w:rPr>
                <w:rFonts w:cs="Arial"/>
              </w:rPr>
            </w:pPr>
            <w:r w:rsidRPr="00AB3710">
              <w:rPr>
                <w:rFonts w:cs="Arial"/>
              </w:rPr>
              <w:t>40</w:t>
            </w:r>
          </w:p>
        </w:tc>
        <w:tc>
          <w:tcPr>
            <w:tcW w:w="2584" w:type="dxa"/>
            <w:vAlign w:val="center"/>
          </w:tcPr>
          <w:p w14:paraId="31BE06F7" w14:textId="43128506" w:rsidR="0018774D" w:rsidRPr="00AB3710" w:rsidRDefault="00582355" w:rsidP="00EA6380">
            <w:pPr>
              <w:spacing w:before="192" w:after="192"/>
              <w:rPr>
                <w:rFonts w:cs="Arial"/>
              </w:rPr>
            </w:pPr>
            <w:r w:rsidRPr="00582355">
              <w:rPr>
                <w:rFonts w:cs="Arial"/>
              </w:rPr>
              <w:t>1 hour and 10 minutes</w:t>
            </w:r>
          </w:p>
        </w:tc>
      </w:tr>
      <w:tr w:rsidR="0018774D" w14:paraId="30759667" w14:textId="77777777" w:rsidTr="00EA6380">
        <w:trPr>
          <w:cnfStyle w:val="000000100000" w:firstRow="0" w:lastRow="0" w:firstColumn="0" w:lastColumn="0" w:oddVBand="0" w:evenVBand="0" w:oddHBand="1" w:evenHBand="0" w:firstRowFirstColumn="0" w:firstRowLastColumn="0" w:lastRowFirstColumn="0" w:lastRowLastColumn="0"/>
        </w:trPr>
        <w:tc>
          <w:tcPr>
            <w:tcW w:w="5240" w:type="dxa"/>
            <w:vAlign w:val="center"/>
          </w:tcPr>
          <w:p w14:paraId="33672BF7" w14:textId="77777777" w:rsidR="0018774D" w:rsidRPr="00AB3710" w:rsidRDefault="0018774D" w:rsidP="00EA6380">
            <w:pPr>
              <w:rPr>
                <w:rFonts w:cs="Arial"/>
              </w:rPr>
            </w:pPr>
            <w:r w:rsidRPr="00AB3710">
              <w:rPr>
                <w:rFonts w:cs="Arial"/>
              </w:rPr>
              <w:t>Section II: Options</w:t>
            </w:r>
          </w:p>
          <w:p w14:paraId="7B38B6FC" w14:textId="4FFC87B5" w:rsidR="0018774D" w:rsidRPr="00AB3710" w:rsidRDefault="00582355" w:rsidP="00EA6380">
            <w:pPr>
              <w:rPr>
                <w:rFonts w:cs="Arial"/>
              </w:rPr>
            </w:pPr>
            <w:r w:rsidRPr="00582355">
              <w:rPr>
                <w:rFonts w:cs="Arial"/>
              </w:rPr>
              <w:t>Short-answer and an extended response question on each of the option topics – TWO questions for each option studied</w:t>
            </w:r>
            <w:r w:rsidRPr="00582355">
              <w:rPr>
                <w:rFonts w:cs="Arial"/>
              </w:rPr>
              <w:tab/>
            </w:r>
          </w:p>
        </w:tc>
        <w:tc>
          <w:tcPr>
            <w:tcW w:w="1418" w:type="dxa"/>
            <w:vAlign w:val="center"/>
          </w:tcPr>
          <w:p w14:paraId="49D0D529" w14:textId="373CB629" w:rsidR="0018774D" w:rsidRPr="00AB3710" w:rsidRDefault="0018774D" w:rsidP="00582355">
            <w:pPr>
              <w:jc w:val="center"/>
              <w:rPr>
                <w:rFonts w:cs="Arial"/>
              </w:rPr>
            </w:pPr>
            <w:r w:rsidRPr="00AB3710">
              <w:rPr>
                <w:rFonts w:cs="Arial"/>
              </w:rPr>
              <w:t>40</w:t>
            </w:r>
          </w:p>
        </w:tc>
        <w:tc>
          <w:tcPr>
            <w:tcW w:w="2584" w:type="dxa"/>
            <w:vAlign w:val="center"/>
          </w:tcPr>
          <w:p w14:paraId="4D116C53" w14:textId="0D7AB349" w:rsidR="0018774D" w:rsidRPr="00AB3710" w:rsidRDefault="00582355" w:rsidP="00EA6380">
            <w:pPr>
              <w:rPr>
                <w:rFonts w:cs="Arial"/>
              </w:rPr>
            </w:pPr>
            <w:r w:rsidRPr="00582355">
              <w:rPr>
                <w:rFonts w:cs="Arial"/>
              </w:rPr>
              <w:t>1 hour and 10 minutes</w:t>
            </w:r>
          </w:p>
        </w:tc>
      </w:tr>
    </w:tbl>
    <w:p w14:paraId="2921659B" w14:textId="77777777" w:rsidR="0018774D" w:rsidRDefault="0018774D" w:rsidP="00FA71C1"/>
    <w:p w14:paraId="59B8367C" w14:textId="0D868915" w:rsidR="00FA71C1" w:rsidRDefault="00FA71C1" w:rsidP="00FA71C1">
      <w:r>
        <w:lastRenderedPageBreak/>
        <w:t>It is recommended that students record on their examination the start and finish times for each section using the time allocation as a guide. This is particularly important where students choose not to complete the exam in the order it is written. Students should factor in reviewing their answers as a part of the allocated time for each section.</w:t>
      </w:r>
    </w:p>
    <w:p w14:paraId="0B0F0C4A" w14:textId="07A39E98" w:rsidR="00FA71C1" w:rsidRDefault="00FA71C1" w:rsidP="00975F67">
      <w:pPr>
        <w:pStyle w:val="Heading5"/>
        <w:ind w:left="0"/>
      </w:pPr>
      <w:r>
        <w:t xml:space="preserve">Examination </w:t>
      </w:r>
      <w:r w:rsidR="00975F67">
        <w:t>r</w:t>
      </w:r>
      <w:r>
        <w:t>ubric</w:t>
      </w:r>
    </w:p>
    <w:p w14:paraId="5B57332C" w14:textId="77777777" w:rsidR="00FA71C1" w:rsidRDefault="00FA71C1" w:rsidP="00FA71C1">
      <w:r>
        <w:t xml:space="preserve">Some sections of the exam papers contain examination rubrics that show the general criteria used for assessing responses. The rubrics indicate to you the basis on which your performance in that section will be assessed. In the HSC PDHPE exam, the rubric applies to Section II, the options questions. </w:t>
      </w:r>
    </w:p>
    <w:p w14:paraId="3B52F2FB" w14:textId="77777777" w:rsidR="00FA71C1" w:rsidRDefault="00FA71C1" w:rsidP="00FA71C1">
      <w:r>
        <w:t xml:space="preserve">For example, </w:t>
      </w:r>
    </w:p>
    <w:p w14:paraId="78405269" w14:textId="77777777" w:rsidR="00FA71C1" w:rsidRDefault="00FA71C1" w:rsidP="00FA71C1">
      <w:r>
        <w:t>In your answers you will be assessed on how well you:</w:t>
      </w:r>
    </w:p>
    <w:p w14:paraId="56A66E12" w14:textId="66C86F68" w:rsidR="00FA71C1" w:rsidRDefault="00FA71C1" w:rsidP="00975F67">
      <w:pPr>
        <w:pStyle w:val="ListBullet"/>
      </w:pPr>
      <w:r>
        <w:t>demonstrate knowledge and understanding of health and physical activity concepts relevant to the question</w:t>
      </w:r>
    </w:p>
    <w:p w14:paraId="49D97FFB" w14:textId="2C3C5450" w:rsidR="00FA71C1" w:rsidRDefault="00FA71C1" w:rsidP="00975F67">
      <w:pPr>
        <w:pStyle w:val="ListBullet"/>
      </w:pPr>
      <w:r>
        <w:t>apply the skills of critical thinking and analysis</w:t>
      </w:r>
    </w:p>
    <w:p w14:paraId="380F990D" w14:textId="12EB3226" w:rsidR="00FA71C1" w:rsidRDefault="00FA71C1" w:rsidP="00975F67">
      <w:pPr>
        <w:pStyle w:val="ListBullet"/>
      </w:pPr>
      <w:r>
        <w:t>communicate ideas and information using relevant examples</w:t>
      </w:r>
    </w:p>
    <w:p w14:paraId="4DB18901" w14:textId="03015BE9" w:rsidR="00FA71C1" w:rsidRDefault="00FA71C1" w:rsidP="00FA71C1">
      <w:pPr>
        <w:pStyle w:val="ListBullet"/>
      </w:pPr>
      <w:r>
        <w:t>present a logical and cohesive response</w:t>
      </w:r>
    </w:p>
    <w:p w14:paraId="2EE1DB15" w14:textId="77777777" w:rsidR="00FA71C1" w:rsidRDefault="00FA71C1" w:rsidP="00975F67">
      <w:pPr>
        <w:pStyle w:val="Heading4"/>
        <w:ind w:left="0"/>
      </w:pPr>
      <w:r>
        <w:t>How much should you write in your responses to short-answer questions?</w:t>
      </w:r>
    </w:p>
    <w:p w14:paraId="299E87CD" w14:textId="77777777" w:rsidR="00FA71C1" w:rsidRDefault="00FA71C1" w:rsidP="00FA71C1">
      <w:r>
        <w:t xml:space="preserve">Short-answer questions often have an answer space in which to write a response. The mark value of the question gives you an indication of the amount of time to spend answering the question, and the size of the space provides guidance for the expected length of the response. There is also advice regarding the length of time to allow for completing each section on the cover of the HSC exam papers. </w:t>
      </w:r>
    </w:p>
    <w:p w14:paraId="41CC8EC7" w14:textId="77777777" w:rsidR="00FA71C1" w:rsidRDefault="00FA71C1" w:rsidP="00FA71C1">
      <w:r>
        <w:t xml:space="preserve">The PDHPE HSC examination specifications give guidance on the expected length of extended responses. This length is presented as the approximate number of exam writing booklet pages based on average-sized handwriting, and/or an approximate number of words. The expected length for extended exam responses does not appear on the HSC exam paper. </w:t>
      </w:r>
    </w:p>
    <w:p w14:paraId="5F8E30D2" w14:textId="77777777" w:rsidR="00FA71C1" w:rsidRDefault="00FA71C1" w:rsidP="00FA71C1">
      <w:r>
        <w:t>Students may write less than or more than what is expected and they will not be penalised. Responses will be marked on the structure and organisation of responses, the quality of the arguments and explanations, and the relevance of the content to the question asked. Responses should be carefully planned rather than contain everything you know about a topic.</w:t>
      </w:r>
    </w:p>
    <w:p w14:paraId="6CF3E1E5" w14:textId="77777777" w:rsidR="00FA71C1" w:rsidRDefault="00FA71C1" w:rsidP="00CC37F1">
      <w:pPr>
        <w:pStyle w:val="Heading4"/>
        <w:ind w:left="0"/>
      </w:pPr>
      <w:r>
        <w:lastRenderedPageBreak/>
        <w:t>Weighting and glossary terms (directive verbs)</w:t>
      </w:r>
    </w:p>
    <w:p w14:paraId="632E06D3" w14:textId="77777777" w:rsidR="00FA71C1" w:rsidRDefault="00FA71C1" w:rsidP="00FA71C1">
      <w:r>
        <w:t xml:space="preserve">A range of key terms can be used within HSC questions. The weighting of the question would guide the depth of the response. Do not always rely on the complexity of the verb to guide you. </w:t>
      </w:r>
    </w:p>
    <w:p w14:paraId="3A15C2B2" w14:textId="5946FCCE" w:rsidR="00FA71C1" w:rsidRDefault="00FA71C1" w:rsidP="00FA71C1">
      <w:r>
        <w:t>Marks are allocated to each question. The higher the marks, the longer the response required, the greater the time allocated to developing a response and the higher level of understanding expected within the answer. Questions with higher mark value expect students to be able to appreciate the significance of the content required in relation to the whole.</w:t>
      </w:r>
    </w:p>
    <w:p w14:paraId="3FF9079A" w14:textId="77777777" w:rsidR="000111F7" w:rsidRDefault="000111F7" w:rsidP="00747B14">
      <w:pPr>
        <w:pStyle w:val="Heading4"/>
        <w:ind w:left="0"/>
      </w:pPr>
      <w:r>
        <w:t>Examination and marking processes</w:t>
      </w:r>
    </w:p>
    <w:p w14:paraId="4FA576E9" w14:textId="77777777" w:rsidR="000111F7" w:rsidRDefault="000111F7" w:rsidP="000111F7">
      <w:r>
        <w:t xml:space="preserve">Following is some important information for students about the setting and marking of exams. </w:t>
      </w:r>
    </w:p>
    <w:p w14:paraId="19CFABED" w14:textId="24E97D55" w:rsidR="000111F7" w:rsidRDefault="000111F7" w:rsidP="00747B14">
      <w:pPr>
        <w:pStyle w:val="ListBullet"/>
      </w:pPr>
      <w:r>
        <w:t xml:space="preserve">The HSC exam is finalised each year by October. </w:t>
      </w:r>
    </w:p>
    <w:p w14:paraId="4F03706C" w14:textId="5C8E12F6" w:rsidR="000111F7" w:rsidRDefault="000111F7" w:rsidP="00747B14">
      <w:pPr>
        <w:pStyle w:val="ListBullet"/>
      </w:pPr>
      <w:r>
        <w:t xml:space="preserve">Issues and changes which are relevant to PDHPE but occur after the examination has been set are not expected to be answered on by students. </w:t>
      </w:r>
    </w:p>
    <w:p w14:paraId="51FCCA75" w14:textId="5996164A" w:rsidR="000111F7" w:rsidRDefault="000111F7" w:rsidP="00747B14">
      <w:pPr>
        <w:pStyle w:val="ListBullet"/>
      </w:pPr>
      <w:r>
        <w:t xml:space="preserve">Exams are marked using marking guidelines and criteria, as per other assessments. These guidelines, sample answers and marking criteria are all developed by October in line with the examination. </w:t>
      </w:r>
    </w:p>
    <w:p w14:paraId="69EFC191" w14:textId="393D54FE" w:rsidR="000111F7" w:rsidRDefault="000111F7" w:rsidP="00747B14">
      <w:pPr>
        <w:pStyle w:val="ListBullet"/>
      </w:pPr>
      <w:r>
        <w:t xml:space="preserve">Markers go through a rigorous process before they mark exams. Practice marking is used for several days to develop consistency for all markers. </w:t>
      </w:r>
    </w:p>
    <w:p w14:paraId="2DE1DA6D" w14:textId="6DB99440" w:rsidR="000111F7" w:rsidRDefault="000111F7" w:rsidP="00747B14">
      <w:pPr>
        <w:pStyle w:val="ListBullet"/>
      </w:pPr>
      <w:r>
        <w:t xml:space="preserve">HSC exams are marked positively, </w:t>
      </w:r>
      <w:proofErr w:type="spellStart"/>
      <w:r>
        <w:t>ie</w:t>
      </w:r>
      <w:proofErr w:type="spellEnd"/>
      <w:r>
        <w:t xml:space="preserve">. Markers are looking for marks not looking to take off marks. Anything on the exam paper or booklets will be marked as a method of allocating marks where they are due. Students will not lose marks for incorrect information in short or extended answer responses. </w:t>
      </w:r>
    </w:p>
    <w:p w14:paraId="4C856003" w14:textId="5FA28646" w:rsidR="000111F7" w:rsidRDefault="000111F7" w:rsidP="00747B14">
      <w:pPr>
        <w:pStyle w:val="ListBullet"/>
      </w:pPr>
      <w:r>
        <w:t>Exams are marked in a central location. Markers do not know the school or students for which they are marking, they are merely provided a set of scripts with student numbers.</w:t>
      </w:r>
    </w:p>
    <w:p w14:paraId="33C139D1" w14:textId="7BD06283" w:rsidR="000111F7" w:rsidRDefault="000111F7" w:rsidP="00747B14">
      <w:pPr>
        <w:pStyle w:val="ListBullet"/>
      </w:pPr>
      <w:r>
        <w:t xml:space="preserve">Markers will mark the same question for the period of marking. Extended response questions are marked by two markers on different teams for consistency.  </w:t>
      </w:r>
    </w:p>
    <w:p w14:paraId="662966BD" w14:textId="1EA44A4E" w:rsidR="003D22E3" w:rsidRPr="000111F7" w:rsidRDefault="000111F7" w:rsidP="00747B14">
      <w:pPr>
        <w:pStyle w:val="ListBullet"/>
      </w:pPr>
      <w:r>
        <w:t>Marking guidelines are also developed when the exam is written.</w:t>
      </w:r>
    </w:p>
    <w:p w14:paraId="7B097D04" w14:textId="77777777" w:rsidR="000F156A" w:rsidRPr="00C86A1F" w:rsidRDefault="000F156A" w:rsidP="003D22E3">
      <w:pPr>
        <w:rPr>
          <w:rFonts w:cs="Arial"/>
        </w:rPr>
      </w:pPr>
    </w:p>
    <w:sectPr w:rsidR="000F156A" w:rsidRPr="00C86A1F" w:rsidSect="00FF1833">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65653" w14:textId="648DC3A6" w:rsidR="00094EC7" w:rsidRDefault="00094EC7">
      <w:r>
        <w:separator/>
      </w:r>
    </w:p>
    <w:p w14:paraId="3CFA9687" w14:textId="77777777" w:rsidR="00094EC7" w:rsidRDefault="00094EC7"/>
  </w:endnote>
  <w:endnote w:type="continuationSeparator" w:id="0">
    <w:p w14:paraId="0A3A9C86" w14:textId="177A3704" w:rsidR="00094EC7" w:rsidRDefault="00094EC7">
      <w:r>
        <w:continuationSeparator/>
      </w:r>
    </w:p>
    <w:p w14:paraId="059380E6" w14:textId="77777777" w:rsidR="00094EC7" w:rsidRDefault="00094EC7"/>
  </w:endnote>
  <w:endnote w:type="continuationNotice" w:id="1">
    <w:p w14:paraId="3FF699B1" w14:textId="77777777" w:rsidR="00094EC7" w:rsidRDefault="00094EC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621" w14:textId="2A009320" w:rsidR="007A3356" w:rsidRPr="004D333E" w:rsidRDefault="004D333E" w:rsidP="00025AE9">
    <w:pPr>
      <w:pStyle w:val="Footer"/>
      <w:ind w:left="0" w:right="418"/>
    </w:pPr>
    <w:r w:rsidRPr="002810D3">
      <w:fldChar w:fldCharType="begin"/>
    </w:r>
    <w:r w:rsidRPr="002810D3">
      <w:instrText xml:space="preserve"> PAGE </w:instrText>
    </w:r>
    <w:r w:rsidRPr="002810D3">
      <w:fldChar w:fldCharType="separate"/>
    </w:r>
    <w:r w:rsidR="00AA2F15">
      <w:rPr>
        <w:noProof/>
      </w:rPr>
      <w:t>2</w:t>
    </w:r>
    <w:r w:rsidRPr="002810D3">
      <w:fldChar w:fldCharType="end"/>
    </w:r>
    <w:r w:rsidRPr="002810D3">
      <w:tab/>
    </w:r>
    <w:r w:rsidR="007C2327" w:rsidRPr="007C2327">
      <w:t>Breaking down the HSC exam: PDHPE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3F8E" w14:textId="324272B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A6F3E">
      <w:rPr>
        <w:noProof/>
      </w:rPr>
      <w:t>May-21</w:t>
    </w:r>
    <w:r w:rsidRPr="002810D3">
      <w:fldChar w:fldCharType="end"/>
    </w:r>
    <w:r w:rsidR="00FF1833">
      <w:t>20</w:t>
    </w:r>
    <w:r w:rsidRPr="002810D3">
      <w:tab/>
    </w:r>
    <w:r w:rsidRPr="002810D3">
      <w:fldChar w:fldCharType="begin"/>
    </w:r>
    <w:r w:rsidRPr="002810D3">
      <w:instrText xml:space="preserve"> PAGE </w:instrText>
    </w:r>
    <w:r w:rsidRPr="002810D3">
      <w:fldChar w:fldCharType="separate"/>
    </w:r>
    <w:r w:rsidR="00692787">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E152" w14:textId="77777777" w:rsidR="00493120" w:rsidRDefault="18EABEEC" w:rsidP="007C2327">
    <w:pPr>
      <w:pStyle w:val="Logo"/>
      <w:tabs>
        <w:tab w:val="clear" w:pos="10199"/>
        <w:tab w:val="right" w:pos="9632"/>
      </w:tabs>
      <w:ind w:left="0" w:right="-7"/>
    </w:pPr>
    <w:r w:rsidRPr="18EABEEC">
      <w:rPr>
        <w:sz w:val="24"/>
        <w:szCs w:val="24"/>
      </w:rPr>
      <w:t>education.nsw.gov.au</w:t>
    </w:r>
    <w:r w:rsidR="00493120" w:rsidRPr="00791B72">
      <w:tab/>
    </w:r>
    <w:r w:rsidR="00493120" w:rsidRPr="009C69B7">
      <w:rPr>
        <w:noProof/>
        <w:lang w:eastAsia="en-AU"/>
      </w:rPr>
      <w:drawing>
        <wp:inline distT="0" distB="0" distL="0" distR="0" wp14:anchorId="551A7FAB" wp14:editId="74A0A68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C5199" w14:textId="0B123415" w:rsidR="00094EC7" w:rsidRDefault="00094EC7">
      <w:r>
        <w:separator/>
      </w:r>
    </w:p>
    <w:p w14:paraId="11C34B21" w14:textId="77777777" w:rsidR="00094EC7" w:rsidRDefault="00094EC7"/>
  </w:footnote>
  <w:footnote w:type="continuationSeparator" w:id="0">
    <w:p w14:paraId="6D411814" w14:textId="5E38BA9F" w:rsidR="00094EC7" w:rsidRDefault="00094EC7">
      <w:r>
        <w:continuationSeparator/>
      </w:r>
    </w:p>
    <w:p w14:paraId="7545AC60" w14:textId="77777777" w:rsidR="00094EC7" w:rsidRDefault="00094EC7"/>
  </w:footnote>
  <w:footnote w:type="continuationNotice" w:id="1">
    <w:p w14:paraId="5BDADA38" w14:textId="77777777" w:rsidR="00094EC7" w:rsidRDefault="00094EC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53A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652" w:firstLine="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851"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68FA7E1E"/>
    <w:multiLevelType w:val="hybridMultilevel"/>
    <w:tmpl w:val="44806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AE73AE6"/>
    <w:multiLevelType w:val="multilevel"/>
    <w:tmpl w:val="911EBBF6"/>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10"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lowerLetter"/>
      <w:lvlText w:val="%6)"/>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hideSpellingErrors/>
  <w:hideGrammaticalErrors/>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33"/>
    <w:rsid w:val="0000031A"/>
    <w:rsid w:val="00001C08"/>
    <w:rsid w:val="00002BF1"/>
    <w:rsid w:val="00006220"/>
    <w:rsid w:val="00006CD7"/>
    <w:rsid w:val="000103FC"/>
    <w:rsid w:val="00010746"/>
    <w:rsid w:val="000111F7"/>
    <w:rsid w:val="000133E2"/>
    <w:rsid w:val="000143DF"/>
    <w:rsid w:val="000151F8"/>
    <w:rsid w:val="00015D43"/>
    <w:rsid w:val="00016801"/>
    <w:rsid w:val="00021171"/>
    <w:rsid w:val="00023790"/>
    <w:rsid w:val="00024602"/>
    <w:rsid w:val="000252FF"/>
    <w:rsid w:val="000253AE"/>
    <w:rsid w:val="00025AE9"/>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2593"/>
    <w:rsid w:val="0009452F"/>
    <w:rsid w:val="00094EC7"/>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8EF"/>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56A"/>
    <w:rsid w:val="000F174A"/>
    <w:rsid w:val="000F7960"/>
    <w:rsid w:val="000F7A89"/>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681E"/>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71E0"/>
    <w:rsid w:val="0017075C"/>
    <w:rsid w:val="00170CB5"/>
    <w:rsid w:val="00171601"/>
    <w:rsid w:val="00174183"/>
    <w:rsid w:val="00175B70"/>
    <w:rsid w:val="00176C65"/>
    <w:rsid w:val="00180A15"/>
    <w:rsid w:val="001810F4"/>
    <w:rsid w:val="00181128"/>
    <w:rsid w:val="0018179E"/>
    <w:rsid w:val="00182B46"/>
    <w:rsid w:val="00183987"/>
    <w:rsid w:val="001839C3"/>
    <w:rsid w:val="00183B80"/>
    <w:rsid w:val="00183DB2"/>
    <w:rsid w:val="00183E9C"/>
    <w:rsid w:val="001841F1"/>
    <w:rsid w:val="0018571A"/>
    <w:rsid w:val="001859B6"/>
    <w:rsid w:val="0018774D"/>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3C22"/>
    <w:rsid w:val="00216957"/>
    <w:rsid w:val="00217731"/>
    <w:rsid w:val="00217AE6"/>
    <w:rsid w:val="0021BF2B"/>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D74"/>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7B3"/>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131"/>
    <w:rsid w:val="002B4745"/>
    <w:rsid w:val="002B480D"/>
    <w:rsid w:val="002B4845"/>
    <w:rsid w:val="002B4AC3"/>
    <w:rsid w:val="002B7744"/>
    <w:rsid w:val="002C05AC"/>
    <w:rsid w:val="002C139C"/>
    <w:rsid w:val="002C3953"/>
    <w:rsid w:val="002C56A0"/>
    <w:rsid w:val="002C7496"/>
    <w:rsid w:val="002C758B"/>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263"/>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441"/>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670"/>
    <w:rsid w:val="003807AF"/>
    <w:rsid w:val="00380856"/>
    <w:rsid w:val="00380E60"/>
    <w:rsid w:val="00380EAE"/>
    <w:rsid w:val="00382A6F"/>
    <w:rsid w:val="00382C57"/>
    <w:rsid w:val="00383B5F"/>
    <w:rsid w:val="00384483"/>
    <w:rsid w:val="0038499A"/>
    <w:rsid w:val="00384F53"/>
    <w:rsid w:val="00386D58"/>
    <w:rsid w:val="00387053"/>
    <w:rsid w:val="003951D9"/>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AAD"/>
    <w:rsid w:val="003D3B51"/>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410"/>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9ED"/>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0DD"/>
    <w:rsid w:val="00507451"/>
    <w:rsid w:val="00511F4D"/>
    <w:rsid w:val="00514D6B"/>
    <w:rsid w:val="0051574E"/>
    <w:rsid w:val="00515FC4"/>
    <w:rsid w:val="0051725F"/>
    <w:rsid w:val="00520095"/>
    <w:rsid w:val="00520645"/>
    <w:rsid w:val="0052168D"/>
    <w:rsid w:val="0052396A"/>
    <w:rsid w:val="0052782C"/>
    <w:rsid w:val="00527A41"/>
    <w:rsid w:val="0053033B"/>
    <w:rsid w:val="00530E46"/>
    <w:rsid w:val="005324EF"/>
    <w:rsid w:val="0053286B"/>
    <w:rsid w:val="0053310A"/>
    <w:rsid w:val="00536369"/>
    <w:rsid w:val="005400FF"/>
    <w:rsid w:val="00540E99"/>
    <w:rsid w:val="00541130"/>
    <w:rsid w:val="00546A8B"/>
    <w:rsid w:val="00546D5E"/>
    <w:rsid w:val="00546F02"/>
    <w:rsid w:val="0054770B"/>
    <w:rsid w:val="00551073"/>
    <w:rsid w:val="00551DA4"/>
    <w:rsid w:val="0055213A"/>
    <w:rsid w:val="00554956"/>
    <w:rsid w:val="00555DDB"/>
    <w:rsid w:val="00557BE6"/>
    <w:rsid w:val="005600BC"/>
    <w:rsid w:val="00563104"/>
    <w:rsid w:val="00563DF6"/>
    <w:rsid w:val="005646C1"/>
    <w:rsid w:val="005646CC"/>
    <w:rsid w:val="005652E4"/>
    <w:rsid w:val="00565730"/>
    <w:rsid w:val="00566671"/>
    <w:rsid w:val="00567B22"/>
    <w:rsid w:val="0057134C"/>
    <w:rsid w:val="0057331C"/>
    <w:rsid w:val="00573328"/>
    <w:rsid w:val="00573AC5"/>
    <w:rsid w:val="00573F07"/>
    <w:rsid w:val="005747FF"/>
    <w:rsid w:val="00576415"/>
    <w:rsid w:val="00580D0F"/>
    <w:rsid w:val="00582355"/>
    <w:rsid w:val="005824C0"/>
    <w:rsid w:val="00582560"/>
    <w:rsid w:val="00582FD7"/>
    <w:rsid w:val="005832ED"/>
    <w:rsid w:val="00583524"/>
    <w:rsid w:val="005835A2"/>
    <w:rsid w:val="00583853"/>
    <w:rsid w:val="005857A8"/>
    <w:rsid w:val="0058713B"/>
    <w:rsid w:val="005876D2"/>
    <w:rsid w:val="0059056C"/>
    <w:rsid w:val="0059130B"/>
    <w:rsid w:val="00593A0D"/>
    <w:rsid w:val="00596689"/>
    <w:rsid w:val="005A10A3"/>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538"/>
    <w:rsid w:val="005D1CC4"/>
    <w:rsid w:val="005D2D62"/>
    <w:rsid w:val="005D5A78"/>
    <w:rsid w:val="005D5DB0"/>
    <w:rsid w:val="005E0B43"/>
    <w:rsid w:val="005E4742"/>
    <w:rsid w:val="005E6829"/>
    <w:rsid w:val="005F10D4"/>
    <w:rsid w:val="005F26E8"/>
    <w:rsid w:val="005F275A"/>
    <w:rsid w:val="005F2E08"/>
    <w:rsid w:val="005F71BC"/>
    <w:rsid w:val="005F78DD"/>
    <w:rsid w:val="005F7A4D"/>
    <w:rsid w:val="00600003"/>
    <w:rsid w:val="00601B68"/>
    <w:rsid w:val="0060359B"/>
    <w:rsid w:val="00603C79"/>
    <w:rsid w:val="00603F69"/>
    <w:rsid w:val="006040DA"/>
    <w:rsid w:val="006047BD"/>
    <w:rsid w:val="00607675"/>
    <w:rsid w:val="00610F53"/>
    <w:rsid w:val="00611B08"/>
    <w:rsid w:val="00612E3F"/>
    <w:rsid w:val="00613208"/>
    <w:rsid w:val="00616767"/>
    <w:rsid w:val="0061698B"/>
    <w:rsid w:val="00616F61"/>
    <w:rsid w:val="00620917"/>
    <w:rsid w:val="0062163D"/>
    <w:rsid w:val="0062226E"/>
    <w:rsid w:val="00623A9E"/>
    <w:rsid w:val="00624A20"/>
    <w:rsid w:val="00624C9B"/>
    <w:rsid w:val="00630BB3"/>
    <w:rsid w:val="00632182"/>
    <w:rsid w:val="00632CF4"/>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71B"/>
    <w:rsid w:val="00650503"/>
    <w:rsid w:val="00651A1C"/>
    <w:rsid w:val="00651E73"/>
    <w:rsid w:val="006522FD"/>
    <w:rsid w:val="00652800"/>
    <w:rsid w:val="00653AB0"/>
    <w:rsid w:val="00653C5D"/>
    <w:rsid w:val="006544A7"/>
    <w:rsid w:val="006552BE"/>
    <w:rsid w:val="006618E3"/>
    <w:rsid w:val="00661BA8"/>
    <w:rsid w:val="00661D06"/>
    <w:rsid w:val="006638B4"/>
    <w:rsid w:val="0066400D"/>
    <w:rsid w:val="006644C4"/>
    <w:rsid w:val="0066569B"/>
    <w:rsid w:val="00665E3A"/>
    <w:rsid w:val="0066665B"/>
    <w:rsid w:val="00670EE3"/>
    <w:rsid w:val="0067119A"/>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8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6F6"/>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26C6"/>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A90"/>
    <w:rsid w:val="00712DA7"/>
    <w:rsid w:val="00714956"/>
    <w:rsid w:val="00715F89"/>
    <w:rsid w:val="00716FB7"/>
    <w:rsid w:val="00717C66"/>
    <w:rsid w:val="0072144B"/>
    <w:rsid w:val="00722D6B"/>
    <w:rsid w:val="00723956"/>
    <w:rsid w:val="00724203"/>
    <w:rsid w:val="0072507E"/>
    <w:rsid w:val="00725C3B"/>
    <w:rsid w:val="00725D14"/>
    <w:rsid w:val="00725E9B"/>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7B1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FCD"/>
    <w:rsid w:val="00772BA3"/>
    <w:rsid w:val="007763FE"/>
    <w:rsid w:val="00776998"/>
    <w:rsid w:val="007776A2"/>
    <w:rsid w:val="00777849"/>
    <w:rsid w:val="00780A99"/>
    <w:rsid w:val="00781C4F"/>
    <w:rsid w:val="00782487"/>
    <w:rsid w:val="00782A2E"/>
    <w:rsid w:val="00782B11"/>
    <w:rsid w:val="007836C0"/>
    <w:rsid w:val="0078667E"/>
    <w:rsid w:val="007908E9"/>
    <w:rsid w:val="007919DC"/>
    <w:rsid w:val="00791B72"/>
    <w:rsid w:val="00791C7F"/>
    <w:rsid w:val="00796888"/>
    <w:rsid w:val="007A1326"/>
    <w:rsid w:val="007A2B7B"/>
    <w:rsid w:val="007A3356"/>
    <w:rsid w:val="007A36F3"/>
    <w:rsid w:val="007A4CEF"/>
    <w:rsid w:val="007A55A8"/>
    <w:rsid w:val="007A6F3E"/>
    <w:rsid w:val="007B24C4"/>
    <w:rsid w:val="007B50E4"/>
    <w:rsid w:val="007B5236"/>
    <w:rsid w:val="007B6B2F"/>
    <w:rsid w:val="007C057B"/>
    <w:rsid w:val="007C1661"/>
    <w:rsid w:val="007C1A9E"/>
    <w:rsid w:val="007C2327"/>
    <w:rsid w:val="007C4D07"/>
    <w:rsid w:val="007C6E38"/>
    <w:rsid w:val="007D212E"/>
    <w:rsid w:val="007D458F"/>
    <w:rsid w:val="007D5655"/>
    <w:rsid w:val="007D5A52"/>
    <w:rsid w:val="007D7CF5"/>
    <w:rsid w:val="007D7E58"/>
    <w:rsid w:val="007E41AD"/>
    <w:rsid w:val="007E5E9E"/>
    <w:rsid w:val="007F1493"/>
    <w:rsid w:val="007F15BC"/>
    <w:rsid w:val="007F3524"/>
    <w:rsid w:val="007F4FB8"/>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69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25B"/>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E33"/>
    <w:rsid w:val="00975F67"/>
    <w:rsid w:val="00976246"/>
    <w:rsid w:val="00981475"/>
    <w:rsid w:val="00981668"/>
    <w:rsid w:val="00984331"/>
    <w:rsid w:val="00984C07"/>
    <w:rsid w:val="00985F69"/>
    <w:rsid w:val="00987813"/>
    <w:rsid w:val="00987F16"/>
    <w:rsid w:val="00990C18"/>
    <w:rsid w:val="00990C46"/>
    <w:rsid w:val="00991DEF"/>
    <w:rsid w:val="00992659"/>
    <w:rsid w:val="0099359F"/>
    <w:rsid w:val="00993B98"/>
    <w:rsid w:val="00993F37"/>
    <w:rsid w:val="009944F9"/>
    <w:rsid w:val="00994753"/>
    <w:rsid w:val="00995954"/>
    <w:rsid w:val="00995E81"/>
    <w:rsid w:val="00996470"/>
    <w:rsid w:val="00996603"/>
    <w:rsid w:val="009974B3"/>
    <w:rsid w:val="00997F5D"/>
    <w:rsid w:val="009A09AC"/>
    <w:rsid w:val="009A1B1A"/>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05E"/>
    <w:rsid w:val="009F7315"/>
    <w:rsid w:val="009F73D1"/>
    <w:rsid w:val="00A00D40"/>
    <w:rsid w:val="00A04A93"/>
    <w:rsid w:val="00A07569"/>
    <w:rsid w:val="00A07749"/>
    <w:rsid w:val="00A078FB"/>
    <w:rsid w:val="00A10CE1"/>
    <w:rsid w:val="00A10CED"/>
    <w:rsid w:val="00A128C6"/>
    <w:rsid w:val="00A13FEE"/>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C6A"/>
    <w:rsid w:val="00A752B5"/>
    <w:rsid w:val="00A774B4"/>
    <w:rsid w:val="00A77927"/>
    <w:rsid w:val="00A80144"/>
    <w:rsid w:val="00A81734"/>
    <w:rsid w:val="00A81791"/>
    <w:rsid w:val="00A8195D"/>
    <w:rsid w:val="00A81DC9"/>
    <w:rsid w:val="00A82923"/>
    <w:rsid w:val="00A8372C"/>
    <w:rsid w:val="00A855FA"/>
    <w:rsid w:val="00A864BB"/>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2F15"/>
    <w:rsid w:val="00AA3B89"/>
    <w:rsid w:val="00AA5E50"/>
    <w:rsid w:val="00AA642B"/>
    <w:rsid w:val="00AB0677"/>
    <w:rsid w:val="00AB1983"/>
    <w:rsid w:val="00AB23C3"/>
    <w:rsid w:val="00AB24DB"/>
    <w:rsid w:val="00AB35D0"/>
    <w:rsid w:val="00AB3710"/>
    <w:rsid w:val="00AB77E7"/>
    <w:rsid w:val="00AC1DCF"/>
    <w:rsid w:val="00AC23B1"/>
    <w:rsid w:val="00AC260E"/>
    <w:rsid w:val="00AC2AF9"/>
    <w:rsid w:val="00AC2B1F"/>
    <w:rsid w:val="00AC2F71"/>
    <w:rsid w:val="00AC47A6"/>
    <w:rsid w:val="00AC60C5"/>
    <w:rsid w:val="00AC741A"/>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A7D"/>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1B95"/>
    <w:rsid w:val="00BB2332"/>
    <w:rsid w:val="00BB239F"/>
    <w:rsid w:val="00BB2494"/>
    <w:rsid w:val="00BB2522"/>
    <w:rsid w:val="00BB28A3"/>
    <w:rsid w:val="00BB4367"/>
    <w:rsid w:val="00BB5218"/>
    <w:rsid w:val="00BB72C0"/>
    <w:rsid w:val="00BB7FF3"/>
    <w:rsid w:val="00BC0AF1"/>
    <w:rsid w:val="00BC27BE"/>
    <w:rsid w:val="00BC3779"/>
    <w:rsid w:val="00BC41A0"/>
    <w:rsid w:val="00BC43D8"/>
    <w:rsid w:val="00BD0186"/>
    <w:rsid w:val="00BD1661"/>
    <w:rsid w:val="00BD5D5F"/>
    <w:rsid w:val="00BD6178"/>
    <w:rsid w:val="00BD6348"/>
    <w:rsid w:val="00BE147F"/>
    <w:rsid w:val="00BE1BBC"/>
    <w:rsid w:val="00BE46B5"/>
    <w:rsid w:val="00BE5A6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4CE"/>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EB2"/>
    <w:rsid w:val="00C62F54"/>
    <w:rsid w:val="00C63AEA"/>
    <w:rsid w:val="00C67BBF"/>
    <w:rsid w:val="00C70168"/>
    <w:rsid w:val="00C718DD"/>
    <w:rsid w:val="00C71AFB"/>
    <w:rsid w:val="00C74707"/>
    <w:rsid w:val="00C74BF8"/>
    <w:rsid w:val="00C767C7"/>
    <w:rsid w:val="00C77595"/>
    <w:rsid w:val="00C779FD"/>
    <w:rsid w:val="00C77D84"/>
    <w:rsid w:val="00C80B9E"/>
    <w:rsid w:val="00C841B7"/>
    <w:rsid w:val="00C84A6C"/>
    <w:rsid w:val="00C8667D"/>
    <w:rsid w:val="00C86967"/>
    <w:rsid w:val="00C86A1F"/>
    <w:rsid w:val="00C8759D"/>
    <w:rsid w:val="00C928A8"/>
    <w:rsid w:val="00C93044"/>
    <w:rsid w:val="00C95246"/>
    <w:rsid w:val="00CA103E"/>
    <w:rsid w:val="00CA6C45"/>
    <w:rsid w:val="00CA74F6"/>
    <w:rsid w:val="00CA7568"/>
    <w:rsid w:val="00CA7603"/>
    <w:rsid w:val="00CB364E"/>
    <w:rsid w:val="00CB37B8"/>
    <w:rsid w:val="00CB4F1A"/>
    <w:rsid w:val="00CB58B4"/>
    <w:rsid w:val="00CB6577"/>
    <w:rsid w:val="00CB6768"/>
    <w:rsid w:val="00CB74C7"/>
    <w:rsid w:val="00CC1FE9"/>
    <w:rsid w:val="00CC37F1"/>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CE6"/>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A8"/>
    <w:rsid w:val="00D70087"/>
    <w:rsid w:val="00D7079E"/>
    <w:rsid w:val="00D70823"/>
    <w:rsid w:val="00D70AB1"/>
    <w:rsid w:val="00D70F23"/>
    <w:rsid w:val="00D73DD6"/>
    <w:rsid w:val="00D745F5"/>
    <w:rsid w:val="00D75392"/>
    <w:rsid w:val="00D7585E"/>
    <w:rsid w:val="00D759A3"/>
    <w:rsid w:val="00D82E32"/>
    <w:rsid w:val="00D835DA"/>
    <w:rsid w:val="00D83974"/>
    <w:rsid w:val="00D84133"/>
    <w:rsid w:val="00D8431C"/>
    <w:rsid w:val="00D8465B"/>
    <w:rsid w:val="00D85133"/>
    <w:rsid w:val="00D91607"/>
    <w:rsid w:val="00D92C82"/>
    <w:rsid w:val="00D93336"/>
    <w:rsid w:val="00D94314"/>
    <w:rsid w:val="00D95BC7"/>
    <w:rsid w:val="00D95C17"/>
    <w:rsid w:val="00D96043"/>
    <w:rsid w:val="00D97779"/>
    <w:rsid w:val="00DA1B49"/>
    <w:rsid w:val="00DA52F5"/>
    <w:rsid w:val="00DA73A3"/>
    <w:rsid w:val="00DB3080"/>
    <w:rsid w:val="00DB4E12"/>
    <w:rsid w:val="00DB5771"/>
    <w:rsid w:val="00DC0633"/>
    <w:rsid w:val="00DC0AB6"/>
    <w:rsid w:val="00DC0D61"/>
    <w:rsid w:val="00DC21CF"/>
    <w:rsid w:val="00DC3395"/>
    <w:rsid w:val="00DC3664"/>
    <w:rsid w:val="00DC4B9B"/>
    <w:rsid w:val="00DC6EFC"/>
    <w:rsid w:val="00DC7CDE"/>
    <w:rsid w:val="00DD195B"/>
    <w:rsid w:val="00DD243F"/>
    <w:rsid w:val="00DD46E9"/>
    <w:rsid w:val="00DD4711"/>
    <w:rsid w:val="00DD4812"/>
    <w:rsid w:val="00DD4CA7"/>
    <w:rsid w:val="00DD7FAF"/>
    <w:rsid w:val="00DE0097"/>
    <w:rsid w:val="00DE05AE"/>
    <w:rsid w:val="00DE0979"/>
    <w:rsid w:val="00DE12E9"/>
    <w:rsid w:val="00DE2E78"/>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6BDE"/>
    <w:rsid w:val="00E104C6"/>
    <w:rsid w:val="00E10C02"/>
    <w:rsid w:val="00E137F4"/>
    <w:rsid w:val="00E164F2"/>
    <w:rsid w:val="00E16F61"/>
    <w:rsid w:val="00E176A7"/>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5B2"/>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945"/>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3C5E"/>
    <w:rsid w:val="00F246D4"/>
    <w:rsid w:val="00F269DC"/>
    <w:rsid w:val="00F309E2"/>
    <w:rsid w:val="00F30C2D"/>
    <w:rsid w:val="00F318BD"/>
    <w:rsid w:val="00F32557"/>
    <w:rsid w:val="00F32CE9"/>
    <w:rsid w:val="00F332EF"/>
    <w:rsid w:val="00F33A6A"/>
    <w:rsid w:val="00F34D8E"/>
    <w:rsid w:val="00F3515A"/>
    <w:rsid w:val="00F3586E"/>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7AD"/>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4654"/>
    <w:rsid w:val="00F853F3"/>
    <w:rsid w:val="00F85864"/>
    <w:rsid w:val="00F8591B"/>
    <w:rsid w:val="00F8655C"/>
    <w:rsid w:val="00F90BCA"/>
    <w:rsid w:val="00F90E1A"/>
    <w:rsid w:val="00F91B79"/>
    <w:rsid w:val="00F920B6"/>
    <w:rsid w:val="00F94B27"/>
    <w:rsid w:val="00F96626"/>
    <w:rsid w:val="00F96946"/>
    <w:rsid w:val="00F97131"/>
    <w:rsid w:val="00F9720F"/>
    <w:rsid w:val="00F97B4B"/>
    <w:rsid w:val="00F97C84"/>
    <w:rsid w:val="00FA0156"/>
    <w:rsid w:val="00FA166A"/>
    <w:rsid w:val="00FA2CF6"/>
    <w:rsid w:val="00FA3065"/>
    <w:rsid w:val="00FA3EBB"/>
    <w:rsid w:val="00FA52F9"/>
    <w:rsid w:val="00FA71C1"/>
    <w:rsid w:val="00FB0346"/>
    <w:rsid w:val="00FB0E61"/>
    <w:rsid w:val="00FB10FF"/>
    <w:rsid w:val="00FB1AF9"/>
    <w:rsid w:val="00FB1D69"/>
    <w:rsid w:val="00FB2812"/>
    <w:rsid w:val="00FB282F"/>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91A"/>
    <w:rsid w:val="00FD7EC3"/>
    <w:rsid w:val="00FE0C73"/>
    <w:rsid w:val="00FE0F38"/>
    <w:rsid w:val="00FE108E"/>
    <w:rsid w:val="00FE10F9"/>
    <w:rsid w:val="00FE126B"/>
    <w:rsid w:val="00FE2356"/>
    <w:rsid w:val="00FE2629"/>
    <w:rsid w:val="00FE40B5"/>
    <w:rsid w:val="00FE660C"/>
    <w:rsid w:val="00FF05CF"/>
    <w:rsid w:val="00FF0F2A"/>
    <w:rsid w:val="00FF1833"/>
    <w:rsid w:val="00FF492B"/>
    <w:rsid w:val="00FF5EC7"/>
    <w:rsid w:val="00FF7815"/>
    <w:rsid w:val="00FF7892"/>
    <w:rsid w:val="0BCF29CF"/>
    <w:rsid w:val="143B5B50"/>
    <w:rsid w:val="18EABEEC"/>
    <w:rsid w:val="1EA56A73"/>
    <w:rsid w:val="1EB82516"/>
    <w:rsid w:val="219D27DD"/>
    <w:rsid w:val="2275A17A"/>
    <w:rsid w:val="26062616"/>
    <w:rsid w:val="2697C121"/>
    <w:rsid w:val="26FC7AF9"/>
    <w:rsid w:val="28C2964D"/>
    <w:rsid w:val="28D03182"/>
    <w:rsid w:val="2B0918DD"/>
    <w:rsid w:val="2B6C39AB"/>
    <w:rsid w:val="321CDE80"/>
    <w:rsid w:val="32D63191"/>
    <w:rsid w:val="342AD612"/>
    <w:rsid w:val="3D783EA1"/>
    <w:rsid w:val="42A31E7C"/>
    <w:rsid w:val="481B737E"/>
    <w:rsid w:val="49D03A0A"/>
    <w:rsid w:val="4B70F181"/>
    <w:rsid w:val="4BD6C4C0"/>
    <w:rsid w:val="52CB6CB3"/>
    <w:rsid w:val="5872A261"/>
    <w:rsid w:val="5EDEE642"/>
    <w:rsid w:val="61BEC7C3"/>
    <w:rsid w:val="630319BE"/>
    <w:rsid w:val="656F0466"/>
    <w:rsid w:val="657AF68E"/>
    <w:rsid w:val="670F9A3D"/>
    <w:rsid w:val="6EB2F195"/>
    <w:rsid w:val="77E226A7"/>
    <w:rsid w:val="78341DDF"/>
    <w:rsid w:val="7AC9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224A7C"/>
  <w14:defaultImageDpi w14:val="32767"/>
  <w15:chartTrackingRefBased/>
  <w15:docId w15:val="{CA084F03-F5C6-40AA-AA0F-51EA259D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D659A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9A8"/>
    <w:rPr>
      <w:rFonts w:ascii="Times New Roman" w:hAnsi="Times New Roman" w:cs="Times New Roman"/>
      <w:sz w:val="18"/>
      <w:szCs w:val="18"/>
      <w:lang w:val="en-AU"/>
    </w:rPr>
  </w:style>
  <w:style w:type="paragraph" w:styleId="NormalWeb">
    <w:name w:val="Normal (Web)"/>
    <w:basedOn w:val="Normal"/>
    <w:uiPriority w:val="99"/>
    <w:semiHidden/>
    <w:unhideWhenUsed/>
    <w:rsid w:val="000F156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F156A"/>
  </w:style>
  <w:style w:type="paragraph" w:styleId="ListParagraph">
    <w:name w:val="List Paragraph"/>
    <w:basedOn w:val="Normal"/>
    <w:uiPriority w:val="34"/>
    <w:qFormat/>
    <w:rsid w:val="002C139C"/>
    <w:pPr>
      <w:spacing w:before="0" w:after="160" w:line="256" w:lineRule="auto"/>
      <w:ind w:left="720"/>
      <w:contextualSpacing/>
    </w:pPr>
    <w:rPr>
      <w:rFonts w:asciiTheme="minorHAnsi" w:hAnsiTheme="minorHAnsi"/>
      <w:sz w:val="22"/>
      <w:szCs w:val="22"/>
    </w:rPr>
  </w:style>
  <w:style w:type="table" w:styleId="LightList-Accent1">
    <w:name w:val="Light List Accent 1"/>
    <w:basedOn w:val="TableNormal"/>
    <w:uiPriority w:val="61"/>
    <w:rsid w:val="00661BA8"/>
    <w:pPr>
      <w:spacing w:before="0" w:line="240" w:lineRule="auto"/>
    </w:pPr>
    <w:rPr>
      <w:sz w:val="22"/>
      <w:szCs w:val="22"/>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952">
      <w:bodyDiv w:val="1"/>
      <w:marLeft w:val="0"/>
      <w:marRight w:val="0"/>
      <w:marTop w:val="0"/>
      <w:marBottom w:val="0"/>
      <w:divBdr>
        <w:top w:val="none" w:sz="0" w:space="0" w:color="auto"/>
        <w:left w:val="none" w:sz="0" w:space="0" w:color="auto"/>
        <w:bottom w:val="none" w:sz="0" w:space="0" w:color="auto"/>
        <w:right w:val="none" w:sz="0" w:space="0" w:color="auto"/>
      </w:divBdr>
    </w:div>
    <w:div w:id="301620111">
      <w:bodyDiv w:val="1"/>
      <w:marLeft w:val="0"/>
      <w:marRight w:val="0"/>
      <w:marTop w:val="0"/>
      <w:marBottom w:val="0"/>
      <w:divBdr>
        <w:top w:val="none" w:sz="0" w:space="0" w:color="auto"/>
        <w:left w:val="none" w:sz="0" w:space="0" w:color="auto"/>
        <w:bottom w:val="none" w:sz="0" w:space="0" w:color="auto"/>
        <w:right w:val="none" w:sz="0" w:space="0" w:color="auto"/>
      </w:divBdr>
    </w:div>
    <w:div w:id="558781760">
      <w:bodyDiv w:val="1"/>
      <w:marLeft w:val="0"/>
      <w:marRight w:val="0"/>
      <w:marTop w:val="0"/>
      <w:marBottom w:val="0"/>
      <w:divBdr>
        <w:top w:val="none" w:sz="0" w:space="0" w:color="auto"/>
        <w:left w:val="none" w:sz="0" w:space="0" w:color="auto"/>
        <w:bottom w:val="none" w:sz="0" w:space="0" w:color="auto"/>
        <w:right w:val="none" w:sz="0" w:space="0" w:color="auto"/>
      </w:divBdr>
    </w:div>
    <w:div w:id="120123929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7C17-B7A1-45DC-AA08-C9D04785D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BB029-245A-4A74-90DE-19C2D07C80A4}">
  <ds:schemaRefs>
    <ds:schemaRef ds:uri="http://schemas.microsoft.com/sharepoint/v3/contenttype/forms"/>
  </ds:schemaRefs>
</ds:datastoreItem>
</file>

<file path=customXml/itemProps3.xml><?xml version="1.0" encoding="utf-8"?>
<ds:datastoreItem xmlns:ds="http://schemas.openxmlformats.org/officeDocument/2006/customXml" ds:itemID="{AAE38B1B-662D-4E3E-A338-F077B68084EF}">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33c16299-9e76-4446-b84b-eefe81b91f72"/>
    <ds:schemaRef ds:uri="02777ac0-bca4-49b9-b304-d2b7eff515d1"/>
    <ds:schemaRef ds:uri="http://www.w3.org/XML/1998/namespace"/>
  </ds:schemaRefs>
</ds:datastoreItem>
</file>

<file path=customXml/itemProps4.xml><?xml version="1.0" encoding="utf-8"?>
<ds:datastoreItem xmlns:ds="http://schemas.openxmlformats.org/officeDocument/2006/customXml" ds:itemID="{3D20BAC5-A004-42CB-873D-D695F7CF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Breaking down the HSC exam- PDHPE</dc:title>
  <dc:subject/>
  <dc:creator>Vas Ratusau</dc:creator>
  <cp:keywords>Stage 6, PDHPE</cp:keywords>
  <dc:description/>
  <cp:lastModifiedBy>Vas Ratusau</cp:lastModifiedBy>
  <cp:revision>2</cp:revision>
  <dcterms:created xsi:type="dcterms:W3CDTF">2021-05-18T04:06:00Z</dcterms:created>
  <dcterms:modified xsi:type="dcterms:W3CDTF">2021-05-18T04:06:00Z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