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22D4F0CB" w:rsidR="008A30C4" w:rsidRDefault="00E92015" w:rsidP="00E648DB">
      <w:pPr>
        <w:pStyle w:val="Title"/>
        <w:spacing w:line="360" w:lineRule="auto"/>
      </w:pPr>
      <w:r>
        <w:t>PDHPE s</w:t>
      </w:r>
      <w:r w:rsidR="00410B64">
        <w:t>ample Kindergarten</w:t>
      </w:r>
      <w:r w:rsidR="00872345">
        <w:t xml:space="preserve"> scope and sequence</w:t>
      </w:r>
    </w:p>
    <w:tbl>
      <w:tblPr>
        <w:tblStyle w:val="Tableheader"/>
        <w:tblW w:w="0" w:type="auto"/>
        <w:tblInd w:w="-30" w:type="dxa"/>
        <w:tblLayout w:type="fixed"/>
        <w:tblLook w:val="0420" w:firstRow="1" w:lastRow="0" w:firstColumn="0" w:lastColumn="0" w:noHBand="0" w:noVBand="1"/>
        <w:tblCaption w:val="PDHPE Sample Kindergarten scope and sequence "/>
      </w:tblPr>
      <w:tblGrid>
        <w:gridCol w:w="1361"/>
        <w:gridCol w:w="1361"/>
        <w:gridCol w:w="8959"/>
        <w:gridCol w:w="2835"/>
      </w:tblGrid>
      <w:tr w:rsidR="00872345" w:rsidRPr="007B6B2F" w14:paraId="1CEC4141" w14:textId="77777777" w:rsidTr="0076687C">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A4303F">
            <w:pPr>
              <w:keepNext w:val="0"/>
              <w:keepLines w:val="0"/>
              <w:widowControl/>
              <w:spacing w:after="0" w:line="360" w:lineRule="auto"/>
              <w:ind w:left="652" w:hanging="368"/>
              <w:textboxTightWrap w:val="none"/>
              <w:rPr>
                <w:lang w:eastAsia="zh-CN"/>
              </w:rPr>
            </w:pPr>
            <w:r>
              <w:rPr>
                <w:lang w:eastAsia="zh-CN"/>
              </w:rPr>
              <w:t>Term</w:t>
            </w:r>
          </w:p>
        </w:tc>
        <w:tc>
          <w:tcPr>
            <w:tcW w:w="1361" w:type="dxa"/>
          </w:tcPr>
          <w:p w14:paraId="35030161" w14:textId="77777777" w:rsidR="00872345" w:rsidRPr="007B6B2F" w:rsidRDefault="00872345" w:rsidP="00A4303F">
            <w:pPr>
              <w:keepNext w:val="0"/>
              <w:keepLines w:val="0"/>
              <w:widowControl/>
              <w:spacing w:after="0" w:line="360" w:lineRule="auto"/>
              <w:ind w:left="652" w:hanging="368"/>
              <w:textboxTightWrap w:val="none"/>
              <w:rPr>
                <w:lang w:eastAsia="zh-CN"/>
              </w:rPr>
            </w:pPr>
            <w:r>
              <w:rPr>
                <w:lang w:eastAsia="zh-CN"/>
              </w:rPr>
              <w:t>Outcomes</w:t>
            </w:r>
          </w:p>
        </w:tc>
        <w:tc>
          <w:tcPr>
            <w:tcW w:w="8959" w:type="dxa"/>
          </w:tcPr>
          <w:p w14:paraId="4F58A434" w14:textId="77777777" w:rsidR="00872345" w:rsidRPr="007B6B2F" w:rsidRDefault="00872345" w:rsidP="00A4303F">
            <w:pPr>
              <w:keepNext w:val="0"/>
              <w:keepLines w:val="0"/>
              <w:widowControl/>
              <w:spacing w:after="0" w:line="360" w:lineRule="auto"/>
              <w:ind w:left="652" w:hanging="368"/>
              <w:textboxTightWrap w:val="none"/>
              <w:rPr>
                <w:lang w:eastAsia="zh-CN"/>
              </w:rPr>
            </w:pPr>
            <w:r>
              <w:rPr>
                <w:lang w:eastAsia="zh-CN"/>
              </w:rPr>
              <w:t>Learning overview</w:t>
            </w:r>
          </w:p>
        </w:tc>
        <w:tc>
          <w:tcPr>
            <w:tcW w:w="2835" w:type="dxa"/>
          </w:tcPr>
          <w:p w14:paraId="16A0410D" w14:textId="77777777" w:rsidR="00872345" w:rsidRPr="007B6B2F" w:rsidRDefault="00872345" w:rsidP="00A4303F">
            <w:pPr>
              <w:spacing w:line="360" w:lineRule="auto"/>
              <w:ind w:left="652" w:hanging="368"/>
              <w:rPr>
                <w:lang w:eastAsia="zh-CN"/>
              </w:rPr>
            </w:pPr>
            <w:r>
              <w:rPr>
                <w:lang w:eastAsia="zh-CN"/>
              </w:rPr>
              <w:t>Opportunities to address</w:t>
            </w:r>
          </w:p>
        </w:tc>
      </w:tr>
      <w:tr w:rsidR="00872345" w14:paraId="353D477B" w14:textId="77777777" w:rsidTr="0076687C">
        <w:trPr>
          <w:cnfStyle w:val="000000100000" w:firstRow="0" w:lastRow="0" w:firstColumn="0" w:lastColumn="0" w:oddVBand="0" w:evenVBand="0" w:oddHBand="1" w:evenHBand="0" w:firstRowFirstColumn="0" w:firstRowLastColumn="0" w:lastRowFirstColumn="0" w:lastRowLastColumn="0"/>
        </w:trPr>
        <w:tc>
          <w:tcPr>
            <w:tcW w:w="1361" w:type="dxa"/>
          </w:tcPr>
          <w:p w14:paraId="71F17DDB" w14:textId="77777777" w:rsidR="0076687C" w:rsidRDefault="0076687C" w:rsidP="00A4303F">
            <w:pPr>
              <w:spacing w:line="360" w:lineRule="auto"/>
              <w:rPr>
                <w:sz w:val="24"/>
              </w:rPr>
            </w:pPr>
            <w:r>
              <w:rPr>
                <w:sz w:val="24"/>
              </w:rPr>
              <w:t>Term 1</w:t>
            </w:r>
          </w:p>
          <w:p w14:paraId="3948C100" w14:textId="1DB2EABC" w:rsidR="0076687C" w:rsidRDefault="00410B64" w:rsidP="00A4303F">
            <w:pPr>
              <w:spacing w:line="360" w:lineRule="auto"/>
              <w:rPr>
                <w:sz w:val="24"/>
              </w:rPr>
            </w:pPr>
            <w:r w:rsidRPr="00410B64">
              <w:rPr>
                <w:sz w:val="24"/>
              </w:rPr>
              <w:t>PDHPE</w:t>
            </w:r>
          </w:p>
          <w:p w14:paraId="2E901090" w14:textId="60FD81A1" w:rsidR="00872345" w:rsidRPr="00CF7295" w:rsidRDefault="0076687C" w:rsidP="00A4303F">
            <w:pPr>
              <w:spacing w:line="360" w:lineRule="auto"/>
              <w:rPr>
                <w:sz w:val="24"/>
              </w:rPr>
            </w:pPr>
            <w:r>
              <w:rPr>
                <w:sz w:val="24"/>
              </w:rPr>
              <w:t>10 week</w:t>
            </w:r>
            <w:r w:rsidR="00F64C71">
              <w:rPr>
                <w:sz w:val="24"/>
              </w:rPr>
              <w:t>s</w:t>
            </w:r>
          </w:p>
        </w:tc>
        <w:tc>
          <w:tcPr>
            <w:tcW w:w="1361" w:type="dxa"/>
          </w:tcPr>
          <w:p w14:paraId="7F5E5F47" w14:textId="77777777" w:rsidR="00410B64" w:rsidRDefault="00410B64" w:rsidP="00A4303F">
            <w:pPr>
              <w:spacing w:line="360" w:lineRule="auto"/>
              <w:rPr>
                <w:sz w:val="24"/>
              </w:rPr>
            </w:pPr>
            <w:r>
              <w:rPr>
                <w:sz w:val="24"/>
              </w:rPr>
              <w:t>PDe-3</w:t>
            </w:r>
          </w:p>
          <w:p w14:paraId="2021016E" w14:textId="77777777" w:rsidR="00410B64" w:rsidRDefault="00410B64" w:rsidP="00A4303F">
            <w:pPr>
              <w:spacing w:line="360" w:lineRule="auto"/>
              <w:rPr>
                <w:sz w:val="24"/>
              </w:rPr>
            </w:pPr>
            <w:r w:rsidRPr="00410B64">
              <w:rPr>
                <w:sz w:val="24"/>
              </w:rPr>
              <w:t>P</w:t>
            </w:r>
            <w:r>
              <w:rPr>
                <w:sz w:val="24"/>
              </w:rPr>
              <w:t>De-4</w:t>
            </w:r>
          </w:p>
          <w:p w14:paraId="18C01EB4" w14:textId="77777777" w:rsidR="00410B64" w:rsidRDefault="00410B64" w:rsidP="00A4303F">
            <w:pPr>
              <w:spacing w:line="360" w:lineRule="auto"/>
              <w:rPr>
                <w:sz w:val="24"/>
              </w:rPr>
            </w:pPr>
            <w:r>
              <w:rPr>
                <w:sz w:val="24"/>
              </w:rPr>
              <w:t>PDe-8</w:t>
            </w:r>
          </w:p>
          <w:p w14:paraId="67D835C2" w14:textId="10DD66DE" w:rsidR="00872345" w:rsidRPr="00CF7295" w:rsidRDefault="00410B64" w:rsidP="00A4303F">
            <w:pPr>
              <w:spacing w:line="360" w:lineRule="auto"/>
              <w:rPr>
                <w:sz w:val="24"/>
              </w:rPr>
            </w:pPr>
            <w:r w:rsidRPr="00410B64">
              <w:rPr>
                <w:sz w:val="24"/>
              </w:rPr>
              <w:t>PDe-10</w:t>
            </w:r>
          </w:p>
        </w:tc>
        <w:tc>
          <w:tcPr>
            <w:tcW w:w="8959" w:type="dxa"/>
          </w:tcPr>
          <w:p w14:paraId="6C933E52" w14:textId="1EF15800" w:rsidR="00872345" w:rsidRDefault="00CF7295" w:rsidP="00A4303F">
            <w:pPr>
              <w:spacing w:line="360" w:lineRule="auto"/>
              <w:rPr>
                <w:sz w:val="24"/>
              </w:rPr>
            </w:pPr>
            <w:r w:rsidRPr="00CF7295">
              <w:rPr>
                <w:rStyle w:val="Strong"/>
              </w:rPr>
              <w:t>Unit title</w:t>
            </w:r>
            <w:r>
              <w:rPr>
                <w:sz w:val="24"/>
              </w:rPr>
              <w:t xml:space="preserve"> – </w:t>
            </w:r>
            <w:r w:rsidR="00E46B02">
              <w:rPr>
                <w:sz w:val="24"/>
              </w:rPr>
              <w:t>How can I play with others?</w:t>
            </w:r>
          </w:p>
          <w:p w14:paraId="67CAD0BD" w14:textId="39357027" w:rsidR="00CF7295" w:rsidRDefault="00CF7295" w:rsidP="00A4303F">
            <w:pPr>
              <w:spacing w:line="360" w:lineRule="auto"/>
              <w:rPr>
                <w:sz w:val="24"/>
              </w:rPr>
            </w:pPr>
            <w:r w:rsidRPr="00CF7295">
              <w:rPr>
                <w:rStyle w:val="Strong"/>
              </w:rPr>
              <w:t xml:space="preserve">Unit </w:t>
            </w:r>
            <w:r>
              <w:rPr>
                <w:rStyle w:val="Strong"/>
              </w:rPr>
              <w:t>description</w:t>
            </w:r>
            <w:r>
              <w:rPr>
                <w:sz w:val="24"/>
              </w:rPr>
              <w:t xml:space="preserve"> –</w:t>
            </w:r>
            <w:r w:rsidR="00B86722">
              <w:rPr>
                <w:sz w:val="24"/>
              </w:rPr>
              <w:t xml:space="preserve"> </w:t>
            </w:r>
            <w:r w:rsidR="00410B64" w:rsidRPr="00410B64">
              <w:rPr>
                <w:sz w:val="24"/>
              </w:rPr>
              <w:t>Students explore a variety of learning environments where they interact with others to develop interpersonal skills. An emphasis is placed on inclusion and how this can provide a supportive environment when students start school.</w:t>
            </w:r>
          </w:p>
          <w:p w14:paraId="5F9F365C" w14:textId="0B101C58" w:rsidR="00B86722" w:rsidRDefault="00B86722" w:rsidP="00A4303F">
            <w:pPr>
              <w:spacing w:line="360" w:lineRule="auto"/>
              <w:rPr>
                <w:sz w:val="24"/>
              </w:rPr>
            </w:pPr>
            <w:r>
              <w:rPr>
                <w:rStyle w:val="Strong"/>
              </w:rPr>
              <w:t>Key inquiry question</w:t>
            </w:r>
            <w:r w:rsidR="00E12AA9">
              <w:rPr>
                <w:rStyle w:val="Strong"/>
              </w:rPr>
              <w:t>s</w:t>
            </w:r>
          </w:p>
          <w:p w14:paraId="6E68B293" w14:textId="77777777" w:rsidR="00410B64" w:rsidRPr="00410B64" w:rsidRDefault="00410B64" w:rsidP="00A4303F">
            <w:pPr>
              <w:spacing w:line="360" w:lineRule="auto"/>
              <w:rPr>
                <w:sz w:val="24"/>
              </w:rPr>
            </w:pPr>
            <w:r w:rsidRPr="00410B64">
              <w:rPr>
                <w:sz w:val="24"/>
              </w:rPr>
              <w:t>How can we care for and include each other?</w:t>
            </w:r>
          </w:p>
          <w:p w14:paraId="2466E3C1" w14:textId="77777777" w:rsidR="00410B64" w:rsidRPr="00410B64" w:rsidRDefault="00410B64" w:rsidP="00A4303F">
            <w:pPr>
              <w:spacing w:line="360" w:lineRule="auto"/>
              <w:rPr>
                <w:sz w:val="24"/>
              </w:rPr>
            </w:pPr>
            <w:r w:rsidRPr="00410B64">
              <w:rPr>
                <w:sz w:val="24"/>
              </w:rPr>
              <w:t>How do we move our bodies?</w:t>
            </w:r>
          </w:p>
          <w:p w14:paraId="047B363E" w14:textId="77777777" w:rsidR="00410B64" w:rsidRPr="00410B64" w:rsidRDefault="00410B64" w:rsidP="00A4303F">
            <w:pPr>
              <w:spacing w:line="360" w:lineRule="auto"/>
              <w:rPr>
                <w:sz w:val="24"/>
              </w:rPr>
            </w:pPr>
            <w:r w:rsidRPr="00410B64">
              <w:rPr>
                <w:sz w:val="24"/>
              </w:rPr>
              <w:t>How do we participate with others when we are active?</w:t>
            </w:r>
          </w:p>
          <w:p w14:paraId="6AB6D3BA" w14:textId="614F0296" w:rsidR="00410B64" w:rsidRPr="00B86722" w:rsidRDefault="00410B64" w:rsidP="00A4303F">
            <w:pPr>
              <w:spacing w:line="360" w:lineRule="auto"/>
            </w:pPr>
            <w:r w:rsidRPr="00410B64">
              <w:rPr>
                <w:sz w:val="24"/>
              </w:rPr>
              <w:t>What choices can help to make me safe, supported and active?</w:t>
            </w:r>
          </w:p>
        </w:tc>
        <w:tc>
          <w:tcPr>
            <w:tcW w:w="2835" w:type="dxa"/>
          </w:tcPr>
          <w:p w14:paraId="02E56416" w14:textId="77777777" w:rsidR="00872345" w:rsidRPr="00CF7295" w:rsidRDefault="00872345" w:rsidP="00A4303F">
            <w:pPr>
              <w:spacing w:line="360" w:lineRule="auto"/>
              <w:rPr>
                <w:sz w:val="24"/>
              </w:rPr>
            </w:pPr>
          </w:p>
        </w:tc>
      </w:tr>
      <w:tr w:rsidR="00872345" w14:paraId="1898B852" w14:textId="77777777" w:rsidTr="0076687C">
        <w:trPr>
          <w:cnfStyle w:val="000000010000" w:firstRow="0" w:lastRow="0" w:firstColumn="0" w:lastColumn="0" w:oddVBand="0" w:evenVBand="0" w:oddHBand="0" w:evenHBand="1" w:firstRowFirstColumn="0" w:firstRowLastColumn="0" w:lastRowFirstColumn="0" w:lastRowLastColumn="0"/>
        </w:trPr>
        <w:tc>
          <w:tcPr>
            <w:tcW w:w="1361" w:type="dxa"/>
          </w:tcPr>
          <w:p w14:paraId="2909055E" w14:textId="77777777" w:rsidR="0076687C" w:rsidRDefault="003A4832" w:rsidP="00A4303F">
            <w:pPr>
              <w:spacing w:line="360" w:lineRule="auto"/>
              <w:rPr>
                <w:sz w:val="24"/>
              </w:rPr>
            </w:pPr>
            <w:r w:rsidRPr="003A4832">
              <w:rPr>
                <w:sz w:val="24"/>
              </w:rPr>
              <w:t>Term 2</w:t>
            </w:r>
          </w:p>
          <w:p w14:paraId="6F136207" w14:textId="3C381169" w:rsidR="00872345" w:rsidRDefault="003A4832" w:rsidP="00A4303F">
            <w:pPr>
              <w:spacing w:line="360" w:lineRule="auto"/>
              <w:rPr>
                <w:sz w:val="24"/>
              </w:rPr>
            </w:pPr>
            <w:r w:rsidRPr="003A4832">
              <w:rPr>
                <w:sz w:val="24"/>
              </w:rPr>
              <w:t>PDH</w:t>
            </w:r>
          </w:p>
          <w:p w14:paraId="0AEC08F7" w14:textId="29FDA5FF" w:rsidR="0076687C" w:rsidRPr="00CF7295" w:rsidRDefault="0076687C" w:rsidP="00A4303F">
            <w:pPr>
              <w:spacing w:line="360" w:lineRule="auto"/>
              <w:rPr>
                <w:sz w:val="24"/>
              </w:rPr>
            </w:pPr>
            <w:r>
              <w:rPr>
                <w:sz w:val="24"/>
              </w:rPr>
              <w:lastRenderedPageBreak/>
              <w:t>10 week</w:t>
            </w:r>
            <w:r w:rsidR="00F64C71">
              <w:rPr>
                <w:sz w:val="24"/>
              </w:rPr>
              <w:t>s</w:t>
            </w:r>
          </w:p>
        </w:tc>
        <w:tc>
          <w:tcPr>
            <w:tcW w:w="1361" w:type="dxa"/>
          </w:tcPr>
          <w:p w14:paraId="7D7F24D0" w14:textId="77777777" w:rsidR="003A4832" w:rsidRDefault="003A4832" w:rsidP="00A4303F">
            <w:pPr>
              <w:spacing w:line="360" w:lineRule="auto"/>
              <w:rPr>
                <w:sz w:val="24"/>
              </w:rPr>
            </w:pPr>
            <w:r>
              <w:rPr>
                <w:sz w:val="24"/>
              </w:rPr>
              <w:lastRenderedPageBreak/>
              <w:t>PDe-1</w:t>
            </w:r>
          </w:p>
          <w:p w14:paraId="4A0DFBDB" w14:textId="77777777" w:rsidR="003A4832" w:rsidRDefault="003A4832" w:rsidP="00A4303F">
            <w:pPr>
              <w:spacing w:line="360" w:lineRule="auto"/>
              <w:rPr>
                <w:sz w:val="24"/>
              </w:rPr>
            </w:pPr>
            <w:r>
              <w:rPr>
                <w:sz w:val="24"/>
              </w:rPr>
              <w:t>PDe-2</w:t>
            </w:r>
          </w:p>
          <w:p w14:paraId="1C209698" w14:textId="68B02F28" w:rsidR="00872345" w:rsidRPr="00CF7295" w:rsidRDefault="003A4832" w:rsidP="00A4303F">
            <w:pPr>
              <w:spacing w:line="360" w:lineRule="auto"/>
              <w:rPr>
                <w:sz w:val="24"/>
              </w:rPr>
            </w:pPr>
            <w:r w:rsidRPr="003A4832">
              <w:rPr>
                <w:sz w:val="24"/>
              </w:rPr>
              <w:lastRenderedPageBreak/>
              <w:t>PDe-9</w:t>
            </w:r>
          </w:p>
        </w:tc>
        <w:tc>
          <w:tcPr>
            <w:tcW w:w="8959" w:type="dxa"/>
          </w:tcPr>
          <w:p w14:paraId="6086688B" w14:textId="614601D6" w:rsidR="00410B64" w:rsidRDefault="00410B64" w:rsidP="00A4303F">
            <w:pPr>
              <w:spacing w:line="360" w:lineRule="auto"/>
              <w:rPr>
                <w:sz w:val="24"/>
              </w:rPr>
            </w:pPr>
            <w:r w:rsidRPr="00CF7295">
              <w:rPr>
                <w:rStyle w:val="Strong"/>
              </w:rPr>
              <w:lastRenderedPageBreak/>
              <w:t>Unit title</w:t>
            </w:r>
            <w:r>
              <w:rPr>
                <w:sz w:val="24"/>
              </w:rPr>
              <w:t xml:space="preserve"> – </w:t>
            </w:r>
            <w:r w:rsidR="003A4832" w:rsidRPr="003A4832">
              <w:rPr>
                <w:sz w:val="24"/>
              </w:rPr>
              <w:t>Why am I unique?</w:t>
            </w:r>
          </w:p>
          <w:p w14:paraId="1F6585B3" w14:textId="58B0FAC2"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 </w:t>
            </w:r>
            <w:r w:rsidR="003A4832" w:rsidRPr="003A4832">
              <w:rPr>
                <w:sz w:val="24"/>
              </w:rPr>
              <w:t xml:space="preserve">Students participate in a variety of activities across different </w:t>
            </w:r>
            <w:r w:rsidR="003A4832" w:rsidRPr="003A4832">
              <w:rPr>
                <w:sz w:val="24"/>
              </w:rPr>
              <w:lastRenderedPageBreak/>
              <w:t>contexts to identify their own strengths, interests and how they have different thoughts, feelings and responses to different situations. This unit strengthens student self-identity while learning about the differences of other people.</w:t>
            </w:r>
          </w:p>
          <w:p w14:paraId="6AE32C9C" w14:textId="77777777" w:rsidR="00872345" w:rsidRDefault="00410B64" w:rsidP="00A4303F">
            <w:pPr>
              <w:spacing w:line="360" w:lineRule="auto"/>
              <w:rPr>
                <w:rStyle w:val="Strong"/>
              </w:rPr>
            </w:pPr>
            <w:r>
              <w:rPr>
                <w:rStyle w:val="Strong"/>
              </w:rPr>
              <w:t>Key inquiry questions</w:t>
            </w:r>
          </w:p>
          <w:p w14:paraId="480E5D6D" w14:textId="77777777" w:rsidR="003A4832" w:rsidRPr="00E46B02" w:rsidRDefault="003A4832" w:rsidP="00A4303F">
            <w:pPr>
              <w:spacing w:line="360" w:lineRule="auto"/>
              <w:rPr>
                <w:color w:val="auto"/>
                <w:sz w:val="24"/>
              </w:rPr>
            </w:pPr>
            <w:r w:rsidRPr="00E46B02">
              <w:rPr>
                <w:color w:val="auto"/>
                <w:sz w:val="24"/>
              </w:rPr>
              <w:t>What makes me unique?</w:t>
            </w:r>
          </w:p>
          <w:p w14:paraId="293DF4CD" w14:textId="3F0B9BFC" w:rsidR="003A4832" w:rsidRPr="00CF7295" w:rsidRDefault="003A4832" w:rsidP="00A4303F">
            <w:pPr>
              <w:spacing w:line="360" w:lineRule="auto"/>
            </w:pPr>
            <w:r w:rsidRPr="00E46B02">
              <w:rPr>
                <w:color w:val="auto"/>
                <w:sz w:val="24"/>
              </w:rPr>
              <w:t>How do we grow?</w:t>
            </w:r>
          </w:p>
        </w:tc>
        <w:tc>
          <w:tcPr>
            <w:tcW w:w="2835" w:type="dxa"/>
          </w:tcPr>
          <w:p w14:paraId="48E51D10" w14:textId="5D7019B4" w:rsidR="00872345" w:rsidRPr="00CF7295" w:rsidRDefault="003A4832" w:rsidP="00A4303F">
            <w:pPr>
              <w:spacing w:line="360" w:lineRule="auto"/>
              <w:rPr>
                <w:sz w:val="24"/>
              </w:rPr>
            </w:pPr>
            <w:r w:rsidRPr="003A4832">
              <w:rPr>
                <w:sz w:val="24"/>
              </w:rPr>
              <w:lastRenderedPageBreak/>
              <w:t>Child protection</w:t>
            </w:r>
          </w:p>
        </w:tc>
      </w:tr>
      <w:tr w:rsidR="00872345" w14:paraId="77956D81" w14:textId="77777777" w:rsidTr="0076687C">
        <w:trPr>
          <w:cnfStyle w:val="000000100000" w:firstRow="0" w:lastRow="0" w:firstColumn="0" w:lastColumn="0" w:oddVBand="0" w:evenVBand="0" w:oddHBand="1" w:evenHBand="0" w:firstRowFirstColumn="0" w:firstRowLastColumn="0" w:lastRowFirstColumn="0" w:lastRowLastColumn="0"/>
        </w:trPr>
        <w:tc>
          <w:tcPr>
            <w:tcW w:w="1361" w:type="dxa"/>
          </w:tcPr>
          <w:p w14:paraId="68868F9C" w14:textId="77777777" w:rsidR="0076687C" w:rsidRDefault="00764DAB" w:rsidP="00A4303F">
            <w:pPr>
              <w:spacing w:line="360" w:lineRule="auto"/>
              <w:rPr>
                <w:sz w:val="24"/>
              </w:rPr>
            </w:pPr>
            <w:r w:rsidRPr="00764DAB">
              <w:rPr>
                <w:sz w:val="24"/>
              </w:rPr>
              <w:t>Term 2</w:t>
            </w:r>
          </w:p>
          <w:p w14:paraId="743D19D7" w14:textId="35B8DC58" w:rsidR="00872345" w:rsidRDefault="00764DAB" w:rsidP="00A4303F">
            <w:pPr>
              <w:spacing w:line="360" w:lineRule="auto"/>
              <w:rPr>
                <w:sz w:val="24"/>
              </w:rPr>
            </w:pPr>
            <w:r w:rsidRPr="00764DAB">
              <w:rPr>
                <w:sz w:val="24"/>
              </w:rPr>
              <w:t>PE</w:t>
            </w:r>
          </w:p>
          <w:p w14:paraId="35E3DC89" w14:textId="5AF4AB07" w:rsidR="0076687C" w:rsidRPr="00CF7295" w:rsidRDefault="0076687C" w:rsidP="00A4303F">
            <w:pPr>
              <w:spacing w:line="360" w:lineRule="auto"/>
              <w:rPr>
                <w:sz w:val="24"/>
              </w:rPr>
            </w:pPr>
            <w:r>
              <w:rPr>
                <w:sz w:val="24"/>
              </w:rPr>
              <w:t>10 week</w:t>
            </w:r>
            <w:r w:rsidR="00F64C71">
              <w:rPr>
                <w:sz w:val="24"/>
              </w:rPr>
              <w:t>s</w:t>
            </w:r>
          </w:p>
        </w:tc>
        <w:tc>
          <w:tcPr>
            <w:tcW w:w="1361" w:type="dxa"/>
          </w:tcPr>
          <w:p w14:paraId="2608C729" w14:textId="77777777" w:rsidR="00764DAB" w:rsidRDefault="00764DAB" w:rsidP="00A4303F">
            <w:pPr>
              <w:spacing w:line="360" w:lineRule="auto"/>
              <w:rPr>
                <w:sz w:val="24"/>
              </w:rPr>
            </w:pPr>
            <w:r>
              <w:rPr>
                <w:sz w:val="24"/>
              </w:rPr>
              <w:t>PDe-4</w:t>
            </w:r>
          </w:p>
          <w:p w14:paraId="1A09D6BB" w14:textId="77777777" w:rsidR="00764DAB" w:rsidRDefault="00764DAB" w:rsidP="00A4303F">
            <w:pPr>
              <w:spacing w:line="360" w:lineRule="auto"/>
              <w:rPr>
                <w:sz w:val="24"/>
              </w:rPr>
            </w:pPr>
            <w:r>
              <w:rPr>
                <w:sz w:val="24"/>
              </w:rPr>
              <w:t>PDe-7</w:t>
            </w:r>
          </w:p>
          <w:p w14:paraId="2B4AD4A7" w14:textId="77777777" w:rsidR="00764DAB" w:rsidRDefault="00764DAB" w:rsidP="00A4303F">
            <w:pPr>
              <w:spacing w:line="360" w:lineRule="auto"/>
              <w:rPr>
                <w:sz w:val="24"/>
              </w:rPr>
            </w:pPr>
            <w:r>
              <w:rPr>
                <w:sz w:val="24"/>
              </w:rPr>
              <w:t>PDe-8</w:t>
            </w:r>
          </w:p>
          <w:p w14:paraId="019036D6" w14:textId="070D7B96" w:rsidR="00872345" w:rsidRPr="00CF7295" w:rsidRDefault="00764DAB" w:rsidP="00A4303F">
            <w:pPr>
              <w:spacing w:line="360" w:lineRule="auto"/>
              <w:rPr>
                <w:sz w:val="24"/>
              </w:rPr>
            </w:pPr>
            <w:r w:rsidRPr="00764DAB">
              <w:rPr>
                <w:sz w:val="24"/>
              </w:rPr>
              <w:t>PDe-11</w:t>
            </w:r>
          </w:p>
        </w:tc>
        <w:tc>
          <w:tcPr>
            <w:tcW w:w="8959" w:type="dxa"/>
          </w:tcPr>
          <w:p w14:paraId="61DA4976" w14:textId="4DA03998" w:rsidR="00410B64" w:rsidRDefault="00410B64" w:rsidP="00A4303F">
            <w:pPr>
              <w:spacing w:line="360" w:lineRule="auto"/>
              <w:rPr>
                <w:sz w:val="24"/>
              </w:rPr>
            </w:pPr>
            <w:r w:rsidRPr="00CF7295">
              <w:rPr>
                <w:rStyle w:val="Strong"/>
              </w:rPr>
              <w:t>Unit title</w:t>
            </w:r>
            <w:r>
              <w:rPr>
                <w:sz w:val="24"/>
              </w:rPr>
              <w:t xml:space="preserve"> – </w:t>
            </w:r>
            <w:r w:rsidR="00764DAB" w:rsidRPr="00764DAB">
              <w:rPr>
                <w:sz w:val="24"/>
              </w:rPr>
              <w:t>How do I move?</w:t>
            </w:r>
          </w:p>
          <w:p w14:paraId="0E412B15" w14:textId="2AC7851A"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 </w:t>
            </w:r>
            <w:r w:rsidR="00764DAB" w:rsidRPr="00764DAB">
              <w:rPr>
                <w:sz w:val="24"/>
              </w:rPr>
              <w:t>Students explore movement in many different forms with a focus on moving to music to introduce movement skills and concepts. Safe behaviour in a practical environment is explored by discussing how to use equipment appropriately and how they can interact positively with their peers. Students participate in individual and small group movement challenges as they explore balance, locomotor and manipulative skills.</w:t>
            </w:r>
          </w:p>
          <w:p w14:paraId="52BA781A" w14:textId="77777777" w:rsidR="00872345" w:rsidRDefault="00410B64" w:rsidP="00A4303F">
            <w:pPr>
              <w:spacing w:line="360" w:lineRule="auto"/>
              <w:rPr>
                <w:rStyle w:val="Strong"/>
              </w:rPr>
            </w:pPr>
            <w:r>
              <w:rPr>
                <w:rStyle w:val="Strong"/>
              </w:rPr>
              <w:t>Key inquiry questions</w:t>
            </w:r>
          </w:p>
          <w:p w14:paraId="4A77EB4C" w14:textId="77777777" w:rsidR="00764DAB" w:rsidRPr="00E46B02" w:rsidRDefault="00764DAB" w:rsidP="00A4303F">
            <w:pPr>
              <w:spacing w:line="360" w:lineRule="auto"/>
              <w:rPr>
                <w:sz w:val="24"/>
              </w:rPr>
            </w:pPr>
            <w:r w:rsidRPr="00E46B02">
              <w:rPr>
                <w:sz w:val="24"/>
              </w:rPr>
              <w:t>How do we move our bodies?</w:t>
            </w:r>
          </w:p>
          <w:p w14:paraId="6B40AD25" w14:textId="77777777" w:rsidR="00764DAB" w:rsidRPr="00E46B02" w:rsidRDefault="00764DAB" w:rsidP="00A4303F">
            <w:pPr>
              <w:spacing w:line="360" w:lineRule="auto"/>
              <w:rPr>
                <w:sz w:val="24"/>
              </w:rPr>
            </w:pPr>
            <w:r w:rsidRPr="00E46B02">
              <w:rPr>
                <w:sz w:val="24"/>
              </w:rPr>
              <w:t>How do we participate with others when we are active?</w:t>
            </w:r>
          </w:p>
          <w:p w14:paraId="149452A9" w14:textId="0FF4EC19" w:rsidR="00764DAB" w:rsidRPr="00CF7295" w:rsidRDefault="00764DAB" w:rsidP="00A4303F">
            <w:pPr>
              <w:spacing w:line="360" w:lineRule="auto"/>
            </w:pPr>
            <w:r w:rsidRPr="00E46B02">
              <w:rPr>
                <w:sz w:val="24"/>
              </w:rPr>
              <w:t>What helps us to stay healthy and safe?</w:t>
            </w:r>
          </w:p>
        </w:tc>
        <w:tc>
          <w:tcPr>
            <w:tcW w:w="2835" w:type="dxa"/>
          </w:tcPr>
          <w:p w14:paraId="1933E99A" w14:textId="77777777" w:rsidR="00872345" w:rsidRPr="00CF7295" w:rsidRDefault="00872345" w:rsidP="00A4303F">
            <w:pPr>
              <w:spacing w:line="360" w:lineRule="auto"/>
              <w:rPr>
                <w:sz w:val="24"/>
              </w:rPr>
            </w:pPr>
          </w:p>
        </w:tc>
      </w:tr>
      <w:tr w:rsidR="00872345" w14:paraId="4A75E770" w14:textId="77777777" w:rsidTr="0076687C">
        <w:trPr>
          <w:cnfStyle w:val="000000010000" w:firstRow="0" w:lastRow="0" w:firstColumn="0" w:lastColumn="0" w:oddVBand="0" w:evenVBand="0" w:oddHBand="0" w:evenHBand="1" w:firstRowFirstColumn="0" w:firstRowLastColumn="0" w:lastRowFirstColumn="0" w:lastRowLastColumn="0"/>
        </w:trPr>
        <w:tc>
          <w:tcPr>
            <w:tcW w:w="1361" w:type="dxa"/>
          </w:tcPr>
          <w:p w14:paraId="2191CF3D" w14:textId="77777777" w:rsidR="0076687C" w:rsidRDefault="00764DAB" w:rsidP="00A4303F">
            <w:pPr>
              <w:spacing w:line="360" w:lineRule="auto"/>
              <w:rPr>
                <w:sz w:val="24"/>
              </w:rPr>
            </w:pPr>
            <w:r w:rsidRPr="00764DAB">
              <w:rPr>
                <w:sz w:val="24"/>
              </w:rPr>
              <w:lastRenderedPageBreak/>
              <w:t>Term 3</w:t>
            </w:r>
          </w:p>
          <w:p w14:paraId="6C222CA9" w14:textId="77777777" w:rsidR="0076687C" w:rsidRDefault="00764DAB" w:rsidP="00A4303F">
            <w:pPr>
              <w:spacing w:line="360" w:lineRule="auto"/>
              <w:rPr>
                <w:sz w:val="24"/>
              </w:rPr>
            </w:pPr>
            <w:r w:rsidRPr="00764DAB">
              <w:rPr>
                <w:sz w:val="24"/>
              </w:rPr>
              <w:t>PDH</w:t>
            </w:r>
          </w:p>
          <w:p w14:paraId="3A96EB08" w14:textId="2AA1812A" w:rsidR="00872345" w:rsidRPr="00CF7295" w:rsidRDefault="0076687C" w:rsidP="00A4303F">
            <w:pPr>
              <w:spacing w:line="360" w:lineRule="auto"/>
              <w:rPr>
                <w:sz w:val="24"/>
              </w:rPr>
            </w:pPr>
            <w:r>
              <w:rPr>
                <w:sz w:val="24"/>
              </w:rPr>
              <w:t>10 week</w:t>
            </w:r>
            <w:r w:rsidR="00F64C71">
              <w:rPr>
                <w:sz w:val="24"/>
              </w:rPr>
              <w:t>s</w:t>
            </w:r>
          </w:p>
        </w:tc>
        <w:tc>
          <w:tcPr>
            <w:tcW w:w="1361" w:type="dxa"/>
          </w:tcPr>
          <w:p w14:paraId="5E07DB4D" w14:textId="77777777" w:rsidR="00764DAB" w:rsidRDefault="00764DAB" w:rsidP="00A4303F">
            <w:pPr>
              <w:spacing w:line="360" w:lineRule="auto"/>
              <w:rPr>
                <w:sz w:val="24"/>
              </w:rPr>
            </w:pPr>
            <w:r>
              <w:rPr>
                <w:sz w:val="24"/>
              </w:rPr>
              <w:t>PDe-2</w:t>
            </w:r>
          </w:p>
          <w:p w14:paraId="4B6828CF" w14:textId="77777777" w:rsidR="00764DAB" w:rsidRDefault="00764DAB" w:rsidP="00A4303F">
            <w:pPr>
              <w:spacing w:line="360" w:lineRule="auto"/>
              <w:rPr>
                <w:sz w:val="24"/>
              </w:rPr>
            </w:pPr>
            <w:r>
              <w:rPr>
                <w:sz w:val="24"/>
              </w:rPr>
              <w:t>PDe-6</w:t>
            </w:r>
          </w:p>
          <w:p w14:paraId="1EF9019B" w14:textId="77777777" w:rsidR="00764DAB" w:rsidRDefault="00764DAB" w:rsidP="00A4303F">
            <w:pPr>
              <w:spacing w:line="360" w:lineRule="auto"/>
              <w:rPr>
                <w:sz w:val="24"/>
              </w:rPr>
            </w:pPr>
            <w:r>
              <w:rPr>
                <w:sz w:val="24"/>
              </w:rPr>
              <w:t>PDe-7</w:t>
            </w:r>
          </w:p>
          <w:p w14:paraId="4AC36933" w14:textId="33C1702B" w:rsidR="00872345" w:rsidRPr="00CF7295" w:rsidRDefault="00764DAB" w:rsidP="00A4303F">
            <w:pPr>
              <w:spacing w:line="360" w:lineRule="auto"/>
              <w:rPr>
                <w:sz w:val="24"/>
              </w:rPr>
            </w:pPr>
            <w:r w:rsidRPr="00764DAB">
              <w:rPr>
                <w:sz w:val="24"/>
              </w:rPr>
              <w:t>PDe-9</w:t>
            </w:r>
          </w:p>
        </w:tc>
        <w:tc>
          <w:tcPr>
            <w:tcW w:w="8959" w:type="dxa"/>
          </w:tcPr>
          <w:p w14:paraId="5450050D" w14:textId="200A43DD" w:rsidR="00410B64" w:rsidRDefault="00410B64" w:rsidP="00A4303F">
            <w:pPr>
              <w:spacing w:line="360" w:lineRule="auto"/>
              <w:rPr>
                <w:sz w:val="24"/>
              </w:rPr>
            </w:pPr>
            <w:r w:rsidRPr="00CF7295">
              <w:rPr>
                <w:rStyle w:val="Strong"/>
              </w:rPr>
              <w:t>Unit title</w:t>
            </w:r>
            <w:r>
              <w:rPr>
                <w:sz w:val="24"/>
              </w:rPr>
              <w:t xml:space="preserve"> – </w:t>
            </w:r>
            <w:r w:rsidR="00764DAB" w:rsidRPr="00764DAB">
              <w:rPr>
                <w:sz w:val="24"/>
              </w:rPr>
              <w:t>How can I be safe?</w:t>
            </w:r>
          </w:p>
          <w:p w14:paraId="1CDEA249" w14:textId="027703E9"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w:t>
            </w:r>
            <w:r w:rsidR="00764DAB">
              <w:rPr>
                <w:sz w:val="24"/>
              </w:rPr>
              <w:t xml:space="preserve"> </w:t>
            </w:r>
            <w:r w:rsidR="00764DAB" w:rsidRPr="00764DAB">
              <w:rPr>
                <w:sz w:val="24"/>
              </w:rPr>
              <w:t>Students explore ways of keeping themselves safe across different contexts including protective strategies and people they can trust. They identify situations where they could use these strategies to keep themselves safe.</w:t>
            </w:r>
          </w:p>
          <w:p w14:paraId="0178AABC" w14:textId="77777777" w:rsidR="00764DAB" w:rsidRDefault="00410B64" w:rsidP="00A4303F">
            <w:pPr>
              <w:spacing w:line="360" w:lineRule="auto"/>
              <w:rPr>
                <w:rStyle w:val="Strong"/>
              </w:rPr>
            </w:pPr>
            <w:r>
              <w:rPr>
                <w:rStyle w:val="Strong"/>
              </w:rPr>
              <w:t>Key inquiry questions</w:t>
            </w:r>
          </w:p>
          <w:p w14:paraId="0ECCD554" w14:textId="77777777" w:rsidR="00764DAB" w:rsidRPr="00E46B02" w:rsidRDefault="00764DAB" w:rsidP="00A4303F">
            <w:pPr>
              <w:spacing w:line="360" w:lineRule="auto"/>
              <w:rPr>
                <w:color w:val="auto"/>
                <w:sz w:val="24"/>
              </w:rPr>
            </w:pPr>
            <w:r w:rsidRPr="00E46B02">
              <w:rPr>
                <w:color w:val="auto"/>
                <w:sz w:val="24"/>
              </w:rPr>
              <w:t>What choices can help to make me safe, supported and active?</w:t>
            </w:r>
          </w:p>
          <w:p w14:paraId="5ED1BD4C" w14:textId="76AC99B7" w:rsidR="00764DAB" w:rsidRPr="00E46B02" w:rsidRDefault="00764DAB" w:rsidP="00A4303F">
            <w:pPr>
              <w:spacing w:line="360" w:lineRule="auto"/>
              <w:rPr>
                <w:bCs/>
                <w:color w:val="auto"/>
                <w:sz w:val="24"/>
              </w:rPr>
            </w:pPr>
            <w:r w:rsidRPr="00E46B02">
              <w:rPr>
                <w:bCs/>
                <w:color w:val="auto"/>
                <w:sz w:val="24"/>
              </w:rPr>
              <w:t>What helps us to stay healthy and safe?</w:t>
            </w:r>
          </w:p>
          <w:p w14:paraId="45A79475" w14:textId="59673E45" w:rsidR="00872345" w:rsidRPr="00764DAB" w:rsidRDefault="00764DAB" w:rsidP="00A4303F">
            <w:pPr>
              <w:spacing w:line="360" w:lineRule="auto"/>
              <w:rPr>
                <w:b/>
              </w:rPr>
            </w:pPr>
            <w:r w:rsidRPr="00E46B02">
              <w:rPr>
                <w:bCs/>
                <w:color w:val="auto"/>
                <w:sz w:val="24"/>
              </w:rPr>
              <w:t>How do we make healthy and safe choices in different situations?</w:t>
            </w:r>
          </w:p>
        </w:tc>
        <w:tc>
          <w:tcPr>
            <w:tcW w:w="2835" w:type="dxa"/>
          </w:tcPr>
          <w:p w14:paraId="5AA924BE" w14:textId="77777777" w:rsidR="009412FD" w:rsidRPr="009412FD" w:rsidRDefault="009412FD" w:rsidP="00A4303F">
            <w:pPr>
              <w:spacing w:line="360" w:lineRule="auto"/>
              <w:rPr>
                <w:sz w:val="24"/>
              </w:rPr>
            </w:pPr>
            <w:r w:rsidRPr="009412FD">
              <w:rPr>
                <w:sz w:val="24"/>
              </w:rPr>
              <w:t>Child protection</w:t>
            </w:r>
          </w:p>
          <w:p w14:paraId="25F36AD6" w14:textId="77777777" w:rsidR="009412FD" w:rsidRPr="009412FD" w:rsidRDefault="009412FD" w:rsidP="00A4303F">
            <w:pPr>
              <w:spacing w:line="360" w:lineRule="auto"/>
              <w:rPr>
                <w:sz w:val="24"/>
              </w:rPr>
            </w:pPr>
            <w:r w:rsidRPr="009412FD">
              <w:rPr>
                <w:sz w:val="24"/>
              </w:rPr>
              <w:t>Drug education</w:t>
            </w:r>
          </w:p>
          <w:p w14:paraId="48F7188E" w14:textId="0656571B" w:rsidR="00872345" w:rsidRPr="00CF7295" w:rsidRDefault="009412FD" w:rsidP="00A4303F">
            <w:pPr>
              <w:spacing w:line="360" w:lineRule="auto"/>
              <w:rPr>
                <w:sz w:val="24"/>
              </w:rPr>
            </w:pPr>
            <w:r w:rsidRPr="009412FD">
              <w:rPr>
                <w:sz w:val="24"/>
              </w:rPr>
              <w:t>Road safety</w:t>
            </w:r>
          </w:p>
        </w:tc>
      </w:tr>
      <w:tr w:rsidR="00872345" w14:paraId="2FEB2A6C" w14:textId="77777777" w:rsidTr="0076687C">
        <w:trPr>
          <w:cnfStyle w:val="000000100000" w:firstRow="0" w:lastRow="0" w:firstColumn="0" w:lastColumn="0" w:oddVBand="0" w:evenVBand="0" w:oddHBand="1" w:evenHBand="0" w:firstRowFirstColumn="0" w:firstRowLastColumn="0" w:lastRowFirstColumn="0" w:lastRowLastColumn="0"/>
        </w:trPr>
        <w:tc>
          <w:tcPr>
            <w:tcW w:w="1361" w:type="dxa"/>
          </w:tcPr>
          <w:p w14:paraId="7AED2080" w14:textId="77777777" w:rsidR="0076687C" w:rsidRDefault="009412FD" w:rsidP="00A4303F">
            <w:pPr>
              <w:spacing w:line="360" w:lineRule="auto"/>
              <w:rPr>
                <w:sz w:val="24"/>
                <w:lang w:eastAsia="zh-CN"/>
              </w:rPr>
            </w:pPr>
            <w:r w:rsidRPr="009412FD">
              <w:rPr>
                <w:sz w:val="24"/>
                <w:lang w:eastAsia="zh-CN"/>
              </w:rPr>
              <w:t>Term 3</w:t>
            </w:r>
          </w:p>
          <w:p w14:paraId="7B83B0A1" w14:textId="77777777" w:rsidR="0076687C" w:rsidRDefault="009412FD" w:rsidP="00A4303F">
            <w:pPr>
              <w:spacing w:line="360" w:lineRule="auto"/>
              <w:rPr>
                <w:sz w:val="24"/>
                <w:lang w:eastAsia="zh-CN"/>
              </w:rPr>
            </w:pPr>
            <w:r w:rsidRPr="009412FD">
              <w:rPr>
                <w:sz w:val="24"/>
                <w:lang w:eastAsia="zh-CN"/>
              </w:rPr>
              <w:t>PE</w:t>
            </w:r>
          </w:p>
          <w:p w14:paraId="283C8416" w14:textId="50618751" w:rsidR="00872345" w:rsidRPr="00CF7295" w:rsidRDefault="0076687C" w:rsidP="00A4303F">
            <w:pPr>
              <w:spacing w:line="360" w:lineRule="auto"/>
              <w:rPr>
                <w:sz w:val="24"/>
                <w:lang w:eastAsia="zh-CN"/>
              </w:rPr>
            </w:pPr>
            <w:r>
              <w:rPr>
                <w:sz w:val="24"/>
              </w:rPr>
              <w:t>10 week</w:t>
            </w:r>
            <w:r w:rsidR="00F64C71">
              <w:rPr>
                <w:sz w:val="24"/>
              </w:rPr>
              <w:t>s</w:t>
            </w:r>
          </w:p>
        </w:tc>
        <w:tc>
          <w:tcPr>
            <w:tcW w:w="1361" w:type="dxa"/>
          </w:tcPr>
          <w:p w14:paraId="7A12A1CF" w14:textId="77777777" w:rsidR="009412FD" w:rsidRDefault="009412FD" w:rsidP="00A4303F">
            <w:pPr>
              <w:spacing w:line="360" w:lineRule="auto"/>
              <w:rPr>
                <w:sz w:val="24"/>
                <w:lang w:eastAsia="zh-CN"/>
              </w:rPr>
            </w:pPr>
            <w:r>
              <w:rPr>
                <w:sz w:val="24"/>
                <w:lang w:eastAsia="zh-CN"/>
              </w:rPr>
              <w:t>PDe-4</w:t>
            </w:r>
          </w:p>
          <w:p w14:paraId="6E4C085E" w14:textId="77777777" w:rsidR="009412FD" w:rsidRDefault="009412FD" w:rsidP="00A4303F">
            <w:pPr>
              <w:spacing w:line="360" w:lineRule="auto"/>
              <w:rPr>
                <w:sz w:val="24"/>
                <w:lang w:eastAsia="zh-CN"/>
              </w:rPr>
            </w:pPr>
            <w:r>
              <w:rPr>
                <w:sz w:val="24"/>
                <w:lang w:eastAsia="zh-CN"/>
              </w:rPr>
              <w:t>PDe-5</w:t>
            </w:r>
          </w:p>
          <w:p w14:paraId="34A41603" w14:textId="0E4B0002" w:rsidR="00872345" w:rsidRPr="00CF7295" w:rsidRDefault="009412FD" w:rsidP="00A4303F">
            <w:pPr>
              <w:spacing w:line="360" w:lineRule="auto"/>
              <w:rPr>
                <w:sz w:val="24"/>
                <w:lang w:eastAsia="zh-CN"/>
              </w:rPr>
            </w:pPr>
            <w:r w:rsidRPr="009412FD">
              <w:rPr>
                <w:sz w:val="24"/>
                <w:lang w:eastAsia="zh-CN"/>
              </w:rPr>
              <w:t>PDe-11</w:t>
            </w:r>
          </w:p>
        </w:tc>
        <w:tc>
          <w:tcPr>
            <w:tcW w:w="8959" w:type="dxa"/>
          </w:tcPr>
          <w:p w14:paraId="4BA6A4A7" w14:textId="17BE3259" w:rsidR="00410B64" w:rsidRDefault="00410B64" w:rsidP="00A4303F">
            <w:pPr>
              <w:spacing w:line="360" w:lineRule="auto"/>
              <w:rPr>
                <w:sz w:val="24"/>
              </w:rPr>
            </w:pPr>
            <w:r w:rsidRPr="00CF7295">
              <w:rPr>
                <w:rStyle w:val="Strong"/>
              </w:rPr>
              <w:t>Unit title</w:t>
            </w:r>
            <w:r>
              <w:rPr>
                <w:sz w:val="24"/>
              </w:rPr>
              <w:t xml:space="preserve"> – </w:t>
            </w:r>
            <w:r w:rsidR="009412FD" w:rsidRPr="009412FD">
              <w:rPr>
                <w:sz w:val="24"/>
              </w:rPr>
              <w:t>How can I move in different ways?</w:t>
            </w:r>
          </w:p>
          <w:p w14:paraId="53077661" w14:textId="24DE7EED"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 </w:t>
            </w:r>
            <w:r w:rsidR="009412FD" w:rsidRPr="009412FD">
              <w:rPr>
                <w:sz w:val="24"/>
              </w:rPr>
              <w:t>Students explore ways to move and balance in response to stimuli. There is a strong focus on moving to music and the integration of different locomotor, stability and manipulative skills. They explore static and dynamic balance through individual and group-based activities. Students develop fundamental movement skills and explore how they can be integrated with the dominant movement patterns identified in gymnastic-style activities.</w:t>
            </w:r>
          </w:p>
          <w:p w14:paraId="27963CE1" w14:textId="77777777" w:rsidR="00872345" w:rsidRDefault="00410B64" w:rsidP="00A4303F">
            <w:pPr>
              <w:spacing w:line="360" w:lineRule="auto"/>
              <w:rPr>
                <w:rStyle w:val="Strong"/>
              </w:rPr>
            </w:pPr>
            <w:r>
              <w:rPr>
                <w:rStyle w:val="Strong"/>
              </w:rPr>
              <w:t>Key inquiry questions</w:t>
            </w:r>
          </w:p>
          <w:p w14:paraId="4E3D908A" w14:textId="77777777" w:rsidR="009412FD" w:rsidRPr="009412FD" w:rsidRDefault="009412FD" w:rsidP="00A4303F">
            <w:pPr>
              <w:spacing w:line="360" w:lineRule="auto"/>
              <w:rPr>
                <w:sz w:val="24"/>
              </w:rPr>
            </w:pPr>
            <w:r w:rsidRPr="009412FD">
              <w:rPr>
                <w:sz w:val="24"/>
              </w:rPr>
              <w:t>How do we move our bodies?</w:t>
            </w:r>
          </w:p>
          <w:p w14:paraId="7897A1C0" w14:textId="704D6A5B" w:rsidR="009412FD" w:rsidRPr="009412FD" w:rsidRDefault="009412FD" w:rsidP="00A4303F">
            <w:pPr>
              <w:spacing w:line="360" w:lineRule="auto"/>
              <w:rPr>
                <w:sz w:val="24"/>
              </w:rPr>
            </w:pPr>
            <w:r w:rsidRPr="009412FD">
              <w:rPr>
                <w:sz w:val="24"/>
              </w:rPr>
              <w:lastRenderedPageBreak/>
              <w:t>How can</w:t>
            </w:r>
            <w:r w:rsidR="00E46B02">
              <w:rPr>
                <w:sz w:val="24"/>
              </w:rPr>
              <w:t xml:space="preserve"> we solve problems when moving?</w:t>
            </w:r>
          </w:p>
          <w:p w14:paraId="15ED38A6" w14:textId="557CBDAF" w:rsidR="009412FD" w:rsidRPr="00CF7295" w:rsidRDefault="009412FD" w:rsidP="00A4303F">
            <w:pPr>
              <w:spacing w:line="360" w:lineRule="auto"/>
              <w:rPr>
                <w:lang w:eastAsia="zh-CN"/>
              </w:rPr>
            </w:pPr>
            <w:r w:rsidRPr="009412FD">
              <w:rPr>
                <w:sz w:val="24"/>
              </w:rPr>
              <w:t>How do we participate with others when we are active?</w:t>
            </w:r>
          </w:p>
        </w:tc>
        <w:tc>
          <w:tcPr>
            <w:tcW w:w="2835" w:type="dxa"/>
          </w:tcPr>
          <w:p w14:paraId="48A2FDB0" w14:textId="77777777" w:rsidR="00872345" w:rsidRPr="00CF7295" w:rsidRDefault="00872345" w:rsidP="00A4303F">
            <w:pPr>
              <w:spacing w:line="360" w:lineRule="auto"/>
              <w:rPr>
                <w:sz w:val="24"/>
                <w:lang w:eastAsia="zh-CN"/>
              </w:rPr>
            </w:pPr>
          </w:p>
        </w:tc>
      </w:tr>
      <w:tr w:rsidR="00872345" w14:paraId="58DC5D95" w14:textId="77777777" w:rsidTr="0076687C">
        <w:trPr>
          <w:cnfStyle w:val="000000010000" w:firstRow="0" w:lastRow="0" w:firstColumn="0" w:lastColumn="0" w:oddVBand="0" w:evenVBand="0" w:oddHBand="0" w:evenHBand="1" w:firstRowFirstColumn="0" w:firstRowLastColumn="0" w:lastRowFirstColumn="0" w:lastRowLastColumn="0"/>
        </w:trPr>
        <w:tc>
          <w:tcPr>
            <w:tcW w:w="1361" w:type="dxa"/>
          </w:tcPr>
          <w:p w14:paraId="013BCAE0" w14:textId="77777777" w:rsidR="0076687C" w:rsidRDefault="00CA51A5" w:rsidP="00A4303F">
            <w:pPr>
              <w:spacing w:line="360" w:lineRule="auto"/>
              <w:rPr>
                <w:sz w:val="24"/>
                <w:lang w:eastAsia="zh-CN"/>
              </w:rPr>
            </w:pPr>
            <w:r w:rsidRPr="00CA51A5">
              <w:rPr>
                <w:sz w:val="24"/>
                <w:lang w:eastAsia="zh-CN"/>
              </w:rPr>
              <w:t>Term 4</w:t>
            </w:r>
          </w:p>
          <w:p w14:paraId="39B7E486" w14:textId="77777777" w:rsidR="0076687C" w:rsidRDefault="00CA51A5" w:rsidP="00A4303F">
            <w:pPr>
              <w:spacing w:line="360" w:lineRule="auto"/>
              <w:rPr>
                <w:sz w:val="24"/>
                <w:lang w:eastAsia="zh-CN"/>
              </w:rPr>
            </w:pPr>
            <w:r w:rsidRPr="00CA51A5">
              <w:rPr>
                <w:sz w:val="24"/>
                <w:lang w:eastAsia="zh-CN"/>
              </w:rPr>
              <w:t>PDH</w:t>
            </w:r>
          </w:p>
          <w:p w14:paraId="6BC730C5" w14:textId="255E9C6E" w:rsidR="00872345" w:rsidRPr="00CF7295" w:rsidRDefault="0076687C" w:rsidP="00A4303F">
            <w:pPr>
              <w:spacing w:line="360" w:lineRule="auto"/>
              <w:rPr>
                <w:sz w:val="24"/>
                <w:lang w:eastAsia="zh-CN"/>
              </w:rPr>
            </w:pPr>
            <w:r>
              <w:rPr>
                <w:sz w:val="24"/>
              </w:rPr>
              <w:t>10 week</w:t>
            </w:r>
            <w:r w:rsidR="00F64C71">
              <w:rPr>
                <w:sz w:val="24"/>
              </w:rPr>
              <w:t>s</w:t>
            </w:r>
          </w:p>
        </w:tc>
        <w:tc>
          <w:tcPr>
            <w:tcW w:w="1361" w:type="dxa"/>
          </w:tcPr>
          <w:p w14:paraId="64834B71" w14:textId="77777777" w:rsidR="00CA51A5" w:rsidRDefault="00CA51A5" w:rsidP="00A4303F">
            <w:pPr>
              <w:spacing w:line="360" w:lineRule="auto"/>
              <w:rPr>
                <w:sz w:val="24"/>
                <w:lang w:eastAsia="zh-CN"/>
              </w:rPr>
            </w:pPr>
            <w:r w:rsidRPr="00CA51A5">
              <w:rPr>
                <w:sz w:val="24"/>
                <w:lang w:eastAsia="zh-CN"/>
              </w:rPr>
              <w:t>PDe-6</w:t>
            </w:r>
          </w:p>
          <w:p w14:paraId="1A0D3050" w14:textId="77777777" w:rsidR="00CA51A5" w:rsidRDefault="00CA51A5" w:rsidP="00A4303F">
            <w:pPr>
              <w:spacing w:line="360" w:lineRule="auto"/>
              <w:rPr>
                <w:sz w:val="24"/>
                <w:lang w:eastAsia="zh-CN"/>
              </w:rPr>
            </w:pPr>
            <w:r>
              <w:rPr>
                <w:sz w:val="24"/>
                <w:lang w:eastAsia="zh-CN"/>
              </w:rPr>
              <w:t>PDe-7</w:t>
            </w:r>
          </w:p>
          <w:p w14:paraId="53A6F6F7" w14:textId="7802AF54" w:rsidR="00872345" w:rsidRPr="00CF7295" w:rsidRDefault="00CA51A5" w:rsidP="00A4303F">
            <w:pPr>
              <w:spacing w:line="360" w:lineRule="auto"/>
              <w:rPr>
                <w:sz w:val="24"/>
                <w:lang w:eastAsia="zh-CN"/>
              </w:rPr>
            </w:pPr>
            <w:r w:rsidRPr="00CA51A5">
              <w:rPr>
                <w:sz w:val="24"/>
                <w:lang w:eastAsia="zh-CN"/>
              </w:rPr>
              <w:t>PDe-10</w:t>
            </w:r>
          </w:p>
        </w:tc>
        <w:tc>
          <w:tcPr>
            <w:tcW w:w="8959" w:type="dxa"/>
          </w:tcPr>
          <w:p w14:paraId="589A6A45" w14:textId="14B67065" w:rsidR="00410B64" w:rsidRDefault="00410B64" w:rsidP="00A4303F">
            <w:pPr>
              <w:spacing w:line="360" w:lineRule="auto"/>
              <w:rPr>
                <w:sz w:val="24"/>
              </w:rPr>
            </w:pPr>
            <w:r w:rsidRPr="00CF7295">
              <w:rPr>
                <w:rStyle w:val="Strong"/>
              </w:rPr>
              <w:t>Unit title</w:t>
            </w:r>
            <w:r>
              <w:rPr>
                <w:sz w:val="24"/>
              </w:rPr>
              <w:t xml:space="preserve"> – </w:t>
            </w:r>
            <w:r w:rsidR="00CA51A5" w:rsidRPr="00CA51A5">
              <w:rPr>
                <w:sz w:val="24"/>
              </w:rPr>
              <w:t>What keeps me healthy?</w:t>
            </w:r>
          </w:p>
          <w:p w14:paraId="36EBC796" w14:textId="51F5D1BE"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 </w:t>
            </w:r>
            <w:r w:rsidR="00CA51A5" w:rsidRPr="00CA51A5">
              <w:rPr>
                <w:sz w:val="24"/>
              </w:rPr>
              <w:t>Students explore a range of activities that contribute towards positive health choices and who can influence them in their decision-making. This unit connects to ‘How can I be safe?’ with discussions of how remaining safe can impact your overall health. There is a focus on how participation in regular physical activity can influence physical, mental, social and emotional health.</w:t>
            </w:r>
          </w:p>
          <w:p w14:paraId="73F2A31D" w14:textId="77777777" w:rsidR="00872345" w:rsidRDefault="00410B64" w:rsidP="00A4303F">
            <w:pPr>
              <w:spacing w:line="360" w:lineRule="auto"/>
              <w:rPr>
                <w:rStyle w:val="Strong"/>
              </w:rPr>
            </w:pPr>
            <w:r>
              <w:rPr>
                <w:rStyle w:val="Strong"/>
              </w:rPr>
              <w:t>Key inquiry questions</w:t>
            </w:r>
          </w:p>
          <w:p w14:paraId="45D079E7" w14:textId="77777777" w:rsidR="00CA51A5" w:rsidRPr="00E46B02" w:rsidRDefault="00CA51A5" w:rsidP="00A4303F">
            <w:pPr>
              <w:spacing w:line="360" w:lineRule="auto"/>
              <w:rPr>
                <w:color w:val="auto"/>
                <w:sz w:val="24"/>
              </w:rPr>
            </w:pPr>
            <w:r w:rsidRPr="00E46B02">
              <w:rPr>
                <w:color w:val="auto"/>
                <w:sz w:val="24"/>
              </w:rPr>
              <w:t>What helps us to stay healthy and safe?</w:t>
            </w:r>
          </w:p>
          <w:p w14:paraId="475D563E" w14:textId="687477EC" w:rsidR="00E46B02" w:rsidRPr="00E46B02" w:rsidRDefault="00CA51A5" w:rsidP="00A4303F">
            <w:pPr>
              <w:spacing w:line="360" w:lineRule="auto"/>
              <w:rPr>
                <w:sz w:val="24"/>
              </w:rPr>
            </w:pPr>
            <w:r w:rsidRPr="00E46B02">
              <w:rPr>
                <w:color w:val="auto"/>
                <w:sz w:val="24"/>
              </w:rPr>
              <w:t>How do we make healthy and safe choices in different situations?</w:t>
            </w:r>
          </w:p>
        </w:tc>
        <w:tc>
          <w:tcPr>
            <w:tcW w:w="2835" w:type="dxa"/>
          </w:tcPr>
          <w:p w14:paraId="5A1DA84D" w14:textId="77777777" w:rsidR="00CA51A5" w:rsidRPr="00CA51A5" w:rsidRDefault="00CA51A5" w:rsidP="00A4303F">
            <w:pPr>
              <w:spacing w:line="360" w:lineRule="auto"/>
              <w:rPr>
                <w:sz w:val="24"/>
                <w:lang w:eastAsia="zh-CN"/>
              </w:rPr>
            </w:pPr>
            <w:r w:rsidRPr="00CA51A5">
              <w:rPr>
                <w:sz w:val="24"/>
                <w:lang w:eastAsia="zh-CN"/>
              </w:rPr>
              <w:t>Child protection</w:t>
            </w:r>
          </w:p>
          <w:p w14:paraId="3ECE7002" w14:textId="77777777" w:rsidR="00CA51A5" w:rsidRPr="00CA51A5" w:rsidRDefault="00CA51A5" w:rsidP="00A4303F">
            <w:pPr>
              <w:spacing w:line="360" w:lineRule="auto"/>
              <w:rPr>
                <w:sz w:val="24"/>
                <w:lang w:eastAsia="zh-CN"/>
              </w:rPr>
            </w:pPr>
            <w:r w:rsidRPr="00CA51A5">
              <w:rPr>
                <w:sz w:val="24"/>
                <w:lang w:eastAsia="zh-CN"/>
              </w:rPr>
              <w:t>Drug education</w:t>
            </w:r>
          </w:p>
          <w:p w14:paraId="62C273AB" w14:textId="10ABD4FF" w:rsidR="00872345" w:rsidRPr="00CF7295" w:rsidRDefault="00CA51A5" w:rsidP="00A4303F">
            <w:pPr>
              <w:spacing w:line="360" w:lineRule="auto"/>
              <w:rPr>
                <w:sz w:val="24"/>
                <w:lang w:eastAsia="zh-CN"/>
              </w:rPr>
            </w:pPr>
            <w:r w:rsidRPr="00CA51A5">
              <w:rPr>
                <w:sz w:val="24"/>
                <w:lang w:eastAsia="zh-CN"/>
              </w:rPr>
              <w:t>Road safety</w:t>
            </w:r>
          </w:p>
        </w:tc>
      </w:tr>
      <w:tr w:rsidR="00872345" w14:paraId="06C49703" w14:textId="77777777" w:rsidTr="0076687C">
        <w:trPr>
          <w:cnfStyle w:val="000000100000" w:firstRow="0" w:lastRow="0" w:firstColumn="0" w:lastColumn="0" w:oddVBand="0" w:evenVBand="0" w:oddHBand="1" w:evenHBand="0" w:firstRowFirstColumn="0" w:firstRowLastColumn="0" w:lastRowFirstColumn="0" w:lastRowLastColumn="0"/>
        </w:trPr>
        <w:tc>
          <w:tcPr>
            <w:tcW w:w="1361" w:type="dxa"/>
          </w:tcPr>
          <w:p w14:paraId="2C3E3863" w14:textId="77777777" w:rsidR="0076687C" w:rsidRDefault="00520B2B" w:rsidP="00A4303F">
            <w:pPr>
              <w:spacing w:line="360" w:lineRule="auto"/>
              <w:rPr>
                <w:sz w:val="24"/>
                <w:lang w:eastAsia="zh-CN"/>
              </w:rPr>
            </w:pPr>
            <w:r w:rsidRPr="00520B2B">
              <w:rPr>
                <w:sz w:val="24"/>
                <w:lang w:eastAsia="zh-CN"/>
              </w:rPr>
              <w:t>Term 4</w:t>
            </w:r>
          </w:p>
          <w:p w14:paraId="4D04451E" w14:textId="77777777" w:rsidR="0076687C" w:rsidRDefault="00520B2B" w:rsidP="00A4303F">
            <w:pPr>
              <w:spacing w:line="360" w:lineRule="auto"/>
              <w:rPr>
                <w:sz w:val="24"/>
                <w:lang w:eastAsia="zh-CN"/>
              </w:rPr>
            </w:pPr>
            <w:r w:rsidRPr="00520B2B">
              <w:rPr>
                <w:sz w:val="24"/>
                <w:lang w:eastAsia="zh-CN"/>
              </w:rPr>
              <w:t>PE</w:t>
            </w:r>
          </w:p>
          <w:p w14:paraId="18FEFDA4" w14:textId="702E919B" w:rsidR="00872345" w:rsidRPr="00CF7295" w:rsidRDefault="0076687C" w:rsidP="00A4303F">
            <w:pPr>
              <w:spacing w:line="360" w:lineRule="auto"/>
              <w:rPr>
                <w:sz w:val="24"/>
                <w:lang w:eastAsia="zh-CN"/>
              </w:rPr>
            </w:pPr>
            <w:r>
              <w:rPr>
                <w:sz w:val="24"/>
              </w:rPr>
              <w:t>10 week</w:t>
            </w:r>
            <w:r w:rsidR="00F64C71">
              <w:rPr>
                <w:sz w:val="24"/>
              </w:rPr>
              <w:t>s</w:t>
            </w:r>
            <w:bookmarkStart w:id="0" w:name="_GoBack"/>
            <w:bookmarkEnd w:id="0"/>
          </w:p>
        </w:tc>
        <w:tc>
          <w:tcPr>
            <w:tcW w:w="1361" w:type="dxa"/>
          </w:tcPr>
          <w:p w14:paraId="70850D72" w14:textId="77777777" w:rsidR="00520B2B" w:rsidRDefault="00520B2B" w:rsidP="00A4303F">
            <w:pPr>
              <w:spacing w:line="360" w:lineRule="auto"/>
              <w:rPr>
                <w:sz w:val="24"/>
                <w:lang w:eastAsia="zh-CN"/>
              </w:rPr>
            </w:pPr>
            <w:r>
              <w:rPr>
                <w:sz w:val="24"/>
                <w:lang w:eastAsia="zh-CN"/>
              </w:rPr>
              <w:t>PDe-4</w:t>
            </w:r>
          </w:p>
          <w:p w14:paraId="1B4ECF86" w14:textId="77777777" w:rsidR="00520B2B" w:rsidRDefault="00520B2B" w:rsidP="00A4303F">
            <w:pPr>
              <w:spacing w:line="360" w:lineRule="auto"/>
              <w:rPr>
                <w:sz w:val="24"/>
                <w:lang w:eastAsia="zh-CN"/>
              </w:rPr>
            </w:pPr>
            <w:r>
              <w:rPr>
                <w:sz w:val="24"/>
                <w:lang w:eastAsia="zh-CN"/>
              </w:rPr>
              <w:t>PDe-5</w:t>
            </w:r>
          </w:p>
          <w:p w14:paraId="67100ED2" w14:textId="77777777" w:rsidR="00520B2B" w:rsidRDefault="00520B2B" w:rsidP="00A4303F">
            <w:pPr>
              <w:spacing w:line="360" w:lineRule="auto"/>
              <w:rPr>
                <w:sz w:val="24"/>
                <w:lang w:eastAsia="zh-CN"/>
              </w:rPr>
            </w:pPr>
            <w:r>
              <w:rPr>
                <w:sz w:val="24"/>
                <w:lang w:eastAsia="zh-CN"/>
              </w:rPr>
              <w:t>PDe-10</w:t>
            </w:r>
          </w:p>
          <w:p w14:paraId="09552E42" w14:textId="50870678" w:rsidR="00872345" w:rsidRPr="00CF7295" w:rsidRDefault="00520B2B" w:rsidP="00A4303F">
            <w:pPr>
              <w:spacing w:line="360" w:lineRule="auto"/>
              <w:rPr>
                <w:sz w:val="24"/>
                <w:lang w:eastAsia="zh-CN"/>
              </w:rPr>
            </w:pPr>
            <w:r w:rsidRPr="00520B2B">
              <w:rPr>
                <w:sz w:val="24"/>
                <w:lang w:eastAsia="zh-CN"/>
              </w:rPr>
              <w:t>PDe-11</w:t>
            </w:r>
          </w:p>
        </w:tc>
        <w:tc>
          <w:tcPr>
            <w:tcW w:w="8959" w:type="dxa"/>
          </w:tcPr>
          <w:p w14:paraId="4704C51F" w14:textId="4D1645B5" w:rsidR="00410B64" w:rsidRDefault="00410B64" w:rsidP="00A4303F">
            <w:pPr>
              <w:spacing w:line="360" w:lineRule="auto"/>
              <w:rPr>
                <w:sz w:val="24"/>
              </w:rPr>
            </w:pPr>
            <w:r w:rsidRPr="00CF7295">
              <w:rPr>
                <w:rStyle w:val="Strong"/>
              </w:rPr>
              <w:t>Unit title</w:t>
            </w:r>
            <w:r>
              <w:rPr>
                <w:sz w:val="24"/>
              </w:rPr>
              <w:t xml:space="preserve"> – </w:t>
            </w:r>
            <w:r w:rsidR="00520B2B" w:rsidRPr="00520B2B">
              <w:rPr>
                <w:sz w:val="24"/>
              </w:rPr>
              <w:t>Why should we play together?</w:t>
            </w:r>
          </w:p>
          <w:p w14:paraId="1D0B2190" w14:textId="5CD77CC3" w:rsidR="00410B64" w:rsidRDefault="00410B64" w:rsidP="00A4303F">
            <w:pPr>
              <w:spacing w:line="360" w:lineRule="auto"/>
              <w:rPr>
                <w:sz w:val="24"/>
              </w:rPr>
            </w:pPr>
            <w:r w:rsidRPr="00CF7295">
              <w:rPr>
                <w:rStyle w:val="Strong"/>
              </w:rPr>
              <w:t xml:space="preserve">Unit </w:t>
            </w:r>
            <w:r>
              <w:rPr>
                <w:rStyle w:val="Strong"/>
              </w:rPr>
              <w:t>description</w:t>
            </w:r>
            <w:r>
              <w:rPr>
                <w:sz w:val="24"/>
              </w:rPr>
              <w:t xml:space="preserve"> – </w:t>
            </w:r>
            <w:r w:rsidR="00B44EFE" w:rsidRPr="00B44EFE">
              <w:rPr>
                <w:sz w:val="24"/>
              </w:rPr>
              <w:t>Students participate in a wide variety of games to explore how to use equipment appropriately and why it is important to interact positively with their peers.</w:t>
            </w:r>
          </w:p>
          <w:p w14:paraId="6B24893A" w14:textId="77777777" w:rsidR="00872345" w:rsidRDefault="00410B64" w:rsidP="00A4303F">
            <w:pPr>
              <w:spacing w:line="360" w:lineRule="auto"/>
              <w:rPr>
                <w:rStyle w:val="Strong"/>
              </w:rPr>
            </w:pPr>
            <w:r>
              <w:rPr>
                <w:rStyle w:val="Strong"/>
              </w:rPr>
              <w:t>Key inquiry questions</w:t>
            </w:r>
          </w:p>
          <w:p w14:paraId="778896BB" w14:textId="77777777" w:rsidR="00B44EFE" w:rsidRPr="00E46B02" w:rsidRDefault="00B44EFE" w:rsidP="00A4303F">
            <w:pPr>
              <w:spacing w:line="360" w:lineRule="auto"/>
              <w:rPr>
                <w:sz w:val="24"/>
              </w:rPr>
            </w:pPr>
            <w:r w:rsidRPr="00E46B02">
              <w:rPr>
                <w:sz w:val="24"/>
              </w:rPr>
              <w:lastRenderedPageBreak/>
              <w:t>How do we move our bodies?</w:t>
            </w:r>
          </w:p>
          <w:p w14:paraId="35E31932" w14:textId="77777777" w:rsidR="00B44EFE" w:rsidRPr="00E46B02" w:rsidRDefault="00B44EFE" w:rsidP="00A4303F">
            <w:pPr>
              <w:spacing w:line="360" w:lineRule="auto"/>
              <w:rPr>
                <w:sz w:val="24"/>
              </w:rPr>
            </w:pPr>
            <w:r w:rsidRPr="00E46B02">
              <w:rPr>
                <w:sz w:val="24"/>
              </w:rPr>
              <w:t>How can we solve problems when moving?</w:t>
            </w:r>
          </w:p>
          <w:p w14:paraId="23DC5DDD" w14:textId="51405926" w:rsidR="00B44EFE" w:rsidRPr="00CF7295" w:rsidRDefault="00B44EFE" w:rsidP="00A4303F">
            <w:pPr>
              <w:spacing w:line="360" w:lineRule="auto"/>
              <w:rPr>
                <w:lang w:eastAsia="zh-CN"/>
              </w:rPr>
            </w:pPr>
            <w:r w:rsidRPr="00E46B02">
              <w:rPr>
                <w:sz w:val="24"/>
              </w:rPr>
              <w:t>How do we participate with others when we are active?</w:t>
            </w:r>
          </w:p>
        </w:tc>
        <w:tc>
          <w:tcPr>
            <w:tcW w:w="2835" w:type="dxa"/>
          </w:tcPr>
          <w:p w14:paraId="5809B07D" w14:textId="77777777" w:rsidR="00872345" w:rsidRPr="00CF7295" w:rsidRDefault="00872345" w:rsidP="00A4303F">
            <w:pPr>
              <w:spacing w:line="360" w:lineRule="auto"/>
              <w:rPr>
                <w:sz w:val="24"/>
                <w:lang w:eastAsia="zh-CN"/>
              </w:rPr>
            </w:pPr>
          </w:p>
        </w:tc>
      </w:tr>
    </w:tbl>
    <w:p w14:paraId="6A9DF4AB" w14:textId="52A2AB22" w:rsidR="00410B64" w:rsidRPr="00E92015" w:rsidRDefault="00F64C71" w:rsidP="00E648DB">
      <w:pPr>
        <w:spacing w:line="360" w:lineRule="auto"/>
        <w:rPr>
          <w:sz w:val="20"/>
          <w:szCs w:val="20"/>
        </w:rPr>
      </w:pPr>
      <w:hyperlink r:id="rId11" w:history="1">
        <w:r w:rsidR="00410B64" w:rsidRPr="00E92015">
          <w:rPr>
            <w:rStyle w:val="Hyperlink"/>
            <w:b/>
            <w:bCs/>
            <w:sz w:val="20"/>
            <w:szCs w:val="20"/>
          </w:rPr>
          <w:t>PDHPE K-10 Syllabus</w:t>
        </w:r>
      </w:hyperlink>
      <w:r w:rsidR="00410B64" w:rsidRPr="00E92015">
        <w:rPr>
          <w:sz w:val="20"/>
          <w:szCs w:val="20"/>
        </w:rPr>
        <w:t xml:space="preserve"> © NSW Education Standards Authority (NESA) for and on behalf of the Crown in right of the State of New South Wales 2018</w:t>
      </w:r>
    </w:p>
    <w:sectPr w:rsidR="00410B64" w:rsidRPr="00E92015" w:rsidSect="00E92015">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4CCC0115"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F64C71">
      <w:rPr>
        <w:noProof/>
      </w:rPr>
      <w:t>2</w:t>
    </w:r>
    <w:r w:rsidRPr="002810D3">
      <w:fldChar w:fldCharType="end"/>
    </w:r>
    <w:r w:rsidRPr="002810D3">
      <w:tab/>
    </w:r>
    <w:r w:rsidR="00872345">
      <w:t xml:space="preserve">PDHPE </w:t>
    </w:r>
    <w:r w:rsidR="00E92015">
      <w:t>Kindergarten</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78C34CFA"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F64C71">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F64C71">
      <w:rPr>
        <w:noProof/>
      </w:rPr>
      <w:t>5</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DB0E" w14:textId="38C96E08" w:rsidR="00E92015" w:rsidRDefault="00E92015" w:rsidP="00E92015">
    <w:pPr>
      <w:pStyle w:val="Logo"/>
    </w:pPr>
    <w:r w:rsidRPr="00791B72">
      <w:t>e</w:t>
    </w:r>
    <w:r>
      <w:t>ducation.nsw.gov.au</w:t>
    </w:r>
    <w:r>
      <w:ptab w:relativeTo="margin" w:alignment="right" w:leader="none"/>
    </w:r>
    <w:r w:rsidRPr="009C69B7">
      <w:rPr>
        <w:noProof/>
        <w:lang w:eastAsia="en-AU"/>
      </w:rPr>
      <w:drawing>
        <wp:inline distT="0" distB="0" distL="0" distR="0" wp14:anchorId="5030BA05" wp14:editId="785D44E7">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80C0" w14:textId="77777777" w:rsidR="00E92015" w:rsidRDefault="00E9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2679" w14:textId="6342FC11" w:rsidR="00E92015" w:rsidRPr="00E92015" w:rsidRDefault="00E92015" w:rsidP="00E92015">
    <w:pPr>
      <w:spacing w:before="0" w:after="240" w:line="312" w:lineRule="auto"/>
      <w:rPr>
        <w:b/>
      </w:rPr>
    </w:pPr>
    <w:r w:rsidRPr="00EF35EE">
      <w:rPr>
        <w:b/>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C6FD" w14:textId="17EE244B" w:rsidR="00E92015" w:rsidRPr="00E92015" w:rsidRDefault="00E92015" w:rsidP="00E92015">
    <w:pPr>
      <w:spacing w:before="0" w:after="240" w:line="312" w:lineRule="auto"/>
      <w:rPr>
        <w:b/>
      </w:rPr>
    </w:pPr>
    <w:r w:rsidRPr="00EF35EE">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4"/>
  </w:num>
  <w:num w:numId="2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4688"/>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832"/>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0B6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0B2B"/>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22AF"/>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5F7D85"/>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4DAB"/>
    <w:rsid w:val="00765E06"/>
    <w:rsid w:val="00765F79"/>
    <w:rsid w:val="0076687C"/>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2F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FA4"/>
    <w:rsid w:val="009E56EB"/>
    <w:rsid w:val="009E6AB6"/>
    <w:rsid w:val="009E6B21"/>
    <w:rsid w:val="009E7F27"/>
    <w:rsid w:val="009F1A7D"/>
    <w:rsid w:val="009F3431"/>
    <w:rsid w:val="009F3838"/>
    <w:rsid w:val="009F3ECD"/>
    <w:rsid w:val="009F4B19"/>
    <w:rsid w:val="009F5F05"/>
    <w:rsid w:val="009F6EE0"/>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03F"/>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4EFE"/>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91C"/>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51A5"/>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3982"/>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2AA9"/>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46B02"/>
    <w:rsid w:val="00E504A1"/>
    <w:rsid w:val="00E51231"/>
    <w:rsid w:val="00E52A67"/>
    <w:rsid w:val="00E602A7"/>
    <w:rsid w:val="00E62FBE"/>
    <w:rsid w:val="00E63389"/>
    <w:rsid w:val="00E64597"/>
    <w:rsid w:val="00E648DB"/>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2015"/>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C71"/>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7FF1C3"/>
  <w14:defaultImageDpi w14:val="330"/>
  <w15:chartTrackingRefBased/>
  <w15:docId w15:val="{8484BBBD-B6DE-4AFF-B2C7-A512245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Logo">
    <w:name w:val="ŠLogo"/>
    <w:basedOn w:val="Normal"/>
    <w:uiPriority w:val="16"/>
    <w:qFormat/>
    <w:rsid w:val="00E92015"/>
    <w:pPr>
      <w:tabs>
        <w:tab w:val="right" w:pos="10199"/>
      </w:tabs>
      <w:spacing w:before="120" w:line="312" w:lineRule="auto"/>
      <w:ind w:right="-573"/>
    </w:pPr>
    <w:rPr>
      <w:rFonts w:eastAsia="SimSun"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E43C-554B-400C-A8CC-71E6BD8FA60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21cf46b-aad5-4995-a2f2-d8e267330f1f"/>
    <ds:schemaRef ds:uri="75d71e9f-edc0-4e52-9d4b-fc0b5bf40acc"/>
    <ds:schemaRef ds:uri="http://www.w3.org/XML/1998/namespace"/>
  </ds:schemaRefs>
</ds:datastoreItem>
</file>

<file path=customXml/itemProps2.xml><?xml version="1.0" encoding="utf-8"?>
<ds:datastoreItem xmlns:ds="http://schemas.openxmlformats.org/officeDocument/2006/customXml" ds:itemID="{2CC6DAB7-A0DD-406A-96AD-C0EB9E40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CBFDD-887D-45CE-8286-7B1506FF2BFF}">
  <ds:schemaRefs>
    <ds:schemaRef ds:uri="http://schemas.microsoft.com/sharepoint/v3/contenttype/forms"/>
  </ds:schemaRefs>
</ds:datastoreItem>
</file>

<file path=customXml/itemProps4.xml><?xml version="1.0" encoding="utf-8"?>
<ds:datastoreItem xmlns:ds="http://schemas.openxmlformats.org/officeDocument/2006/customXml" ds:itemID="{DD292320-ED03-4C30-9798-8AABCF35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Kindergarten year based scope and sequence PDHPE</vt:lpstr>
    </vt:vector>
  </TitlesOfParts>
  <Manager/>
  <Company/>
  <LinksUpToDate>false</LinksUpToDate>
  <CharactersWithSpaces>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year based scope and sequence PDHPE</dc:title>
  <dc:subject/>
  <dc:creator>NSW DoE</dc:creator>
  <cp:keywords/>
  <dc:description/>
  <cp:lastModifiedBy>Chris North</cp:lastModifiedBy>
  <cp:revision>7</cp:revision>
  <dcterms:created xsi:type="dcterms:W3CDTF">2020-11-18T21:50:00Z</dcterms:created>
  <dcterms:modified xsi:type="dcterms:W3CDTF">2020-11-20T00:31:00Z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