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174BF" w14:textId="77777777" w:rsidR="0014684F" w:rsidRPr="00E97020" w:rsidRDefault="002E4B54" w:rsidP="00FA0B37">
      <w:pPr>
        <w:pStyle w:val="Title"/>
        <w:spacing w:after="240"/>
      </w:pPr>
      <w:r>
        <w:t xml:space="preserve">K-6 </w:t>
      </w:r>
      <w:r w:rsidR="0014684F" w:rsidRPr="00E97020">
        <w:t xml:space="preserve">PDHPE program evaluation tool </w:t>
      </w:r>
    </w:p>
    <w:p w14:paraId="7E989F78" w14:textId="77777777" w:rsidR="0014684F" w:rsidRPr="00E97020" w:rsidRDefault="0014684F" w:rsidP="0014684F">
      <w:r w:rsidRPr="00E97020">
        <w:t xml:space="preserve">This evaluation tool supports teachers to </w:t>
      </w:r>
      <w:r w:rsidRPr="00E97020">
        <w:rPr>
          <w:shd w:val="clear" w:color="auto" w:fill="FFFFFF"/>
        </w:rPr>
        <w:t xml:space="preserve">reflect on existing practice, recognise and build on strengths and identify opportunities to refine and change practice. </w:t>
      </w:r>
    </w:p>
    <w:p w14:paraId="402AC7DD" w14:textId="79FF7D97" w:rsidR="008A30C4" w:rsidRDefault="0014684F" w:rsidP="00F20D7D">
      <w:pPr>
        <w:pStyle w:val="Heading2"/>
        <w:spacing w:after="120"/>
      </w:pPr>
      <w:r w:rsidRPr="00E97020">
        <w:t>Whole school</w:t>
      </w:r>
      <w:r w:rsidR="004A1404">
        <w:t xml:space="preserve"> PDHPE</w:t>
      </w:r>
      <w:r w:rsidR="00731725">
        <w:t xml:space="preserve"> </w:t>
      </w:r>
      <w:r w:rsidRPr="00E97020">
        <w:t>scope and sequence evaluation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  <w:tblCaption w:val="Criteria"/>
      </w:tblPr>
      <w:tblGrid>
        <w:gridCol w:w="13467"/>
        <w:gridCol w:w="921"/>
        <w:gridCol w:w="921"/>
      </w:tblGrid>
      <w:tr w:rsidR="008A30C4" w:rsidRPr="007B6B2F" w14:paraId="3783F2E5" w14:textId="77777777" w:rsidTr="0009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63"/>
        </w:trPr>
        <w:tc>
          <w:tcPr>
            <w:tcW w:w="13467" w:type="dxa"/>
          </w:tcPr>
          <w:p w14:paraId="44423A22" w14:textId="77777777" w:rsidR="008A30C4" w:rsidRPr="00403FD2" w:rsidRDefault="0014684F" w:rsidP="00403FD2">
            <w:pPr>
              <w:pStyle w:val="Tabletext"/>
              <w:rPr>
                <w:b w:val="0"/>
                <w:color w:val="000000" w:themeColor="text1"/>
                <w:sz w:val="24"/>
              </w:rPr>
            </w:pPr>
            <w:r w:rsidRPr="00403FD2">
              <w:rPr>
                <w:b w:val="0"/>
                <w:color w:val="000000" w:themeColor="text1"/>
                <w:sz w:val="24"/>
              </w:rPr>
              <w:t>Criteria</w:t>
            </w:r>
          </w:p>
        </w:tc>
        <w:tc>
          <w:tcPr>
            <w:tcW w:w="921" w:type="dxa"/>
          </w:tcPr>
          <w:p w14:paraId="3BBD03D1" w14:textId="77777777" w:rsidR="008A30C4" w:rsidRPr="00403FD2" w:rsidRDefault="0014684F" w:rsidP="00403FD2">
            <w:pPr>
              <w:pStyle w:val="Tabletext"/>
              <w:rPr>
                <w:b w:val="0"/>
                <w:color w:val="000000" w:themeColor="text1"/>
                <w:sz w:val="24"/>
              </w:rPr>
            </w:pPr>
            <w:r w:rsidRPr="00403FD2">
              <w:rPr>
                <w:b w:val="0"/>
                <w:color w:val="000000" w:themeColor="text1"/>
                <w:sz w:val="24"/>
              </w:rPr>
              <w:t>Yes</w:t>
            </w:r>
          </w:p>
        </w:tc>
        <w:tc>
          <w:tcPr>
            <w:tcW w:w="921" w:type="dxa"/>
          </w:tcPr>
          <w:p w14:paraId="5D483E1E" w14:textId="77777777" w:rsidR="008A30C4" w:rsidRPr="00403FD2" w:rsidRDefault="0014684F" w:rsidP="00403FD2">
            <w:pPr>
              <w:pStyle w:val="Tabletext"/>
              <w:rPr>
                <w:b w:val="0"/>
                <w:color w:val="000000" w:themeColor="text1"/>
                <w:sz w:val="24"/>
              </w:rPr>
            </w:pPr>
            <w:r w:rsidRPr="00403FD2">
              <w:rPr>
                <w:b w:val="0"/>
                <w:color w:val="000000" w:themeColor="text1"/>
                <w:sz w:val="24"/>
              </w:rPr>
              <w:t>No</w:t>
            </w:r>
          </w:p>
        </w:tc>
      </w:tr>
      <w:tr w:rsidR="0014684F" w14:paraId="66BD8042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3467" w:type="dxa"/>
          </w:tcPr>
          <w:p w14:paraId="5C0A078B" w14:textId="7782FC11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  <w:r w:rsidRPr="00403FD2">
              <w:rPr>
                <w:color w:val="000000" w:themeColor="text1"/>
                <w:sz w:val="24"/>
              </w:rPr>
              <w:t xml:space="preserve">PDHPE is timetabled </w:t>
            </w:r>
            <w:r w:rsidR="002E4B54" w:rsidRPr="00403FD2">
              <w:rPr>
                <w:color w:val="000000" w:themeColor="text1"/>
                <w:sz w:val="24"/>
              </w:rPr>
              <w:t xml:space="preserve">for 1.5-2.5 hours per </w:t>
            </w:r>
            <w:r w:rsidRPr="00403FD2">
              <w:rPr>
                <w:color w:val="000000" w:themeColor="text1"/>
                <w:sz w:val="24"/>
              </w:rPr>
              <w:t xml:space="preserve">each week to meet the </w:t>
            </w:r>
            <w:hyperlink r:id="rId7" w:history="1">
              <w:r w:rsidRPr="00403FD2">
                <w:rPr>
                  <w:rStyle w:val="Hyperlink"/>
                  <w:color w:val="000000" w:themeColor="text1"/>
                  <w:u w:val="none"/>
                </w:rPr>
                <w:t>NESA K-6 curriculum requirements</w:t>
              </w:r>
            </w:hyperlink>
          </w:p>
        </w:tc>
        <w:tc>
          <w:tcPr>
            <w:tcW w:w="921" w:type="dxa"/>
          </w:tcPr>
          <w:p w14:paraId="07D03CDC" w14:textId="77777777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  <w:tc>
          <w:tcPr>
            <w:tcW w:w="921" w:type="dxa"/>
          </w:tcPr>
          <w:p w14:paraId="5ABB83D6" w14:textId="77777777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</w:tr>
      <w:tr w:rsidR="0014684F" w14:paraId="083BC8E8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13467" w:type="dxa"/>
          </w:tcPr>
          <w:p w14:paraId="0EEE43D0" w14:textId="5456D1DC" w:rsidR="0014684F" w:rsidRPr="00403FD2" w:rsidRDefault="0014684F" w:rsidP="00403FD2">
            <w:pPr>
              <w:pStyle w:val="Tabletext"/>
              <w:rPr>
                <w:sz w:val="24"/>
              </w:rPr>
            </w:pPr>
            <w:r w:rsidRPr="00403FD2">
              <w:rPr>
                <w:sz w:val="24"/>
              </w:rPr>
              <w:t>All outcomes are addressed across each stage of learning </w:t>
            </w:r>
            <w:r w:rsidR="00320759" w:rsidRPr="00403FD2">
              <w:rPr>
                <w:sz w:val="24"/>
              </w:rPr>
              <w:t>(listed in the syllabus on pages 14-19)</w:t>
            </w:r>
          </w:p>
        </w:tc>
        <w:tc>
          <w:tcPr>
            <w:tcW w:w="921" w:type="dxa"/>
          </w:tcPr>
          <w:p w14:paraId="65AC4240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  <w:tc>
          <w:tcPr>
            <w:tcW w:w="921" w:type="dxa"/>
          </w:tcPr>
          <w:p w14:paraId="1C767A3A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</w:tr>
      <w:tr w:rsidR="0014684F" w14:paraId="6EFA8823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13467" w:type="dxa"/>
          </w:tcPr>
          <w:p w14:paraId="78972AD8" w14:textId="1014EA48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  <w:r w:rsidRPr="00403FD2">
              <w:rPr>
                <w:color w:val="000000" w:themeColor="text1"/>
                <w:sz w:val="24"/>
              </w:rPr>
              <w:t>All strands are addressed in each year </w:t>
            </w:r>
            <w:r w:rsidR="00320759" w:rsidRPr="00403FD2">
              <w:rPr>
                <w:color w:val="000000" w:themeColor="text1"/>
                <w:sz w:val="24"/>
              </w:rPr>
              <w:t>(listed in the syllabus on pages 25-26)</w:t>
            </w:r>
          </w:p>
        </w:tc>
        <w:tc>
          <w:tcPr>
            <w:tcW w:w="921" w:type="dxa"/>
          </w:tcPr>
          <w:p w14:paraId="5A539402" w14:textId="77777777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  <w:tc>
          <w:tcPr>
            <w:tcW w:w="921" w:type="dxa"/>
          </w:tcPr>
          <w:p w14:paraId="5361EE29" w14:textId="77777777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</w:tr>
      <w:tr w:rsidR="0014684F" w14:paraId="38458EA5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13467" w:type="dxa"/>
          </w:tcPr>
          <w:p w14:paraId="1C45A07A" w14:textId="1CCE1CCB" w:rsidR="0014684F" w:rsidRPr="00403FD2" w:rsidRDefault="0014684F" w:rsidP="00403FD2">
            <w:pPr>
              <w:pStyle w:val="Tabletext"/>
              <w:rPr>
                <w:sz w:val="24"/>
              </w:rPr>
            </w:pPr>
            <w:r w:rsidRPr="00403FD2">
              <w:rPr>
                <w:sz w:val="24"/>
              </w:rPr>
              <w:t>A</w:t>
            </w:r>
            <w:r w:rsidR="00CA4D08" w:rsidRPr="00403FD2">
              <w:rPr>
                <w:sz w:val="24"/>
              </w:rPr>
              <w:t>t least one</w:t>
            </w:r>
            <w:r w:rsidRPr="00403FD2">
              <w:rPr>
                <w:sz w:val="24"/>
              </w:rPr>
              <w:t xml:space="preserve"> skill </w:t>
            </w:r>
            <w:r w:rsidR="00CA4D08" w:rsidRPr="00403FD2">
              <w:rPr>
                <w:sz w:val="24"/>
              </w:rPr>
              <w:t xml:space="preserve">from each skill </w:t>
            </w:r>
            <w:r w:rsidRPr="00403FD2">
              <w:rPr>
                <w:sz w:val="24"/>
              </w:rPr>
              <w:t xml:space="preserve">domain </w:t>
            </w:r>
            <w:r w:rsidR="00CA4D08" w:rsidRPr="00403FD2">
              <w:rPr>
                <w:sz w:val="24"/>
              </w:rPr>
              <w:t>is</w:t>
            </w:r>
            <w:r w:rsidRPr="00403FD2">
              <w:rPr>
                <w:sz w:val="24"/>
              </w:rPr>
              <w:t xml:space="preserve"> addressed in each year </w:t>
            </w:r>
            <w:r w:rsidR="00320759" w:rsidRPr="00403FD2">
              <w:rPr>
                <w:sz w:val="24"/>
              </w:rPr>
              <w:t>(listed in the syllabus on pages 27-30)</w:t>
            </w:r>
          </w:p>
        </w:tc>
        <w:tc>
          <w:tcPr>
            <w:tcW w:w="921" w:type="dxa"/>
          </w:tcPr>
          <w:p w14:paraId="362A223E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  <w:tc>
          <w:tcPr>
            <w:tcW w:w="921" w:type="dxa"/>
          </w:tcPr>
          <w:p w14:paraId="097067AA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</w:tr>
      <w:tr w:rsidR="00731725" w14:paraId="067A0C74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3467" w:type="dxa"/>
          </w:tcPr>
          <w:p w14:paraId="5F7E1805" w14:textId="69267B87" w:rsidR="00731725" w:rsidRPr="00403FD2" w:rsidRDefault="00731725" w:rsidP="00403FD2">
            <w:pPr>
              <w:pStyle w:val="Tabletext"/>
              <w:rPr>
                <w:color w:val="000000" w:themeColor="text1"/>
                <w:sz w:val="24"/>
              </w:rPr>
            </w:pPr>
            <w:r w:rsidRPr="00403FD2">
              <w:rPr>
                <w:color w:val="000000" w:themeColor="text1"/>
                <w:sz w:val="24"/>
              </w:rPr>
              <w:t>C</w:t>
            </w:r>
            <w:r w:rsidR="00E040D6" w:rsidRPr="00403FD2">
              <w:rPr>
                <w:color w:val="000000" w:themeColor="text1"/>
                <w:sz w:val="24"/>
              </w:rPr>
              <w:t>ontent related to c</w:t>
            </w:r>
            <w:r w:rsidRPr="00403FD2">
              <w:rPr>
                <w:color w:val="000000" w:themeColor="text1"/>
                <w:sz w:val="24"/>
              </w:rPr>
              <w:t>hild protection, road safety and drug education are addressed in each stage of learning</w:t>
            </w:r>
          </w:p>
        </w:tc>
        <w:tc>
          <w:tcPr>
            <w:tcW w:w="921" w:type="dxa"/>
          </w:tcPr>
          <w:p w14:paraId="036C6DFB" w14:textId="77777777" w:rsidR="00731725" w:rsidRPr="00403FD2" w:rsidRDefault="00731725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  <w:tc>
          <w:tcPr>
            <w:tcW w:w="921" w:type="dxa"/>
          </w:tcPr>
          <w:p w14:paraId="71C3FAD1" w14:textId="77777777" w:rsidR="00731725" w:rsidRPr="00403FD2" w:rsidRDefault="00731725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</w:tr>
      <w:tr w:rsidR="0014684F" w14:paraId="0FF78C3E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133C809B" w14:textId="15917449" w:rsidR="0014684F" w:rsidRPr="00403FD2" w:rsidRDefault="0014684F" w:rsidP="00403FD2">
            <w:pPr>
              <w:pStyle w:val="Tabletext"/>
              <w:rPr>
                <w:sz w:val="24"/>
              </w:rPr>
            </w:pPr>
            <w:r w:rsidRPr="00403FD2">
              <w:rPr>
                <w:sz w:val="24"/>
              </w:rPr>
              <w:t>The stage-based scope and sequence reflects the school c</w:t>
            </w:r>
            <w:r w:rsidR="00FE5697" w:rsidRPr="00403FD2">
              <w:rPr>
                <w:sz w:val="24"/>
              </w:rPr>
              <w:t>ontext, available resources,</w:t>
            </w:r>
            <w:r w:rsidRPr="00403FD2">
              <w:rPr>
                <w:sz w:val="24"/>
              </w:rPr>
              <w:t xml:space="preserve"> school calendar and addresses contemporary health issues and contexts</w:t>
            </w:r>
            <w:r w:rsidR="00731725" w:rsidRPr="00403FD2">
              <w:rPr>
                <w:sz w:val="24"/>
              </w:rPr>
              <w:t xml:space="preserve"> that are relevant to students needs and interests</w:t>
            </w:r>
            <w:r w:rsidRPr="00403FD2">
              <w:rPr>
                <w:sz w:val="24"/>
              </w:rPr>
              <w:t> </w:t>
            </w:r>
            <w:r w:rsidR="00FA0B37" w:rsidRPr="00403FD2">
              <w:rPr>
                <w:sz w:val="24"/>
              </w:rPr>
              <w:t xml:space="preserve"> </w:t>
            </w:r>
          </w:p>
        </w:tc>
        <w:tc>
          <w:tcPr>
            <w:tcW w:w="921" w:type="dxa"/>
          </w:tcPr>
          <w:p w14:paraId="131E7235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  <w:tc>
          <w:tcPr>
            <w:tcW w:w="921" w:type="dxa"/>
          </w:tcPr>
          <w:p w14:paraId="12102210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</w:tr>
      <w:tr w:rsidR="00731725" w14:paraId="04227803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316FF03B" w14:textId="622577C7" w:rsidR="00731725" w:rsidRPr="00403FD2" w:rsidDel="00731725" w:rsidRDefault="00731725" w:rsidP="00403FD2">
            <w:pPr>
              <w:pStyle w:val="Tabletext"/>
              <w:rPr>
                <w:color w:val="000000" w:themeColor="text1"/>
                <w:sz w:val="24"/>
              </w:rPr>
            </w:pPr>
            <w:r w:rsidRPr="00403FD2">
              <w:rPr>
                <w:color w:val="000000" w:themeColor="text1"/>
                <w:sz w:val="24"/>
              </w:rPr>
              <w:t xml:space="preserve">There are opportunities to contribute to 150 minutes of planned physical activity per week to meet the </w:t>
            </w:r>
            <w:hyperlink r:id="rId8" w:anchor="Sport5" w:history="1">
              <w:r w:rsidRPr="00403FD2">
                <w:rPr>
                  <w:rStyle w:val="Hyperlink"/>
                  <w:color w:val="000000" w:themeColor="text1"/>
                  <w:u w:val="none"/>
                </w:rPr>
                <w:t>Department’s Sport and Physical Activity policy requirement</w:t>
              </w:r>
            </w:hyperlink>
          </w:p>
        </w:tc>
        <w:tc>
          <w:tcPr>
            <w:tcW w:w="921" w:type="dxa"/>
          </w:tcPr>
          <w:p w14:paraId="2E5FC7CC" w14:textId="77777777" w:rsidR="00731725" w:rsidRPr="00403FD2" w:rsidRDefault="00731725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  <w:tc>
          <w:tcPr>
            <w:tcW w:w="921" w:type="dxa"/>
          </w:tcPr>
          <w:p w14:paraId="2B80B813" w14:textId="77777777" w:rsidR="00731725" w:rsidRPr="00403FD2" w:rsidRDefault="00731725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</w:tr>
      <w:tr w:rsidR="00FA0B37" w14:paraId="7407B390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3962CD07" w14:textId="6F26E6C0" w:rsidR="00FA0B37" w:rsidRPr="00403FD2" w:rsidRDefault="00FA0B37" w:rsidP="00403FD2">
            <w:pPr>
              <w:pStyle w:val="Tabletext"/>
              <w:rPr>
                <w:sz w:val="24"/>
              </w:rPr>
            </w:pPr>
            <w:r w:rsidRPr="00403FD2">
              <w:rPr>
                <w:sz w:val="24"/>
              </w:rPr>
              <w:t xml:space="preserve">The stage-based </w:t>
            </w:r>
            <w:r w:rsidR="002E4B54" w:rsidRPr="00403FD2">
              <w:rPr>
                <w:sz w:val="24"/>
              </w:rPr>
              <w:t xml:space="preserve">scope and sequence </w:t>
            </w:r>
            <w:r w:rsidRPr="00403FD2">
              <w:rPr>
                <w:sz w:val="24"/>
              </w:rPr>
              <w:t>incorporates a wide range of contexts for learning</w:t>
            </w:r>
            <w:r w:rsidR="00431A22" w:rsidRPr="00403FD2">
              <w:rPr>
                <w:sz w:val="24"/>
              </w:rPr>
              <w:t xml:space="preserve"> embedded throughout the </w:t>
            </w:r>
            <w:hyperlink r:id="rId9" w:history="1">
              <w:r w:rsidR="00730772" w:rsidRPr="00403FD2">
                <w:rPr>
                  <w:rStyle w:val="Hyperlink"/>
                  <w:color w:val="000000" w:themeColor="text1"/>
                  <w:u w:val="none"/>
                </w:rPr>
                <w:t>PDHPE K-10 S</w:t>
              </w:r>
              <w:r w:rsidR="00431A22" w:rsidRPr="00403FD2">
                <w:rPr>
                  <w:rStyle w:val="Hyperlink"/>
                  <w:color w:val="000000" w:themeColor="text1"/>
                  <w:u w:val="none"/>
                </w:rPr>
                <w:t>yllabus</w:t>
              </w:r>
            </w:hyperlink>
            <w:r w:rsidR="00431A22" w:rsidRPr="00403FD2">
              <w:rPr>
                <w:sz w:val="24"/>
              </w:rPr>
              <w:t xml:space="preserve"> </w:t>
            </w:r>
            <w:r w:rsidR="00320759" w:rsidRPr="00403FD2">
              <w:rPr>
                <w:sz w:val="24"/>
              </w:rPr>
              <w:t>(listed in the syllabus on page 26)</w:t>
            </w:r>
          </w:p>
        </w:tc>
        <w:tc>
          <w:tcPr>
            <w:tcW w:w="921" w:type="dxa"/>
          </w:tcPr>
          <w:p w14:paraId="1E605964" w14:textId="77777777" w:rsidR="00FA0B37" w:rsidRPr="00403FD2" w:rsidRDefault="00FA0B37" w:rsidP="00403FD2">
            <w:pPr>
              <w:pStyle w:val="Tabletext"/>
              <w:rPr>
                <w:sz w:val="24"/>
              </w:rPr>
            </w:pPr>
          </w:p>
        </w:tc>
        <w:tc>
          <w:tcPr>
            <w:tcW w:w="921" w:type="dxa"/>
          </w:tcPr>
          <w:p w14:paraId="71520E9E" w14:textId="77777777" w:rsidR="00FA0B37" w:rsidRPr="00403FD2" w:rsidRDefault="00FA0B37" w:rsidP="00403FD2">
            <w:pPr>
              <w:pStyle w:val="Tabletext"/>
              <w:rPr>
                <w:sz w:val="24"/>
              </w:rPr>
            </w:pPr>
          </w:p>
        </w:tc>
      </w:tr>
      <w:tr w:rsidR="0014684F" w14:paraId="02FD0C9F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0D4E5C2C" w14:textId="169B8EC2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  <w:r w:rsidRPr="00403FD2">
              <w:rPr>
                <w:color w:val="000000" w:themeColor="text1"/>
                <w:sz w:val="24"/>
              </w:rPr>
              <w:t>Spiral curriculum is promoted where knowledge, understanding and skills are introduced, revisited and built on in each stage of learning</w:t>
            </w:r>
          </w:p>
        </w:tc>
        <w:tc>
          <w:tcPr>
            <w:tcW w:w="921" w:type="dxa"/>
          </w:tcPr>
          <w:p w14:paraId="1232BB82" w14:textId="77777777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  <w:tc>
          <w:tcPr>
            <w:tcW w:w="921" w:type="dxa"/>
          </w:tcPr>
          <w:p w14:paraId="3F50348E" w14:textId="77777777" w:rsidR="0014684F" w:rsidRPr="00403FD2" w:rsidRDefault="0014684F" w:rsidP="00403FD2">
            <w:pPr>
              <w:pStyle w:val="Tabletext"/>
              <w:rPr>
                <w:color w:val="000000" w:themeColor="text1"/>
                <w:sz w:val="24"/>
              </w:rPr>
            </w:pPr>
          </w:p>
        </w:tc>
      </w:tr>
      <w:tr w:rsidR="0014684F" w14:paraId="79F7D368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40D9EBDB" w14:textId="4291055E" w:rsidR="0014684F" w:rsidRPr="00403FD2" w:rsidRDefault="0014684F" w:rsidP="00403FD2">
            <w:pPr>
              <w:pStyle w:val="Tabletext"/>
              <w:rPr>
                <w:sz w:val="24"/>
              </w:rPr>
            </w:pPr>
            <w:r w:rsidRPr="00403FD2">
              <w:rPr>
                <w:sz w:val="24"/>
              </w:rPr>
              <w:t>There are various opportunities for the application of all three categories of movement skills across various physical activity contexts and situations across K-10 </w:t>
            </w:r>
            <w:r w:rsidR="00320759" w:rsidRPr="00403FD2">
              <w:rPr>
                <w:sz w:val="24"/>
              </w:rPr>
              <w:t>(listed in the syllabus on pages 29-30)</w:t>
            </w:r>
            <w:bookmarkStart w:id="0" w:name="_GoBack"/>
            <w:bookmarkEnd w:id="0"/>
          </w:p>
        </w:tc>
        <w:tc>
          <w:tcPr>
            <w:tcW w:w="921" w:type="dxa"/>
          </w:tcPr>
          <w:p w14:paraId="0339FDF7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  <w:tc>
          <w:tcPr>
            <w:tcW w:w="921" w:type="dxa"/>
          </w:tcPr>
          <w:p w14:paraId="62D0A932" w14:textId="77777777" w:rsidR="0014684F" w:rsidRPr="00403FD2" w:rsidRDefault="0014684F" w:rsidP="00403FD2">
            <w:pPr>
              <w:pStyle w:val="Tabletext"/>
              <w:rPr>
                <w:sz w:val="24"/>
              </w:rPr>
            </w:pPr>
          </w:p>
        </w:tc>
      </w:tr>
    </w:tbl>
    <w:p w14:paraId="7083163C" w14:textId="17FFC5F0" w:rsidR="00546F02" w:rsidRDefault="004A1404" w:rsidP="0014684F">
      <w:pPr>
        <w:pStyle w:val="Heading2"/>
      </w:pPr>
      <w:r>
        <w:lastRenderedPageBreak/>
        <w:t xml:space="preserve">Unit of learning </w:t>
      </w:r>
      <w:r w:rsidR="0014684F">
        <w:t>evaluation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  <w:tblCaption w:val="Criteria"/>
      </w:tblPr>
      <w:tblGrid>
        <w:gridCol w:w="13467"/>
        <w:gridCol w:w="921"/>
        <w:gridCol w:w="921"/>
      </w:tblGrid>
      <w:tr w:rsidR="0014684F" w:rsidRPr="007B6B2F" w14:paraId="7481E601" w14:textId="77777777" w:rsidTr="0009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63"/>
        </w:trPr>
        <w:tc>
          <w:tcPr>
            <w:tcW w:w="13467" w:type="dxa"/>
          </w:tcPr>
          <w:p w14:paraId="6FF8F7CD" w14:textId="77777777" w:rsidR="0014684F" w:rsidRPr="007B6B2F" w:rsidRDefault="0014684F" w:rsidP="0009545E">
            <w:pPr>
              <w:keepNext w:val="0"/>
              <w:keepLines w:val="0"/>
              <w:widowControl/>
              <w:spacing w:after="0" w:line="276" w:lineRule="auto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>Criteria</w:t>
            </w:r>
          </w:p>
        </w:tc>
        <w:tc>
          <w:tcPr>
            <w:tcW w:w="921" w:type="dxa"/>
          </w:tcPr>
          <w:p w14:paraId="3D4764FD" w14:textId="77777777" w:rsidR="0014684F" w:rsidRPr="007B6B2F" w:rsidRDefault="0014684F" w:rsidP="0009545E">
            <w:pPr>
              <w:keepNext w:val="0"/>
              <w:keepLines w:val="0"/>
              <w:widowControl/>
              <w:spacing w:after="0" w:line="276" w:lineRule="auto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921" w:type="dxa"/>
          </w:tcPr>
          <w:p w14:paraId="76FA1EF0" w14:textId="77777777" w:rsidR="0014684F" w:rsidRPr="007B6B2F" w:rsidRDefault="0014684F" w:rsidP="0009545E">
            <w:pPr>
              <w:keepNext w:val="0"/>
              <w:keepLines w:val="0"/>
              <w:widowControl/>
              <w:spacing w:after="0" w:line="276" w:lineRule="auto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 w:rsidR="0014684F" w14:paraId="2C0D1312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3467" w:type="dxa"/>
          </w:tcPr>
          <w:p w14:paraId="3661A847" w14:textId="513514F1" w:rsidR="0014684F" w:rsidRPr="003A5123" w:rsidRDefault="0014684F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Appropriate syllabus outcomes and content for each stage are clearly identified</w:t>
            </w:r>
          </w:p>
        </w:tc>
        <w:tc>
          <w:tcPr>
            <w:tcW w:w="921" w:type="dxa"/>
          </w:tcPr>
          <w:p w14:paraId="5B8185A1" w14:textId="77777777" w:rsidR="0014684F" w:rsidRPr="00F5467A" w:rsidRDefault="0014684F" w:rsidP="0014684F">
            <w:pPr>
              <w:widowControl/>
              <w:spacing w:after="0" w:line="276" w:lineRule="auto"/>
              <w:ind w:left="652" w:hanging="368"/>
            </w:pPr>
          </w:p>
        </w:tc>
        <w:tc>
          <w:tcPr>
            <w:tcW w:w="921" w:type="dxa"/>
          </w:tcPr>
          <w:p w14:paraId="12F06987" w14:textId="77777777" w:rsidR="0014684F" w:rsidRPr="00F5467A" w:rsidRDefault="0014684F" w:rsidP="0014684F">
            <w:pPr>
              <w:widowControl/>
              <w:spacing w:after="0" w:line="276" w:lineRule="auto"/>
              <w:ind w:left="652" w:hanging="368"/>
            </w:pPr>
          </w:p>
        </w:tc>
      </w:tr>
      <w:tr w:rsidR="0014684F" w14:paraId="5D36B510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13467" w:type="dxa"/>
          </w:tcPr>
          <w:p w14:paraId="0CA167C5" w14:textId="026D1F0C" w:rsidR="0014684F" w:rsidRPr="003A5123" w:rsidRDefault="0014684F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The teaching program corresponds with the scope and sequence for the stage of learning </w:t>
            </w:r>
          </w:p>
        </w:tc>
        <w:tc>
          <w:tcPr>
            <w:tcW w:w="921" w:type="dxa"/>
          </w:tcPr>
          <w:p w14:paraId="271695F5" w14:textId="77777777" w:rsidR="0014684F" w:rsidRPr="00F5467A" w:rsidRDefault="0014684F" w:rsidP="0014684F">
            <w:pPr>
              <w:widowControl/>
              <w:spacing w:after="0" w:line="276" w:lineRule="auto"/>
              <w:ind w:left="652" w:hanging="368"/>
            </w:pPr>
          </w:p>
        </w:tc>
        <w:tc>
          <w:tcPr>
            <w:tcW w:w="921" w:type="dxa"/>
          </w:tcPr>
          <w:p w14:paraId="2883A3FC" w14:textId="77777777" w:rsidR="0014684F" w:rsidRPr="00F5467A" w:rsidRDefault="0014684F" w:rsidP="0014684F">
            <w:pPr>
              <w:widowControl/>
              <w:spacing w:after="0" w:line="276" w:lineRule="auto"/>
              <w:ind w:left="652" w:hanging="368"/>
            </w:pPr>
          </w:p>
        </w:tc>
      </w:tr>
      <w:tr w:rsidR="0014684F" w14:paraId="7CCBE047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13467" w:type="dxa"/>
          </w:tcPr>
          <w:p w14:paraId="16CD21B3" w14:textId="3A715F35" w:rsidR="0014684F" w:rsidRPr="003A5123" w:rsidRDefault="0014684F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Relevant and purposeful formative and summative assessment, related to key concepts and skills</w:t>
            </w:r>
            <w:r w:rsidR="00731725">
              <w:rPr>
                <w:sz w:val="24"/>
              </w:rPr>
              <w:t xml:space="preserve"> are</w:t>
            </w:r>
            <w:r w:rsidRPr="003A5123">
              <w:rPr>
                <w:sz w:val="24"/>
              </w:rPr>
              <w:t xml:space="preserve"> planned and integrated appropriately across the year</w:t>
            </w:r>
          </w:p>
        </w:tc>
        <w:tc>
          <w:tcPr>
            <w:tcW w:w="921" w:type="dxa"/>
          </w:tcPr>
          <w:p w14:paraId="56927F4E" w14:textId="77777777" w:rsidR="0014684F" w:rsidRPr="00F5467A" w:rsidRDefault="0014684F" w:rsidP="0014684F">
            <w:pPr>
              <w:widowControl/>
              <w:spacing w:after="0" w:line="276" w:lineRule="auto"/>
              <w:ind w:left="652" w:hanging="368"/>
            </w:pPr>
          </w:p>
        </w:tc>
        <w:tc>
          <w:tcPr>
            <w:tcW w:w="921" w:type="dxa"/>
          </w:tcPr>
          <w:p w14:paraId="4D2AC4C7" w14:textId="77777777" w:rsidR="0014684F" w:rsidRPr="00F5467A" w:rsidRDefault="0014684F" w:rsidP="0014684F">
            <w:pPr>
              <w:widowControl/>
              <w:spacing w:after="0" w:line="276" w:lineRule="auto"/>
              <w:ind w:left="652" w:hanging="368"/>
            </w:pPr>
          </w:p>
        </w:tc>
      </w:tr>
      <w:tr w:rsidR="00FC4076" w14:paraId="2D3A6899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tcW w:w="13467" w:type="dxa"/>
          </w:tcPr>
          <w:p w14:paraId="640AA527" w14:textId="16E0C56D" w:rsidR="00FC4076" w:rsidRPr="003A5123" w:rsidRDefault="00FC4076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There are opportunities for timely, effective and appropriate feedback about student achievement relative to their learning </w:t>
            </w:r>
          </w:p>
        </w:tc>
        <w:tc>
          <w:tcPr>
            <w:tcW w:w="921" w:type="dxa"/>
          </w:tcPr>
          <w:p w14:paraId="076EBC43" w14:textId="77777777" w:rsidR="00FC4076" w:rsidRPr="00F5467A" w:rsidRDefault="00FC4076" w:rsidP="0014684F">
            <w:pPr>
              <w:ind w:left="652" w:hanging="368"/>
            </w:pPr>
          </w:p>
        </w:tc>
        <w:tc>
          <w:tcPr>
            <w:tcW w:w="921" w:type="dxa"/>
          </w:tcPr>
          <w:p w14:paraId="3E3909D1" w14:textId="77777777" w:rsidR="00FC4076" w:rsidRPr="00F5467A" w:rsidRDefault="00FC4076" w:rsidP="0014684F">
            <w:pPr>
              <w:ind w:left="652" w:hanging="368"/>
            </w:pPr>
          </w:p>
        </w:tc>
      </w:tr>
      <w:tr w:rsidR="00731725" w14:paraId="5C75A731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tcW w:w="13467" w:type="dxa"/>
          </w:tcPr>
          <w:p w14:paraId="346809C4" w14:textId="61728AC5" w:rsidR="00731725" w:rsidRPr="003A5123" w:rsidRDefault="00731725" w:rsidP="00731725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 xml:space="preserve">The teaching program </w:t>
            </w:r>
            <w:r w:rsidRPr="00FE5697">
              <w:rPr>
                <w:sz w:val="24"/>
              </w:rPr>
              <w:t>reflect</w:t>
            </w:r>
            <w:r>
              <w:rPr>
                <w:sz w:val="24"/>
              </w:rPr>
              <w:t>s</w:t>
            </w:r>
            <w:r w:rsidRPr="00FE5697">
              <w:rPr>
                <w:sz w:val="24"/>
              </w:rPr>
              <w:t xml:space="preserve"> the holistic nature of health and wellbeing – physical, mental, emotional, social and spiritual health and wellbeing</w:t>
            </w:r>
          </w:p>
        </w:tc>
        <w:tc>
          <w:tcPr>
            <w:tcW w:w="921" w:type="dxa"/>
          </w:tcPr>
          <w:p w14:paraId="164B755A" w14:textId="77777777" w:rsidR="00731725" w:rsidRPr="00F5467A" w:rsidRDefault="00731725" w:rsidP="0014684F">
            <w:pPr>
              <w:ind w:left="652" w:hanging="368"/>
            </w:pPr>
          </w:p>
        </w:tc>
        <w:tc>
          <w:tcPr>
            <w:tcW w:w="921" w:type="dxa"/>
          </w:tcPr>
          <w:p w14:paraId="67E1CCAB" w14:textId="77777777" w:rsidR="00731725" w:rsidRPr="00F5467A" w:rsidRDefault="00731725" w:rsidP="0014684F">
            <w:pPr>
              <w:ind w:left="652" w:hanging="368"/>
            </w:pPr>
          </w:p>
        </w:tc>
      </w:tr>
      <w:tr w:rsidR="0014684F" w14:paraId="0F0647E3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3F6CA53B" w14:textId="2855DD85" w:rsidR="0014684F" w:rsidRPr="003A5123" w:rsidRDefault="0014684F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Learning experiences recognise and reflect the needs, interests and broad continuum of student experiences to connect to life outside of school and in the future</w:t>
            </w:r>
          </w:p>
        </w:tc>
        <w:tc>
          <w:tcPr>
            <w:tcW w:w="921" w:type="dxa"/>
          </w:tcPr>
          <w:p w14:paraId="460BA917" w14:textId="77777777" w:rsidR="0014684F" w:rsidRDefault="0014684F" w:rsidP="0014684F">
            <w:pPr>
              <w:widowControl/>
              <w:spacing w:after="0" w:line="276" w:lineRule="auto"/>
              <w:ind w:left="652" w:hanging="368"/>
              <w:rPr>
                <w:lang w:eastAsia="zh-CN"/>
              </w:rPr>
            </w:pPr>
          </w:p>
        </w:tc>
        <w:tc>
          <w:tcPr>
            <w:tcW w:w="921" w:type="dxa"/>
          </w:tcPr>
          <w:p w14:paraId="4862BD55" w14:textId="77777777" w:rsidR="0014684F" w:rsidRDefault="0014684F" w:rsidP="0014684F">
            <w:pPr>
              <w:widowControl/>
              <w:spacing w:after="0" w:line="276" w:lineRule="auto"/>
              <w:ind w:left="652" w:hanging="368"/>
              <w:rPr>
                <w:lang w:eastAsia="zh-CN"/>
              </w:rPr>
            </w:pPr>
          </w:p>
        </w:tc>
      </w:tr>
      <w:tr w:rsidR="0014684F" w14:paraId="4D92CEE1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7F00996A" w14:textId="6FFAD12E" w:rsidR="0014684F" w:rsidRPr="003A5123" w:rsidRDefault="0014684F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Students have input into the learning experiences they undertake, including assessment</w:t>
            </w:r>
          </w:p>
        </w:tc>
        <w:tc>
          <w:tcPr>
            <w:tcW w:w="921" w:type="dxa"/>
          </w:tcPr>
          <w:p w14:paraId="550A826D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  <w:tc>
          <w:tcPr>
            <w:tcW w:w="921" w:type="dxa"/>
          </w:tcPr>
          <w:p w14:paraId="0F3A6073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</w:tr>
      <w:tr w:rsidR="0014684F" w14:paraId="060E74EC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141762EF" w14:textId="70DD489C" w:rsidR="0014684F" w:rsidRPr="003A5123" w:rsidRDefault="0014684F" w:rsidP="00320759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There are meaningful opportunities to address and develop skills related to learning across the curriculum content. This includes cross-curriculum priorities, general capabilities and areas identified in NESA syllabuses as important learning for all students</w:t>
            </w:r>
            <w:r w:rsidR="00320759">
              <w:rPr>
                <w:sz w:val="24"/>
              </w:rPr>
              <w:t xml:space="preserve"> (listed in the syllabus on page 9)</w:t>
            </w:r>
          </w:p>
        </w:tc>
        <w:tc>
          <w:tcPr>
            <w:tcW w:w="921" w:type="dxa"/>
          </w:tcPr>
          <w:p w14:paraId="603B3274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  <w:tc>
          <w:tcPr>
            <w:tcW w:w="921" w:type="dxa"/>
          </w:tcPr>
          <w:p w14:paraId="5A0B7EDB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</w:tr>
      <w:tr w:rsidR="0014684F" w14:paraId="09067751" w14:textId="77777777" w:rsidTr="0009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73A841A5" w14:textId="1676B9DE" w:rsidR="0014684F" w:rsidRPr="003A5123" w:rsidRDefault="0014684F" w:rsidP="003A5123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>Learning experiences incorporate interactive learning approaches to develop understanding, reflect on values, attitudes and behaviours and practise skills</w:t>
            </w:r>
          </w:p>
        </w:tc>
        <w:tc>
          <w:tcPr>
            <w:tcW w:w="921" w:type="dxa"/>
          </w:tcPr>
          <w:p w14:paraId="18EB54D3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  <w:tc>
          <w:tcPr>
            <w:tcW w:w="921" w:type="dxa"/>
          </w:tcPr>
          <w:p w14:paraId="1721DC20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</w:tr>
      <w:tr w:rsidR="0014684F" w14:paraId="2C525612" w14:textId="77777777" w:rsidTr="00095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3467" w:type="dxa"/>
          </w:tcPr>
          <w:p w14:paraId="581C2109" w14:textId="2DCC502F" w:rsidR="0014684F" w:rsidRPr="003A5123" w:rsidRDefault="0014684F" w:rsidP="00E50399">
            <w:pPr>
              <w:pStyle w:val="Tabletext"/>
              <w:rPr>
                <w:sz w:val="24"/>
              </w:rPr>
            </w:pPr>
            <w:r w:rsidRPr="003A5123">
              <w:rPr>
                <w:sz w:val="24"/>
              </w:rPr>
              <w:t xml:space="preserve">Knowledge, understanding and skills are integrated </w:t>
            </w:r>
            <w:r w:rsidR="00E50399">
              <w:rPr>
                <w:sz w:val="24"/>
              </w:rPr>
              <w:t xml:space="preserve">across </w:t>
            </w:r>
            <w:r w:rsidRPr="003A5123">
              <w:rPr>
                <w:sz w:val="24"/>
              </w:rPr>
              <w:t>syllabus strands</w:t>
            </w:r>
            <w:r w:rsidR="00E50399">
              <w:rPr>
                <w:sz w:val="24"/>
              </w:rPr>
              <w:t xml:space="preserve"> where appropriate </w:t>
            </w:r>
            <w:r w:rsidR="00E50399" w:rsidRPr="003A5123">
              <w:rPr>
                <w:sz w:val="24"/>
              </w:rPr>
              <w:t>in</w:t>
            </w:r>
            <w:r w:rsidRPr="003A5123">
              <w:rPr>
                <w:sz w:val="24"/>
              </w:rPr>
              <w:t xml:space="preserve"> a meaningful manner </w:t>
            </w:r>
          </w:p>
        </w:tc>
        <w:tc>
          <w:tcPr>
            <w:tcW w:w="921" w:type="dxa"/>
          </w:tcPr>
          <w:p w14:paraId="4A2C4277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  <w:tc>
          <w:tcPr>
            <w:tcW w:w="921" w:type="dxa"/>
          </w:tcPr>
          <w:p w14:paraId="1EFEB429" w14:textId="77777777" w:rsidR="0014684F" w:rsidRDefault="0014684F" w:rsidP="0014684F">
            <w:pPr>
              <w:ind w:left="652" w:hanging="368"/>
              <w:rPr>
                <w:lang w:eastAsia="zh-CN"/>
              </w:rPr>
            </w:pPr>
          </w:p>
        </w:tc>
      </w:tr>
    </w:tbl>
    <w:p w14:paraId="6DBCCDD3" w14:textId="77777777" w:rsidR="0014684F" w:rsidRPr="0014684F" w:rsidRDefault="0014684F" w:rsidP="00730772"/>
    <w:sectPr w:rsidR="0014684F" w:rsidRPr="0014684F" w:rsidSect="0014684F">
      <w:footerReference w:type="even" r:id="rId10"/>
      <w:footerReference w:type="default" r:id="rId11"/>
      <w:pgSz w:w="16840" w:h="11900" w:orient="landscape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0AE4C" w14:textId="77777777" w:rsidR="00AD070D" w:rsidRDefault="00AD070D" w:rsidP="00191F45">
      <w:r>
        <w:separator/>
      </w:r>
    </w:p>
    <w:p w14:paraId="401B6F8D" w14:textId="77777777" w:rsidR="00AD070D" w:rsidRDefault="00AD070D"/>
    <w:p w14:paraId="77935B2C" w14:textId="77777777" w:rsidR="00AD070D" w:rsidRDefault="00AD070D"/>
    <w:p w14:paraId="6B1D96DA" w14:textId="77777777" w:rsidR="00AD070D" w:rsidRDefault="00AD070D"/>
  </w:endnote>
  <w:endnote w:type="continuationSeparator" w:id="0">
    <w:p w14:paraId="1967F558" w14:textId="77777777" w:rsidR="00AD070D" w:rsidRDefault="00AD070D" w:rsidP="00191F45">
      <w:r>
        <w:continuationSeparator/>
      </w:r>
    </w:p>
    <w:p w14:paraId="443BFD19" w14:textId="77777777" w:rsidR="00AD070D" w:rsidRDefault="00AD070D"/>
    <w:p w14:paraId="4C69708A" w14:textId="77777777" w:rsidR="00AD070D" w:rsidRDefault="00AD070D"/>
    <w:p w14:paraId="040F2A6A" w14:textId="77777777" w:rsidR="00AD070D" w:rsidRDefault="00AD0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27A4" w14:textId="0B2BD0CF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03FD2">
      <w:rPr>
        <w:noProof/>
      </w:rPr>
      <w:t>2</w:t>
    </w:r>
    <w:r w:rsidRPr="002810D3">
      <w:fldChar w:fldCharType="end"/>
    </w:r>
    <w:r w:rsidRPr="002810D3">
      <w:tab/>
    </w:r>
    <w:r w:rsidR="003A5123">
      <w:t>PDHPE K-6 program evaluation tool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CD00" w14:textId="119D3247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403FD2">
      <w:rPr>
        <w:noProof/>
      </w:rPr>
      <w:t>Oct-20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403FD2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9A6A" w14:textId="77777777" w:rsidR="00AD070D" w:rsidRDefault="00AD070D" w:rsidP="00191F45">
      <w:r>
        <w:separator/>
      </w:r>
    </w:p>
    <w:p w14:paraId="2C5A8C55" w14:textId="77777777" w:rsidR="00AD070D" w:rsidRDefault="00AD070D"/>
    <w:p w14:paraId="28C658B8" w14:textId="77777777" w:rsidR="00AD070D" w:rsidRDefault="00AD070D"/>
    <w:p w14:paraId="5C465B64" w14:textId="77777777" w:rsidR="00AD070D" w:rsidRDefault="00AD070D"/>
  </w:footnote>
  <w:footnote w:type="continuationSeparator" w:id="0">
    <w:p w14:paraId="60E482D5" w14:textId="77777777" w:rsidR="00AD070D" w:rsidRDefault="00AD070D" w:rsidP="00191F45">
      <w:r>
        <w:continuationSeparator/>
      </w:r>
    </w:p>
    <w:p w14:paraId="397C11E0" w14:textId="77777777" w:rsidR="00AD070D" w:rsidRDefault="00AD070D"/>
    <w:p w14:paraId="67C698D0" w14:textId="77777777" w:rsidR="00AD070D" w:rsidRDefault="00AD070D"/>
    <w:p w14:paraId="48E1469E" w14:textId="77777777" w:rsidR="00AD070D" w:rsidRDefault="00AD07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4F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46AD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545E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1B4A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84F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B54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759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87A10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123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C7B8E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3FD2"/>
    <w:rsid w:val="00405801"/>
    <w:rsid w:val="00407474"/>
    <w:rsid w:val="00407ED4"/>
    <w:rsid w:val="004128F0"/>
    <w:rsid w:val="004130E3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A22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1937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404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6E5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2BF2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C7E78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853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260F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772"/>
    <w:rsid w:val="00731725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09F7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02A1"/>
    <w:rsid w:val="007A1326"/>
    <w:rsid w:val="007A3356"/>
    <w:rsid w:val="007A36F3"/>
    <w:rsid w:val="007A55A8"/>
    <w:rsid w:val="007A5EB6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D42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875E0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56B03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6328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070D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3B79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8A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4D08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0A6F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2E0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40D6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399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16CA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0D7D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0B37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076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697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DDB39C5"/>
  <w14:defaultImageDpi w14:val="330"/>
  <w15:chartTrackingRefBased/>
  <w15:docId w15:val="{6CF35A88-0FE4-40DB-8F9B-11977E05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Tabletext">
    <w:name w:val="ŠTable text"/>
    <w:basedOn w:val="Normal"/>
    <w:uiPriority w:val="23"/>
    <w:qFormat/>
    <w:rsid w:val="001468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A6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6F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2E4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4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54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4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B54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sw.gov.au/teaching-and-learning/curriculum/key-learning-areas/pdhpe/policy-and-programming-require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standards.nsw.edu.au/wps/portal/nesa/k-10/understanding-the-curriculum/k-6-curriculum-requirem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ucationstandards.nsw.edu.au/wps/portal/nesa/k-10/learning-areas/pdhpe/pdhpe-k-10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K-6 PDHPE program evaluation tool</vt:lpstr>
    </vt:vector>
  </TitlesOfParts>
  <Manager/>
  <Company/>
  <LinksUpToDate>false</LinksUpToDate>
  <CharactersWithSpaces>3532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evaluation tool PDHPE K-6</dc:title>
  <dc:subject/>
  <dc:creator>NSW DoE</dc:creator>
  <cp:keywords/>
  <dc:description/>
  <cp:lastModifiedBy>Jill Andrew</cp:lastModifiedBy>
  <cp:revision>2</cp:revision>
  <dcterms:created xsi:type="dcterms:W3CDTF">2020-10-14T21:59:00Z</dcterms:created>
  <dcterms:modified xsi:type="dcterms:W3CDTF">2020-10-14T21:59:00Z</dcterms:modified>
  <cp:category/>
</cp:coreProperties>
</file>