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0A44" w14:textId="4015BD47" w:rsidR="003034F5" w:rsidRDefault="00FB09F7" w:rsidP="00573BD3">
      <w:pPr>
        <w:pStyle w:val="Heading1"/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 xml:space="preserve">SC </w:t>
      </w:r>
      <w:r w:rsidR="00C63440">
        <w:rPr>
          <w:rStyle w:val="TitleChar"/>
        </w:rPr>
        <w:t>H</w:t>
      </w:r>
      <w:r w:rsidR="003034F5" w:rsidRPr="00FB09F7">
        <w:rPr>
          <w:rStyle w:val="TitleChar"/>
        </w:rPr>
        <w:t xml:space="preserve">ub – </w:t>
      </w:r>
      <w:r w:rsidR="00C63440">
        <w:rPr>
          <w:rStyle w:val="TitleChar"/>
        </w:rPr>
        <w:t>Society and Culture</w:t>
      </w:r>
      <w:r w:rsidR="003034F5">
        <w:t xml:space="preserve"> </w:t>
      </w: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3A954036" w:rsidR="003034F5" w:rsidRPr="003034F5" w:rsidRDefault="003034F5" w:rsidP="00573BD3">
      <w:pPr>
        <w:pStyle w:val="FeatureBox2"/>
      </w:pPr>
      <w:r>
        <w:t xml:space="preserve">This resource contains supplementary information to support the </w:t>
      </w:r>
      <w:r w:rsidR="00C63440">
        <w:t>Society and Culture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573BD3">
      <w:pPr>
        <w:pStyle w:val="Heading2"/>
      </w:pPr>
      <w:r>
        <w:t>Key slide content</w:t>
      </w:r>
    </w:p>
    <w:p w14:paraId="2768D4BA" w14:textId="00244DA9" w:rsidR="003034F5" w:rsidRDefault="003034F5" w:rsidP="00573BD3">
      <w:pPr>
        <w:pStyle w:val="Heading3"/>
      </w:pPr>
      <w:r>
        <w:t>Before the exam day</w:t>
      </w:r>
    </w:p>
    <w:p w14:paraId="5C8480EB" w14:textId="3F2F3DE1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C63440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573BD3">
      <w:pPr>
        <w:pStyle w:val="Heading3"/>
      </w:pPr>
      <w:r>
        <w:t>Materials</w:t>
      </w:r>
    </w:p>
    <w:p w14:paraId="6A937EC8" w14:textId="7CFEAB18" w:rsidR="003034F5" w:rsidRPr="003034F5" w:rsidRDefault="003034F5" w:rsidP="00573BD3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573BD3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573BD3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573BD3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573BD3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573BD3">
      <w:pPr>
        <w:pStyle w:val="ListBullet"/>
      </w:pPr>
      <w:r w:rsidRPr="003034F5">
        <w:t>Sharpener</w:t>
      </w:r>
    </w:p>
    <w:p w14:paraId="73E587C8" w14:textId="77777777" w:rsidR="003034F5" w:rsidRPr="003034F5" w:rsidRDefault="003034F5" w:rsidP="00573BD3">
      <w:pPr>
        <w:pStyle w:val="ListBullet"/>
      </w:pPr>
      <w:r w:rsidRPr="003034F5">
        <w:t>Bottle of water in a clear bottle</w:t>
      </w:r>
    </w:p>
    <w:p w14:paraId="479705BB" w14:textId="495B3D96" w:rsidR="003034F5" w:rsidRDefault="003034F5" w:rsidP="00573BD3">
      <w:r w:rsidRPr="003034F5">
        <w:t xml:space="preserve">There are no additional materials allowed for the </w:t>
      </w:r>
      <w:r w:rsidR="00C63440">
        <w:t>Society and Culture</w:t>
      </w:r>
      <w:r w:rsidRPr="003034F5">
        <w:t xml:space="preserve"> exam</w:t>
      </w:r>
    </w:p>
    <w:p w14:paraId="4145F538" w14:textId="43224543" w:rsidR="003034F5" w:rsidRDefault="003034F5" w:rsidP="00573BD3">
      <w:pPr>
        <w:pStyle w:val="Heading3"/>
      </w:pPr>
      <w:r>
        <w:lastRenderedPageBreak/>
        <w:t>Exam layout</w:t>
      </w:r>
    </w:p>
    <w:p w14:paraId="0D62877E" w14:textId="1B8A62A1" w:rsidR="00C63440" w:rsidRPr="00C63440" w:rsidRDefault="00C63440" w:rsidP="00573BD3">
      <w:r w:rsidRPr="00C63440">
        <w:t xml:space="preserve">In Society and Culture, the exam has </w:t>
      </w:r>
      <w:r w:rsidR="00424053">
        <w:rPr>
          <w:rStyle w:val="Strong"/>
        </w:rPr>
        <w:t>two</w:t>
      </w:r>
      <w:r w:rsidRPr="00C63440">
        <w:t xml:space="preserve"> sections:</w:t>
      </w:r>
    </w:p>
    <w:p w14:paraId="17F49649" w14:textId="77777777" w:rsidR="00C63440" w:rsidRPr="00C63440" w:rsidRDefault="00C63440" w:rsidP="00573BD3">
      <w:pPr>
        <w:pStyle w:val="ListBullet"/>
      </w:pPr>
      <w:r w:rsidRPr="00C63440">
        <w:t>Section I: Social and Cultural Continuity and change (20 marks)</w:t>
      </w:r>
    </w:p>
    <w:p w14:paraId="1D363A20" w14:textId="77777777" w:rsidR="00C63440" w:rsidRPr="00C63440" w:rsidRDefault="00C63440" w:rsidP="00573BD3">
      <w:pPr>
        <w:pStyle w:val="ListBullet"/>
      </w:pPr>
      <w:r w:rsidRPr="00C63440">
        <w:t>Section II: Depth Studies (40 marks)</w:t>
      </w:r>
    </w:p>
    <w:p w14:paraId="44609BAA" w14:textId="77777777" w:rsidR="00C63440" w:rsidRPr="00C63440" w:rsidRDefault="00C63440" w:rsidP="00573BD3">
      <w:r w:rsidRPr="00C63440">
        <w:t>You will have 5 mins reading time and then 2 hours of writing time</w:t>
      </w:r>
    </w:p>
    <w:p w14:paraId="3EEE4E0C" w14:textId="4DB11A06" w:rsidR="003034F5" w:rsidRPr="003034F5" w:rsidRDefault="003034F5" w:rsidP="00573BD3">
      <w:pPr>
        <w:pStyle w:val="Heading3"/>
      </w:pPr>
      <w:r>
        <w:t xml:space="preserve">Section </w:t>
      </w:r>
      <w:r w:rsidR="00E028F8">
        <w:t>I</w:t>
      </w:r>
      <w:r>
        <w:t xml:space="preserve">: </w:t>
      </w:r>
      <w:r w:rsidRPr="003034F5">
        <w:t xml:space="preserve">Core study – </w:t>
      </w:r>
      <w:r w:rsidR="001F47A0">
        <w:t>Social and Cultural Continuity Change</w:t>
      </w:r>
      <w:r w:rsidRPr="003034F5">
        <w:t xml:space="preserve"> (2</w:t>
      </w:r>
      <w:r w:rsidR="001F47A0">
        <w:t>0</w:t>
      </w:r>
      <w:r w:rsidRPr="003034F5">
        <w:t xml:space="preserve"> marks)</w:t>
      </w:r>
    </w:p>
    <w:p w14:paraId="5A57AF2B" w14:textId="77777777" w:rsidR="001F47A0" w:rsidRPr="001F47A0" w:rsidRDefault="001F47A0" w:rsidP="00573BD3">
      <w:pPr>
        <w:pStyle w:val="ListBullet"/>
      </w:pPr>
      <w:r w:rsidRPr="001F47A0">
        <w:t>What type of questions will you be asked?</w:t>
      </w:r>
    </w:p>
    <w:p w14:paraId="70E7E4E7" w14:textId="77777777" w:rsidR="001F47A0" w:rsidRPr="001F47A0" w:rsidRDefault="001F47A0" w:rsidP="00573BD3">
      <w:pPr>
        <w:pStyle w:val="ListBullet2"/>
      </w:pPr>
      <w:r w:rsidRPr="001F47A0">
        <w:t>8 multiple choice questions (8 marks)</w:t>
      </w:r>
    </w:p>
    <w:p w14:paraId="0B455B6C" w14:textId="62A2A0CF" w:rsidR="001F47A0" w:rsidRDefault="001F47A0" w:rsidP="00573BD3">
      <w:pPr>
        <w:pStyle w:val="ListBullet2"/>
      </w:pPr>
      <w:r w:rsidRPr="001F47A0">
        <w:t>Short answers (12 marks)</w:t>
      </w:r>
    </w:p>
    <w:p w14:paraId="59B61FEE" w14:textId="77777777" w:rsidR="001F47A0" w:rsidRPr="001F47A0" w:rsidRDefault="001F47A0" w:rsidP="00573BD3">
      <w:pPr>
        <w:pStyle w:val="ListBullet"/>
      </w:pPr>
      <w:r w:rsidRPr="001F47A0">
        <w:t>Skills / knowledge tested</w:t>
      </w:r>
    </w:p>
    <w:p w14:paraId="3AF3E51F" w14:textId="77777777" w:rsidR="001F47A0" w:rsidRPr="001F47A0" w:rsidRDefault="001F47A0" w:rsidP="00573BD3">
      <w:pPr>
        <w:pStyle w:val="ListBullet2"/>
      </w:pPr>
      <w:r w:rsidRPr="001F47A0">
        <w:t>Integrated concepts</w:t>
      </w:r>
    </w:p>
    <w:p w14:paraId="39A9B32C" w14:textId="77777777" w:rsidR="001F47A0" w:rsidRPr="001F47A0" w:rsidRDefault="001F47A0" w:rsidP="00573BD3">
      <w:pPr>
        <w:pStyle w:val="ListBullet2"/>
      </w:pPr>
      <w:r w:rsidRPr="001F47A0">
        <w:t>Framework: Research methods</w:t>
      </w:r>
    </w:p>
    <w:p w14:paraId="3E4B81D1" w14:textId="77777777" w:rsidR="001F47A0" w:rsidRPr="001F47A0" w:rsidRDefault="001F47A0" w:rsidP="00573BD3">
      <w:pPr>
        <w:pStyle w:val="ListBullet2"/>
      </w:pPr>
      <w:r w:rsidRPr="001F47A0">
        <w:t>Framework: Ethical research</w:t>
      </w:r>
    </w:p>
    <w:p w14:paraId="71BFF8CD" w14:textId="77777777" w:rsidR="001F47A0" w:rsidRPr="001F47A0" w:rsidRDefault="001F47A0" w:rsidP="00573BD3">
      <w:pPr>
        <w:pStyle w:val="ListBullet2"/>
      </w:pPr>
      <w:r w:rsidRPr="001F47A0">
        <w:t>Social and cultural literacy</w:t>
      </w:r>
    </w:p>
    <w:p w14:paraId="6CB8D46B" w14:textId="77777777" w:rsidR="001F47A0" w:rsidRPr="001F47A0" w:rsidRDefault="001F47A0" w:rsidP="00573BD3">
      <w:pPr>
        <w:pStyle w:val="ListBullet2"/>
      </w:pPr>
      <w:r w:rsidRPr="001F47A0">
        <w:t xml:space="preserve">The nature of social and cultural research methods </w:t>
      </w:r>
    </w:p>
    <w:p w14:paraId="09BA0822" w14:textId="77777777" w:rsidR="001F47A0" w:rsidRPr="001F47A0" w:rsidRDefault="001F47A0" w:rsidP="00573BD3">
      <w:pPr>
        <w:pStyle w:val="ListBullet2"/>
      </w:pPr>
      <w:r w:rsidRPr="001F47A0">
        <w:t>The nature of social and cultural continuity and change</w:t>
      </w:r>
    </w:p>
    <w:p w14:paraId="14000D5A" w14:textId="40D6AC2F" w:rsidR="001F47A0" w:rsidRPr="001F47A0" w:rsidRDefault="001F47A0" w:rsidP="00573BD3">
      <w:pPr>
        <w:pStyle w:val="ListBullet2"/>
      </w:pPr>
      <w:r w:rsidRPr="001F47A0">
        <w:t>Focus Study: social and cultural continuity and change in a selected country</w:t>
      </w:r>
    </w:p>
    <w:p w14:paraId="1863BE7A" w14:textId="098E9206" w:rsidR="003034F5" w:rsidRDefault="003034F5" w:rsidP="00573BD3">
      <w:pPr>
        <w:pStyle w:val="Heading3"/>
      </w:pPr>
      <w:r>
        <w:t xml:space="preserve">Let’s look at an example – </w:t>
      </w:r>
      <w:r w:rsidR="00E028F8">
        <w:t>S</w:t>
      </w:r>
      <w:r>
        <w:t xml:space="preserve">ection </w:t>
      </w:r>
      <w:r w:rsidR="00E028F8">
        <w:t>I</w:t>
      </w:r>
    </w:p>
    <w:p w14:paraId="63BE66A1" w14:textId="014C061F" w:rsidR="001F47A0" w:rsidRPr="001F47A0" w:rsidRDefault="001F47A0" w:rsidP="00573BD3">
      <w:pPr>
        <w:rPr>
          <w:rStyle w:val="Strong"/>
        </w:rPr>
      </w:pPr>
      <w:r w:rsidRPr="001F47A0">
        <w:rPr>
          <w:rStyle w:val="Strong"/>
          <w:lang w:eastAsia="zh-CN"/>
        </w:rPr>
        <w:t>Short answer: 2019 HSC – Question 10 (8 marks)</w:t>
      </w:r>
    </w:p>
    <w:p w14:paraId="5AA27126" w14:textId="24DBB771" w:rsidR="001F47A0" w:rsidRDefault="001F47A0" w:rsidP="00573BD3">
      <w:r w:rsidRPr="001F47A0">
        <w:t>Discuss the role of tradition in the rate and direction of change in ONE country.</w:t>
      </w:r>
    </w:p>
    <w:p w14:paraId="1C192E76" w14:textId="6635E40F" w:rsidR="001F47A0" w:rsidRDefault="001F47A0" w:rsidP="00573BD3">
      <w:pPr>
        <w:rPr>
          <w:lang w:eastAsia="zh-CN"/>
        </w:rPr>
      </w:pPr>
      <w:r>
        <w:rPr>
          <w:lang w:eastAsia="zh-CN"/>
        </w:rPr>
        <w:t>(</w:t>
      </w:r>
      <w:r w:rsidRPr="001F47A0">
        <w:rPr>
          <w:lang w:eastAsia="zh-CN"/>
        </w:rPr>
        <w:t>Knowledge tested – Focus study: social and cultural continuity and change in a selected country</w:t>
      </w:r>
      <w:r>
        <w:rPr>
          <w:lang w:eastAsia="zh-CN"/>
        </w:rPr>
        <w:t>)</w:t>
      </w:r>
    </w:p>
    <w:p w14:paraId="3C7B1394" w14:textId="5CAE0B5F" w:rsidR="001F47A0" w:rsidRDefault="001F47A0" w:rsidP="00573BD3">
      <w:pPr>
        <w:pStyle w:val="Heading3"/>
      </w:pPr>
      <w:r>
        <w:t>Another example</w:t>
      </w:r>
    </w:p>
    <w:p w14:paraId="720EA29F" w14:textId="77777777" w:rsidR="001F47A0" w:rsidRPr="001F47A0" w:rsidRDefault="001F47A0" w:rsidP="00573BD3">
      <w:pPr>
        <w:rPr>
          <w:lang w:eastAsia="zh-CN"/>
        </w:rPr>
      </w:pPr>
      <w:r w:rsidRPr="00573BD3">
        <w:rPr>
          <w:rStyle w:val="Strong"/>
        </w:rPr>
        <w:t>Short answer: 2018 HSC – Question 9 (4 marks</w:t>
      </w:r>
      <w:r w:rsidRPr="001F47A0">
        <w:rPr>
          <w:lang w:eastAsia="zh-CN"/>
        </w:rPr>
        <w:t>)</w:t>
      </w:r>
    </w:p>
    <w:p w14:paraId="2893488E" w14:textId="2B6815CE" w:rsidR="001F47A0" w:rsidRPr="001F47A0" w:rsidRDefault="001F47A0" w:rsidP="00573BD3">
      <w:r w:rsidRPr="001F47A0">
        <w:t xml:space="preserve">A school principal has proposed increasing the number of hours of school sport for each student. </w:t>
      </w:r>
    </w:p>
    <w:p w14:paraId="52AE4063" w14:textId="2E088F6C" w:rsidR="001F47A0" w:rsidRPr="001F47A0" w:rsidRDefault="001F47A0" w:rsidP="00573BD3">
      <w:r w:rsidRPr="001F47A0">
        <w:t xml:space="preserve">Justify the use of </w:t>
      </w:r>
      <w:r w:rsidR="00424053">
        <w:rPr>
          <w:rStyle w:val="Strong"/>
        </w:rPr>
        <w:t>one</w:t>
      </w:r>
      <w:r w:rsidRPr="001F47A0">
        <w:t xml:space="preserve"> research method to investigate parents’ views about the proposal. </w:t>
      </w:r>
    </w:p>
    <w:p w14:paraId="1BF71F3E" w14:textId="0BDD52B1" w:rsidR="001F47A0" w:rsidRPr="001F47A0" w:rsidRDefault="001F47A0" w:rsidP="00573BD3">
      <w:r>
        <w:lastRenderedPageBreak/>
        <w:t>(</w:t>
      </w:r>
      <w:r w:rsidRPr="001F47A0">
        <w:t>Knowledge tested – Social and cultural continuity and change: research</w:t>
      </w:r>
      <w:r>
        <w:t>)</w:t>
      </w:r>
    </w:p>
    <w:p w14:paraId="63684C68" w14:textId="2D325319" w:rsidR="003034F5" w:rsidRDefault="00FB09F7" w:rsidP="00573BD3">
      <w:pPr>
        <w:pStyle w:val="Heading3"/>
      </w:pPr>
      <w:r>
        <w:t xml:space="preserve">Section II: </w:t>
      </w:r>
      <w:r w:rsidR="001F47A0">
        <w:t>Depth</w:t>
      </w:r>
      <w:r>
        <w:t xml:space="preserve"> s</w:t>
      </w:r>
      <w:r w:rsidR="00E028F8">
        <w:t>tudies (</w:t>
      </w:r>
      <w:r w:rsidR="001F47A0">
        <w:t>40</w:t>
      </w:r>
      <w:r w:rsidR="00E028F8">
        <w:t xml:space="preserve"> marks)</w:t>
      </w:r>
    </w:p>
    <w:p w14:paraId="15D8B833" w14:textId="77777777" w:rsidR="001F47A0" w:rsidRPr="001F47A0" w:rsidRDefault="001F47A0" w:rsidP="00573BD3">
      <w:pPr>
        <w:pStyle w:val="ListBullet"/>
      </w:pPr>
      <w:r w:rsidRPr="001F47A0">
        <w:t>What does it look like?</w:t>
      </w:r>
    </w:p>
    <w:p w14:paraId="361F2A89" w14:textId="5C44E274" w:rsidR="001F47A0" w:rsidRPr="001F47A0" w:rsidRDefault="001F47A0" w:rsidP="00573BD3">
      <w:pPr>
        <w:pStyle w:val="ListBullet2"/>
      </w:pPr>
      <w:r w:rsidRPr="001F47A0">
        <w:t xml:space="preserve">Complete </w:t>
      </w:r>
      <w:r w:rsidR="00424053">
        <w:rPr>
          <w:rStyle w:val="Strong"/>
        </w:rPr>
        <w:t xml:space="preserve">two </w:t>
      </w:r>
      <w:r w:rsidRPr="001F47A0">
        <w:t>questions</w:t>
      </w:r>
    </w:p>
    <w:p w14:paraId="64AF9179" w14:textId="77777777" w:rsidR="001F47A0" w:rsidRPr="001F47A0" w:rsidRDefault="001F47A0" w:rsidP="00573BD3">
      <w:pPr>
        <w:pStyle w:val="ListBullet2"/>
      </w:pPr>
      <w:r w:rsidRPr="001F47A0">
        <w:t>Each question contains a Part (a) and Part (b)</w:t>
      </w:r>
    </w:p>
    <w:p w14:paraId="3E6CC8A4" w14:textId="77777777" w:rsidR="001F47A0" w:rsidRPr="001F47A0" w:rsidRDefault="001F47A0" w:rsidP="00573BD3">
      <w:pPr>
        <w:pStyle w:val="ListBullet"/>
      </w:pPr>
      <w:r w:rsidRPr="001F47A0">
        <w:t>Marks allocated</w:t>
      </w:r>
    </w:p>
    <w:p w14:paraId="6E5A14D1" w14:textId="77777777" w:rsidR="001F47A0" w:rsidRPr="001F47A0" w:rsidRDefault="001F47A0" w:rsidP="00573BD3">
      <w:pPr>
        <w:pStyle w:val="ListBullet2"/>
      </w:pPr>
      <w:r w:rsidRPr="001F47A0">
        <w:t>20 marks per question</w:t>
      </w:r>
    </w:p>
    <w:p w14:paraId="10DD7C95" w14:textId="77777777" w:rsidR="001F47A0" w:rsidRPr="001F47A0" w:rsidRDefault="001F47A0" w:rsidP="00573BD3">
      <w:pPr>
        <w:pStyle w:val="ListBullet2"/>
      </w:pPr>
      <w:r w:rsidRPr="001F47A0">
        <w:t>Part (a) 5 marks</w:t>
      </w:r>
    </w:p>
    <w:p w14:paraId="1C010DEA" w14:textId="77777777" w:rsidR="001F47A0" w:rsidRPr="001F47A0" w:rsidRDefault="001F47A0" w:rsidP="00573BD3">
      <w:pPr>
        <w:pStyle w:val="ListBullet2"/>
      </w:pPr>
      <w:r w:rsidRPr="001F47A0">
        <w:t>Part (b) 15 marks</w:t>
      </w:r>
    </w:p>
    <w:p w14:paraId="6F7F7CCE" w14:textId="020F4B67" w:rsidR="001F47A0" w:rsidRDefault="001F47A0" w:rsidP="00573BD3">
      <w:pPr>
        <w:pStyle w:val="ListBullet2"/>
      </w:pPr>
      <w:r w:rsidRPr="001F47A0">
        <w:t>Total of 40 marks</w:t>
      </w:r>
    </w:p>
    <w:p w14:paraId="085886AB" w14:textId="77777777" w:rsidR="001F47A0" w:rsidRPr="001F47A0" w:rsidRDefault="001F47A0" w:rsidP="00573BD3">
      <w:pPr>
        <w:pStyle w:val="ListBullet"/>
      </w:pPr>
      <w:r w:rsidRPr="001F47A0">
        <w:t>Knowledge tested</w:t>
      </w:r>
    </w:p>
    <w:p w14:paraId="47331348" w14:textId="611F35E1" w:rsidR="001F47A0" w:rsidRPr="001F47A0" w:rsidRDefault="00424053" w:rsidP="00573BD3">
      <w:pPr>
        <w:pStyle w:val="ListBullet2"/>
      </w:pPr>
      <w:r>
        <w:rPr>
          <w:rStyle w:val="Strong"/>
        </w:rPr>
        <w:t>Two</w:t>
      </w:r>
      <w:r w:rsidR="001F47A0" w:rsidRPr="001F47A0">
        <w:t xml:space="preserve"> Depth studies (Popular Culture, Belief Systems and Ideologies, Social Inclusion and Exclusion, Social Conformity and Nonconformity)</w:t>
      </w:r>
    </w:p>
    <w:p w14:paraId="0D777DBD" w14:textId="77777777" w:rsidR="001F47A0" w:rsidRPr="001F47A0" w:rsidRDefault="001F47A0" w:rsidP="00573BD3">
      <w:pPr>
        <w:pStyle w:val="ListBullet"/>
      </w:pPr>
      <w:r w:rsidRPr="001F47A0">
        <w:t>What does a good one look like?</w:t>
      </w:r>
    </w:p>
    <w:p w14:paraId="1FCC4E1D" w14:textId="39B04C1F" w:rsidR="001F47A0" w:rsidRPr="001F47A0" w:rsidRDefault="001F47A0" w:rsidP="00573BD3">
      <w:pPr>
        <w:pStyle w:val="ListBullet2"/>
      </w:pPr>
      <w:r w:rsidRPr="001F47A0">
        <w:t xml:space="preserve">The expected length of response for each Depth Study will be around six pages (approximately 800 words). </w:t>
      </w:r>
    </w:p>
    <w:p w14:paraId="0E3622E8" w14:textId="4960DA76" w:rsidR="00E028F8" w:rsidRDefault="00E028F8" w:rsidP="00573BD3">
      <w:pPr>
        <w:pStyle w:val="Heading3"/>
      </w:pPr>
      <w:r>
        <w:t>Let’s look at an example – Section II</w:t>
      </w:r>
    </w:p>
    <w:p w14:paraId="76887271" w14:textId="34D126B8" w:rsidR="00573BD3" w:rsidRDefault="00573BD3" w:rsidP="00573BD3">
      <w:pPr>
        <w:rPr>
          <w:rStyle w:val="Strong"/>
        </w:rPr>
      </w:pPr>
      <w:r w:rsidRPr="00573BD3">
        <w:rPr>
          <w:rStyle w:val="Strong"/>
        </w:rPr>
        <w:t>Section 2: 2019 HSC – Question 11 (20 marks)</w:t>
      </w:r>
    </w:p>
    <w:p w14:paraId="2F785838" w14:textId="19553543" w:rsidR="00573BD3" w:rsidRPr="00573BD3" w:rsidRDefault="00573BD3" w:rsidP="00573BD3">
      <w:pPr>
        <w:pStyle w:val="ListNumber2"/>
        <w:tabs>
          <w:tab w:val="clear" w:pos="1134"/>
          <w:tab w:val="left" w:pos="567"/>
        </w:tabs>
        <w:ind w:left="142"/>
      </w:pPr>
      <w:r w:rsidRPr="00573BD3">
        <w:t>Account for groups rejecting the ideology of</w:t>
      </w:r>
      <w:r w:rsidR="00424053">
        <w:t xml:space="preserve"> </w:t>
      </w:r>
      <w:r w:rsidR="00424053">
        <w:rPr>
          <w:rStyle w:val="Strong"/>
        </w:rPr>
        <w:t>one</w:t>
      </w:r>
      <w:r w:rsidRPr="00573BD3">
        <w:t xml:space="preserve"> popular culture (5 marks) </w:t>
      </w:r>
    </w:p>
    <w:p w14:paraId="5E608729" w14:textId="62C2AD00" w:rsidR="00573BD3" w:rsidRPr="00573BD3" w:rsidRDefault="00573BD3" w:rsidP="00573BD3">
      <w:pPr>
        <w:pStyle w:val="ListNumber2"/>
        <w:tabs>
          <w:tab w:val="clear" w:pos="1134"/>
          <w:tab w:val="left" w:pos="567"/>
        </w:tabs>
        <w:ind w:left="142"/>
      </w:pPr>
      <w:r w:rsidRPr="00573BD3">
        <w:t xml:space="preserve">Explain how stakeholders can affect the future directions for </w:t>
      </w:r>
      <w:r w:rsidR="00424053">
        <w:rPr>
          <w:rStyle w:val="Strong"/>
        </w:rPr>
        <w:t>one</w:t>
      </w:r>
      <w:r w:rsidRPr="00573BD3">
        <w:t xml:space="preserve"> popular</w:t>
      </w:r>
      <w:r>
        <w:t xml:space="preserve"> </w:t>
      </w:r>
      <w:r w:rsidRPr="00573BD3">
        <w:t>culture</w:t>
      </w:r>
      <w:r>
        <w:t xml:space="preserve"> </w:t>
      </w:r>
      <w:r w:rsidRPr="00573BD3">
        <w:t>(15 marks)</w:t>
      </w:r>
    </w:p>
    <w:p w14:paraId="382E1546" w14:textId="77777777" w:rsidR="00573BD3" w:rsidRPr="00573BD3" w:rsidRDefault="00573BD3" w:rsidP="00573BD3">
      <w:pPr>
        <w:pStyle w:val="ListBullet"/>
      </w:pPr>
      <w:r w:rsidRPr="00573BD3">
        <w:t>Knowledge tested in Part (a) – Focus study and integrated concept</w:t>
      </w:r>
    </w:p>
    <w:p w14:paraId="0501C6EC" w14:textId="2EA7B0A9" w:rsidR="00573BD3" w:rsidRPr="00573BD3" w:rsidRDefault="00573BD3" w:rsidP="00573BD3">
      <w:pPr>
        <w:pStyle w:val="ListBullet"/>
      </w:pPr>
      <w:r w:rsidRPr="00573BD3">
        <w:t>Knowledge tested in Part (b) – Focus study and the near future (5 to 10 years)</w:t>
      </w:r>
    </w:p>
    <w:p w14:paraId="6297DF54" w14:textId="2DE8C43D" w:rsidR="00087233" w:rsidRDefault="00087233" w:rsidP="00573BD3">
      <w:pPr>
        <w:pStyle w:val="Heading3"/>
        <w:numPr>
          <w:ilvl w:val="0"/>
          <w:numId w:val="0"/>
        </w:numPr>
      </w:pPr>
      <w:r>
        <w:t>Ask your teacher</w:t>
      </w:r>
    </w:p>
    <w:p w14:paraId="18B7FEEA" w14:textId="3F7DE0EE" w:rsidR="00087233" w:rsidRPr="00087233" w:rsidRDefault="00087233" w:rsidP="00573BD3">
      <w:pPr>
        <w:pStyle w:val="ListBullet"/>
      </w:pPr>
      <w:r w:rsidRPr="00087233">
        <w:t xml:space="preserve">For other resources for </w:t>
      </w:r>
      <w:r w:rsidR="00573BD3">
        <w:t>Society and Culture</w:t>
      </w:r>
    </w:p>
    <w:p w14:paraId="42B9DB07" w14:textId="77777777" w:rsidR="00573BD3" w:rsidRPr="00573BD3" w:rsidRDefault="00573BD3" w:rsidP="00573BD3">
      <w:pPr>
        <w:pStyle w:val="ListBullet"/>
      </w:pPr>
      <w:r w:rsidRPr="00573BD3">
        <w:t>How to access past papers and marking guidelines from the NESA website</w:t>
      </w:r>
    </w:p>
    <w:p w14:paraId="6F146A97" w14:textId="77777777" w:rsidR="00573BD3" w:rsidRPr="00573BD3" w:rsidRDefault="00573BD3" w:rsidP="00573BD3">
      <w:pPr>
        <w:pStyle w:val="ListBullet"/>
      </w:pPr>
      <w:r w:rsidRPr="00573BD3">
        <w:t>Any further assistance / tutorials you may need – they are the expert that you have access to at school</w:t>
      </w:r>
    </w:p>
    <w:p w14:paraId="7D4A14E5" w14:textId="77777777" w:rsidR="00573BD3" w:rsidRPr="00573BD3" w:rsidRDefault="00573BD3" w:rsidP="00573BD3">
      <w:pPr>
        <w:pStyle w:val="ListBullet"/>
      </w:pPr>
      <w:r w:rsidRPr="00573BD3">
        <w:t>2016 HSC Society and Culture Exam Work book helps practise for the HSC using authentic exam material collected by the NSW Education Standards Authority from the 2016 HSC</w:t>
      </w:r>
    </w:p>
    <w:p w14:paraId="1E1080B7" w14:textId="77777777" w:rsidR="00573BD3" w:rsidRPr="00573BD3" w:rsidRDefault="00573BD3" w:rsidP="00573BD3">
      <w:pPr>
        <w:pStyle w:val="ListBullet"/>
      </w:pPr>
      <w:r w:rsidRPr="00573BD3">
        <w:t>Check out the online HSC hub which will connect you to study guides, video lessons and practice exams, including tips from expert teachers and HSC markers</w:t>
      </w:r>
    </w:p>
    <w:p w14:paraId="74C3148A" w14:textId="72AEB8B0" w:rsidR="00087233" w:rsidRDefault="00087233" w:rsidP="00573BD3">
      <w:pPr>
        <w:pStyle w:val="Heading2"/>
      </w:pPr>
      <w:r>
        <w:lastRenderedPageBreak/>
        <w:t>Additional links</w:t>
      </w:r>
    </w:p>
    <w:p w14:paraId="33F029C1" w14:textId="6065AA7D" w:rsidR="00087233" w:rsidRDefault="00B0744E" w:rsidP="00573BD3">
      <w:pPr>
        <w:pStyle w:val="ListBullet"/>
        <w:rPr>
          <w:lang w:eastAsia="zh-CN"/>
        </w:rPr>
      </w:pPr>
      <w:hyperlink r:id="rId11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374A6FC0" w14:textId="695C8437" w:rsidR="00087233" w:rsidRPr="00573BD3" w:rsidRDefault="00573BD3" w:rsidP="00573BD3">
      <w:pPr>
        <w:pStyle w:val="ListBullet"/>
        <w:rPr>
          <w:rStyle w:val="Hyperlink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"https://educationstandards.nsw.edu.au/wps/portal/nesa/11-12/stage-6-learning-areas/hsie/society-culture"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Society and Culture</w:t>
      </w:r>
      <w:r w:rsidR="00A95D20" w:rsidRPr="00573BD3">
        <w:rPr>
          <w:rStyle w:val="Hyperlink"/>
          <w:lang w:eastAsia="zh-CN"/>
        </w:rPr>
        <w:t xml:space="preserve"> Stage 6 Syllabus (201</w:t>
      </w:r>
      <w:r>
        <w:rPr>
          <w:rStyle w:val="Hyperlink"/>
          <w:lang w:eastAsia="zh-CN"/>
        </w:rPr>
        <w:t>3</w:t>
      </w:r>
      <w:r w:rsidR="00A95D20" w:rsidRPr="00573BD3">
        <w:rPr>
          <w:rStyle w:val="Hyperlink"/>
          <w:lang w:eastAsia="zh-CN"/>
        </w:rPr>
        <w:t>)</w:t>
      </w:r>
    </w:p>
    <w:p w14:paraId="5596ACB3" w14:textId="706F686A" w:rsidR="02401A84" w:rsidRDefault="00573BD3" w:rsidP="00573BD3">
      <w:pPr>
        <w:pStyle w:val="ListBullet"/>
      </w:pPr>
      <w:r>
        <w:rPr>
          <w:lang w:eastAsia="zh-CN"/>
        </w:rPr>
        <w:fldChar w:fldCharType="end"/>
      </w:r>
      <w:hyperlink r:id="rId12" w:history="1">
        <w:r w:rsidRPr="00573BD3">
          <w:rPr>
            <w:rStyle w:val="Hyperlink"/>
          </w:rPr>
          <w:t>NESA Multiple Choice Quiz tool</w:t>
        </w:r>
      </w:hyperlink>
    </w:p>
    <w:p w14:paraId="45B77DE2" w14:textId="7CE29020" w:rsidR="00A95D20" w:rsidRDefault="00B0744E" w:rsidP="00573BD3">
      <w:pPr>
        <w:pStyle w:val="ListBullet"/>
      </w:pPr>
      <w:hyperlink r:id="rId13" w:history="1">
        <w:hyperlink r:id="rId14" w:history="1">
          <w:hyperlink r:id="rId15" w:history="1">
            <w:r w:rsidR="00A95D20" w:rsidRPr="000737CC">
              <w:rPr>
                <w:rStyle w:val="Hyperlink"/>
              </w:rPr>
              <w:t xml:space="preserve">NESA </w:t>
            </w:r>
            <w:r w:rsidR="000737CC" w:rsidRPr="000737CC">
              <w:rPr>
                <w:rStyle w:val="Hyperlink"/>
              </w:rPr>
              <w:t>Society</w:t>
            </w:r>
          </w:hyperlink>
          <w:r w:rsidR="000737CC" w:rsidRPr="000737CC">
            <w:rPr>
              <w:rStyle w:val="Hyperlink"/>
            </w:rPr>
            <w:t xml:space="preserve"> and Culture standards materials</w:t>
          </w:r>
        </w:hyperlink>
      </w:hyperlink>
    </w:p>
    <w:p w14:paraId="5F4AD42D" w14:textId="77777777" w:rsidR="00A95D20" w:rsidRDefault="00A95D20" w:rsidP="00573BD3"/>
    <w:sectPr w:rsidR="00A95D20" w:rsidSect="001A7A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6B319" w14:textId="77777777" w:rsidR="00D97C18" w:rsidRDefault="00D97C18" w:rsidP="00573BD3">
      <w:r>
        <w:separator/>
      </w:r>
    </w:p>
    <w:p w14:paraId="38A18745" w14:textId="77777777" w:rsidR="00D97C18" w:rsidRDefault="00D97C18" w:rsidP="00573BD3"/>
  </w:endnote>
  <w:endnote w:type="continuationSeparator" w:id="0">
    <w:p w14:paraId="54624324" w14:textId="77777777" w:rsidR="00D97C18" w:rsidRDefault="00D97C18" w:rsidP="00573BD3">
      <w:r>
        <w:continuationSeparator/>
      </w:r>
    </w:p>
    <w:p w14:paraId="58B6A880" w14:textId="77777777" w:rsidR="00D97C18" w:rsidRDefault="00D97C18" w:rsidP="005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5BF65391" w:rsidR="007A3356" w:rsidRPr="004D333E" w:rsidRDefault="004D333E" w:rsidP="00573B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0744E">
      <w:rPr>
        <w:noProof/>
      </w:rPr>
      <w:t>2</w:t>
    </w:r>
    <w:r w:rsidRPr="002810D3">
      <w:fldChar w:fldCharType="end"/>
    </w:r>
    <w:r w:rsidRPr="002810D3">
      <w:tab/>
    </w:r>
    <w:r w:rsidR="00A72994">
      <w:t>HSC H</w:t>
    </w:r>
    <w:r w:rsidR="008E2D50" w:rsidRPr="008E2D50">
      <w:t xml:space="preserve">ub – </w:t>
    </w:r>
    <w:r w:rsidR="00573BD3">
      <w:t>Society and Culture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1B5399B0" w:rsidR="007A3356" w:rsidRPr="004D333E" w:rsidRDefault="004D333E" w:rsidP="00573B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B64CE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0744E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00493120" w:rsidP="00573BD3">
    <w:pPr>
      <w:pStyle w:val="Logo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1F959" w14:textId="77777777" w:rsidR="00D97C18" w:rsidRDefault="00D97C18" w:rsidP="00573BD3">
      <w:r>
        <w:separator/>
      </w:r>
    </w:p>
    <w:p w14:paraId="4777D13B" w14:textId="77777777" w:rsidR="00D97C18" w:rsidRDefault="00D97C18" w:rsidP="00573BD3"/>
  </w:footnote>
  <w:footnote w:type="continuationSeparator" w:id="0">
    <w:p w14:paraId="2948D001" w14:textId="77777777" w:rsidR="00D97C18" w:rsidRDefault="00D97C18" w:rsidP="00573BD3">
      <w:r>
        <w:continuationSeparator/>
      </w:r>
    </w:p>
    <w:p w14:paraId="69607693" w14:textId="77777777" w:rsidR="00D97C18" w:rsidRDefault="00D97C18" w:rsidP="005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A193" w14:textId="77777777" w:rsidR="00B0744E" w:rsidRDefault="00B0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7C30" w14:textId="77777777" w:rsidR="00B0744E" w:rsidRDefault="00B07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 w:rsidP="00573B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2F28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A246145"/>
    <w:multiLevelType w:val="hybridMultilevel"/>
    <w:tmpl w:val="BE5C441A"/>
    <w:lvl w:ilvl="0" w:tplc="2A5A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8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A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6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6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467B2845"/>
    <w:multiLevelType w:val="hybridMultilevel"/>
    <w:tmpl w:val="42F8A4FA"/>
    <w:lvl w:ilvl="0" w:tplc="954A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2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13"/>
  </w:num>
  <w:num w:numId="9">
    <w:abstractNumId w:val="22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1"/>
  </w:num>
  <w:num w:numId="32">
    <w:abstractNumId w:val="28"/>
  </w:num>
  <w:num w:numId="33">
    <w:abstractNumId w:val="23"/>
  </w:num>
  <w:num w:numId="34">
    <w:abstractNumId w:val="26"/>
  </w:num>
  <w:num w:numId="35">
    <w:abstractNumId w:val="25"/>
  </w:num>
  <w:num w:numId="36">
    <w:abstractNumId w:val="12"/>
  </w:num>
  <w:num w:numId="37">
    <w:abstractNumId w:val="16"/>
  </w:num>
  <w:num w:numId="38">
    <w:abstractNumId w:val="11"/>
  </w:num>
  <w:num w:numId="39">
    <w:abstractNumId w:val="17"/>
  </w:num>
  <w:num w:numId="40">
    <w:abstractNumId w:val="29"/>
  </w:num>
  <w:num w:numId="41">
    <w:abstractNumId w:val="14"/>
  </w:num>
  <w:num w:numId="42">
    <w:abstractNumId w:val="19"/>
  </w:num>
  <w:num w:numId="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26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7CC"/>
    <w:rsid w:val="00075B4E"/>
    <w:rsid w:val="00077A7C"/>
    <w:rsid w:val="00082E53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7A0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4053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7F8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BD3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09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541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44E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4CE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40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97C18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209ABD2E"/>
    <w:rsid w:val="6791E1D5"/>
    <w:rsid w:val="6C6992EB"/>
    <w:rsid w:val="6D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3BD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6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0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7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0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2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c2.nesa.nsw.edu.au/view/default/course/153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quiz.nesa.nsw.edu.au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resources/hsc-exam-pap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tionstandards.nsw.edu.au/wps/wcm/connect/38e4c7c5-97be-4ea0-83af-efaf013d395a/sample-questions-new-hsc-modern-history-exam-2019.pdf?MOD=AJPERES&amp;CVID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standards.nsw.edu.au/wps/portal/nesa/11-12/stage-6-learning-areas/hsie/society-culture/pbd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206208-8C11-4BFC-8064-38A472E5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3267E-6FEE-4609-A795-A7A3AE769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1FFB7-9075-4F99-B03C-3EE7993AC4CC}">
  <ds:schemaRefs>
    <ds:schemaRef ds:uri="33c16299-9e76-4446-b84b-eefe81b91f72"/>
    <ds:schemaRef ds:uri="02777ac0-bca4-49b9-b304-d2b7eff515d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F492A7-98C2-43F7-B5E7-F39F9B58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history supplementary resource</dc:title>
  <dc:subject/>
  <dc:creator>Vas Ratusau</dc:creator>
  <cp:keywords>Stage 6</cp:keywords>
  <dc:description/>
  <cp:lastModifiedBy>Vas Ratusau</cp:lastModifiedBy>
  <cp:revision>2</cp:revision>
  <dcterms:created xsi:type="dcterms:W3CDTF">2020-08-05T06:21:00Z</dcterms:created>
  <dcterms:modified xsi:type="dcterms:W3CDTF">2020-08-05T06:21:00Z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