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CC84" w14:textId="594BED82" w:rsidR="00086656" w:rsidRDefault="002D2FC8" w:rsidP="00086656">
      <w:pPr>
        <w:pStyle w:val="Title"/>
      </w:pPr>
      <w:r>
        <w:t xml:space="preserve">Revision – </w:t>
      </w:r>
      <w:r w:rsidR="00DD7149">
        <w:t>M</w:t>
      </w:r>
      <w:r w:rsidR="003355CE">
        <w:t>odern history</w:t>
      </w:r>
    </w:p>
    <w:p w14:paraId="660A6751" w14:textId="4F43ACB1" w:rsidR="00587F9F" w:rsidRPr="00E1234A" w:rsidRDefault="00587F9F" w:rsidP="00587F9F">
      <w:pPr>
        <w:pStyle w:val="FeatureBox2"/>
      </w:pPr>
      <w:bookmarkStart w:id="0" w:name="_Toc73012294"/>
      <w:r w:rsidRPr="00E1234A">
        <w:rPr>
          <w:rStyle w:val="Strong"/>
        </w:rPr>
        <w:t>Teacher note</w:t>
      </w:r>
      <w:r w:rsidR="006C1D71">
        <w:t xml:space="preserve"> –</w:t>
      </w:r>
      <w:r>
        <w:t xml:space="preserve"> students can complete these activities in class or as remote learning activities. Students should be instructed to only complete the activities for those topics that have already been covered in class.</w:t>
      </w:r>
    </w:p>
    <w:p w14:paraId="79D23873" w14:textId="77777777" w:rsidR="00A061F0" w:rsidRDefault="00A061F0" w:rsidP="00A061F0">
      <w:pPr>
        <w:pStyle w:val="Heading1"/>
      </w:pPr>
      <w:r>
        <w:t>Aim</w:t>
      </w:r>
      <w:bookmarkEnd w:id="0"/>
    </w:p>
    <w:p w14:paraId="271991C1" w14:textId="53CDF84B" w:rsidR="003355CE" w:rsidRDefault="003355CE" w:rsidP="003355CE">
      <w:r>
        <w:t xml:space="preserve">The study of </w:t>
      </w:r>
      <w:r w:rsidR="0077663C">
        <w:t>m</w:t>
      </w:r>
      <w:r>
        <w:t xml:space="preserve">odern </w:t>
      </w:r>
      <w:r w:rsidR="0077663C">
        <w:t>h</w:t>
      </w:r>
      <w:r>
        <w:t>istory in Stage 6 enables students to:</w:t>
      </w:r>
    </w:p>
    <w:p w14:paraId="45FE508E" w14:textId="77777777" w:rsidR="00955BF5" w:rsidRDefault="003355CE" w:rsidP="00955BF5">
      <w:pPr>
        <w:pStyle w:val="ListBullet"/>
      </w:pPr>
      <w:r w:rsidRPr="00955BF5">
        <w:t>develop knowledge and understanding of the modern world, the skills of critical analysis, and values and attitudes essential for an appreciation of the people, forces and ideas that have shaped the modern world</w:t>
      </w:r>
    </w:p>
    <w:p w14:paraId="6C8865A8" w14:textId="1F1A10AC" w:rsidR="003355CE" w:rsidRPr="00955BF5" w:rsidRDefault="003355CE" w:rsidP="00955BF5">
      <w:pPr>
        <w:pStyle w:val="ListBullet"/>
      </w:pPr>
      <w:r w:rsidRPr="00955BF5">
        <w:t>develop a lifelong interest in the study of history</w:t>
      </w:r>
    </w:p>
    <w:p w14:paraId="10CC9136" w14:textId="6BD5A366" w:rsidR="005B2C5D" w:rsidRPr="00955BF5" w:rsidRDefault="003355CE" w:rsidP="00955BF5">
      <w:pPr>
        <w:pStyle w:val="ListBullet"/>
      </w:pPr>
      <w:r w:rsidRPr="00955BF5">
        <w:t>prepare for active and informed citizenship in the contemporary world.</w:t>
      </w:r>
    </w:p>
    <w:p w14:paraId="12EB7ACB" w14:textId="66864A64" w:rsidR="00A061F0" w:rsidRDefault="005B2C5D" w:rsidP="00A061F0">
      <w:pPr>
        <w:pStyle w:val="Heading2"/>
        <w:numPr>
          <w:ilvl w:val="1"/>
          <w:numId w:val="2"/>
        </w:numPr>
        <w:ind w:left="0"/>
      </w:pPr>
      <w:bookmarkStart w:id="1" w:name="_Toc59021994"/>
      <w:bookmarkStart w:id="2" w:name="_Toc73012295"/>
      <w:r>
        <w:t>Objectives</w:t>
      </w:r>
      <w:bookmarkEnd w:id="1"/>
      <w:bookmarkEnd w:id="2"/>
    </w:p>
    <w:p w14:paraId="6ED27DBB" w14:textId="365A0136" w:rsidR="005B2C5D" w:rsidRPr="0005540C" w:rsidRDefault="005B2C5D" w:rsidP="008B4726">
      <w:bookmarkStart w:id="3" w:name="_Toc59021995"/>
      <w:r w:rsidRPr="0005540C">
        <w:t xml:space="preserve">Through the study of </w:t>
      </w:r>
      <w:r w:rsidR="003355CE">
        <w:t>modern history</w:t>
      </w:r>
      <w:r w:rsidRPr="0005540C">
        <w:t>, students will develop:</w:t>
      </w:r>
    </w:p>
    <w:p w14:paraId="1C2E73C9" w14:textId="77777777" w:rsidR="005B2C5D" w:rsidRPr="0005540C" w:rsidRDefault="005B2C5D" w:rsidP="008B4726">
      <w:pPr>
        <w:pStyle w:val="ListBullet"/>
      </w:pPr>
      <w:r w:rsidRPr="0005540C">
        <w:t>knowledge and understanding about:</w:t>
      </w:r>
    </w:p>
    <w:p w14:paraId="3D8B7332" w14:textId="77777777" w:rsidR="003355CE" w:rsidRDefault="003355CE" w:rsidP="008B4726">
      <w:pPr>
        <w:pStyle w:val="ListBullet2"/>
      </w:pPr>
      <w:r w:rsidRPr="003355CE">
        <w:t>of a range of features, people, ideas, movements, events and developments of the modern world in their historical context</w:t>
      </w:r>
    </w:p>
    <w:p w14:paraId="581378B1" w14:textId="77777777" w:rsidR="003355CE" w:rsidRDefault="003355CE" w:rsidP="008B4726">
      <w:pPr>
        <w:pStyle w:val="ListBullet2"/>
      </w:pPr>
      <w:r w:rsidRPr="003355CE">
        <w:t>continuity and change over time.</w:t>
      </w:r>
    </w:p>
    <w:p w14:paraId="5F441F25" w14:textId="77777777" w:rsidR="005B2C5D" w:rsidRPr="0005540C" w:rsidRDefault="005B2C5D" w:rsidP="008B4726">
      <w:pPr>
        <w:pStyle w:val="ListBullet"/>
      </w:pPr>
      <w:r w:rsidRPr="0005540C">
        <w:t>skills to:</w:t>
      </w:r>
    </w:p>
    <w:p w14:paraId="536BB9AA" w14:textId="08846C71" w:rsidR="005B2C5D" w:rsidRPr="0005540C" w:rsidRDefault="003355CE" w:rsidP="008B4726">
      <w:pPr>
        <w:pStyle w:val="ListBullet2"/>
      </w:pPr>
      <w:r w:rsidRPr="003355CE">
        <w:t>undertake the process of historical inquiry</w:t>
      </w:r>
    </w:p>
    <w:p w14:paraId="04914A98" w14:textId="77777777" w:rsidR="003355CE" w:rsidRPr="003355CE" w:rsidRDefault="003355CE" w:rsidP="003355CE">
      <w:pPr>
        <w:pStyle w:val="ListBullet2"/>
        <w:rPr>
          <w:rFonts w:eastAsiaTheme="minorHAnsi" w:cstheme="minorBidi"/>
        </w:rPr>
      </w:pPr>
      <w:r w:rsidRPr="003355CE">
        <w:t>use historical concepts and skills to examine the modern past</w:t>
      </w:r>
    </w:p>
    <w:p w14:paraId="2C41D57B" w14:textId="6BD279A3" w:rsidR="003355CE" w:rsidRPr="003355CE" w:rsidRDefault="003355CE" w:rsidP="003355CE">
      <w:pPr>
        <w:pStyle w:val="ListBullet2"/>
        <w:rPr>
          <w:rFonts w:eastAsiaTheme="minorHAnsi" w:cstheme="minorBidi"/>
        </w:rPr>
      </w:pPr>
      <w:r w:rsidRPr="003355CE">
        <w:t>communicate their understanding of history, sources and evidence, and historical interpretations.</w:t>
      </w:r>
    </w:p>
    <w:p w14:paraId="3620CC0A" w14:textId="6931882B" w:rsidR="005B2C5D" w:rsidRPr="0005540C" w:rsidRDefault="005B2C5D" w:rsidP="008B4726">
      <w:pPr>
        <w:pStyle w:val="ListBullet"/>
      </w:pPr>
      <w:r w:rsidRPr="0005540C">
        <w:t>informed and responsible values and attitudes towards:</w:t>
      </w:r>
    </w:p>
    <w:p w14:paraId="05029B5E" w14:textId="77777777" w:rsidR="003355CE" w:rsidRDefault="003355CE" w:rsidP="008B4726">
      <w:pPr>
        <w:pStyle w:val="ListBullet2"/>
      </w:pPr>
      <w:r w:rsidRPr="003355CE">
        <w:t>appreciate the influence of the past on the present and the future</w:t>
      </w:r>
    </w:p>
    <w:p w14:paraId="5757E105" w14:textId="58C33ED8" w:rsidR="003355CE" w:rsidRDefault="003355CE" w:rsidP="008B4726">
      <w:pPr>
        <w:pStyle w:val="ListBullet2"/>
      </w:pPr>
      <w:r w:rsidRPr="003355CE">
        <w:t xml:space="preserve">the contribution of the study of </w:t>
      </w:r>
      <w:r>
        <w:t>m</w:t>
      </w:r>
      <w:r w:rsidRPr="003355CE">
        <w:t xml:space="preserve">odern </w:t>
      </w:r>
      <w:r>
        <w:t>h</w:t>
      </w:r>
      <w:r w:rsidRPr="003355CE">
        <w:t>istory to lifelong learning, and active and informed citizenship.</w:t>
      </w:r>
    </w:p>
    <w:p w14:paraId="46B6B362" w14:textId="77777777" w:rsidR="00A061F0" w:rsidRDefault="00A061F0" w:rsidP="00A061F0">
      <w:pPr>
        <w:pStyle w:val="Heading2"/>
        <w:numPr>
          <w:ilvl w:val="0"/>
          <w:numId w:val="0"/>
        </w:numPr>
      </w:pPr>
      <w:bookmarkStart w:id="4" w:name="_Toc59021996"/>
      <w:bookmarkStart w:id="5" w:name="_Toc73012297"/>
      <w:bookmarkEnd w:id="3"/>
      <w:r>
        <w:lastRenderedPageBreak/>
        <w:t>Outcomes</w:t>
      </w:r>
      <w:bookmarkEnd w:id="4"/>
      <w:bookmarkEnd w:id="5"/>
    </w:p>
    <w:p w14:paraId="6A0C8E0A" w14:textId="77777777" w:rsidR="00A061F0" w:rsidRPr="000146B8" w:rsidRDefault="00A061F0" w:rsidP="00A061F0">
      <w:r w:rsidRPr="008D6B90">
        <w:t>A student:</w:t>
      </w:r>
    </w:p>
    <w:p w14:paraId="7EB214DC" w14:textId="796F64D3" w:rsidR="00A061F0" w:rsidRDefault="00AB4257" w:rsidP="00A061F0">
      <w:pPr>
        <w:pStyle w:val="ListBullet"/>
        <w:numPr>
          <w:ilvl w:val="0"/>
          <w:numId w:val="1"/>
        </w:numPr>
      </w:pPr>
      <w:r>
        <w:rPr>
          <w:b/>
        </w:rPr>
        <w:t>M</w:t>
      </w:r>
      <w:r w:rsidR="00A061F0" w:rsidRPr="002A335A">
        <w:rPr>
          <w:b/>
        </w:rPr>
        <w:t>H1</w:t>
      </w:r>
      <w:r>
        <w:rPr>
          <w:b/>
        </w:rPr>
        <w:t>2-1</w:t>
      </w:r>
      <w:r w:rsidR="00A061F0">
        <w:t xml:space="preserve"> </w:t>
      </w:r>
      <w:r w:rsidRPr="00AB4257">
        <w:t>accounts for the nature of continuity and change in the modern world</w:t>
      </w:r>
    </w:p>
    <w:p w14:paraId="10D72619" w14:textId="3DBBB84C" w:rsidR="00A061F0" w:rsidRDefault="00AB4257" w:rsidP="00A061F0">
      <w:pPr>
        <w:pStyle w:val="ListBullet"/>
        <w:numPr>
          <w:ilvl w:val="0"/>
          <w:numId w:val="1"/>
        </w:numPr>
      </w:pPr>
      <w:r>
        <w:rPr>
          <w:b/>
        </w:rPr>
        <w:t>M</w:t>
      </w:r>
      <w:r w:rsidR="00A061F0" w:rsidRPr="002A335A">
        <w:rPr>
          <w:b/>
        </w:rPr>
        <w:t>H</w:t>
      </w:r>
      <w:r>
        <w:rPr>
          <w:b/>
        </w:rPr>
        <w:t>1</w:t>
      </w:r>
      <w:r w:rsidR="00A061F0" w:rsidRPr="002A335A">
        <w:rPr>
          <w:b/>
        </w:rPr>
        <w:t>2</w:t>
      </w:r>
      <w:r>
        <w:rPr>
          <w:b/>
        </w:rPr>
        <w:t>-2</w:t>
      </w:r>
      <w:r w:rsidR="00A061F0">
        <w:t xml:space="preserve"> </w:t>
      </w:r>
      <w:r w:rsidRPr="00AB4257">
        <w:t>proposes arguments about the varying causes and effects of events and developments</w:t>
      </w:r>
    </w:p>
    <w:p w14:paraId="28DD4F65" w14:textId="2F7AE23E" w:rsidR="00A061F0" w:rsidRDefault="00AB4257" w:rsidP="00A061F0">
      <w:pPr>
        <w:pStyle w:val="ListBullet"/>
        <w:numPr>
          <w:ilvl w:val="0"/>
          <w:numId w:val="1"/>
        </w:numPr>
      </w:pPr>
      <w:r>
        <w:rPr>
          <w:b/>
        </w:rPr>
        <w:t>M</w:t>
      </w:r>
      <w:r w:rsidR="00A061F0" w:rsidRPr="002A335A">
        <w:rPr>
          <w:b/>
        </w:rPr>
        <w:t>H</w:t>
      </w:r>
      <w:r>
        <w:rPr>
          <w:b/>
        </w:rPr>
        <w:t>12-</w:t>
      </w:r>
      <w:r w:rsidR="00A061F0" w:rsidRPr="002A335A">
        <w:rPr>
          <w:b/>
        </w:rPr>
        <w:t>3</w:t>
      </w:r>
      <w:r w:rsidR="00A061F0">
        <w:t xml:space="preserve"> </w:t>
      </w:r>
      <w:r w:rsidRPr="00AB4257">
        <w:t>evaluates the role of historical features, individuals, groups and ideas in shaping the past</w:t>
      </w:r>
    </w:p>
    <w:p w14:paraId="045CB682" w14:textId="33E3B184" w:rsidR="005B2C5D" w:rsidRDefault="00AB4257">
      <w:pPr>
        <w:pStyle w:val="ListBullet"/>
        <w:numPr>
          <w:ilvl w:val="0"/>
          <w:numId w:val="1"/>
        </w:numPr>
      </w:pPr>
      <w:r>
        <w:rPr>
          <w:b/>
        </w:rPr>
        <w:t>M</w:t>
      </w:r>
      <w:r w:rsidR="00A061F0" w:rsidRPr="005B2C5D">
        <w:rPr>
          <w:b/>
        </w:rPr>
        <w:t>H</w:t>
      </w:r>
      <w:r>
        <w:rPr>
          <w:b/>
        </w:rPr>
        <w:t>12-</w:t>
      </w:r>
      <w:r w:rsidR="00A061F0" w:rsidRPr="005B2C5D">
        <w:rPr>
          <w:b/>
        </w:rPr>
        <w:t>4</w:t>
      </w:r>
      <w:r w:rsidR="00A061F0">
        <w:t xml:space="preserve"> </w:t>
      </w:r>
      <w:r w:rsidRPr="00AB4257">
        <w:t>analyses the different perspectives of individuals and groups in their historical context</w:t>
      </w:r>
    </w:p>
    <w:p w14:paraId="69D70023" w14:textId="77777777" w:rsidR="00AB4257" w:rsidRDefault="00AB4257" w:rsidP="00370317">
      <w:pPr>
        <w:pStyle w:val="ListBullet"/>
        <w:numPr>
          <w:ilvl w:val="0"/>
          <w:numId w:val="1"/>
        </w:numPr>
      </w:pPr>
      <w:r w:rsidRPr="00AB4257">
        <w:rPr>
          <w:b/>
        </w:rPr>
        <w:t>M</w:t>
      </w:r>
      <w:r w:rsidR="00A061F0" w:rsidRPr="00AB4257">
        <w:rPr>
          <w:b/>
        </w:rPr>
        <w:t>H</w:t>
      </w:r>
      <w:r w:rsidRPr="00AB4257">
        <w:rPr>
          <w:b/>
        </w:rPr>
        <w:t>12-</w:t>
      </w:r>
      <w:r w:rsidR="00A061F0" w:rsidRPr="00AB4257">
        <w:rPr>
          <w:b/>
        </w:rPr>
        <w:t>5</w:t>
      </w:r>
      <w:r w:rsidR="00A061F0">
        <w:t xml:space="preserve"> </w:t>
      </w:r>
      <w:r w:rsidRPr="00AB4257">
        <w:t>assesses the significance of historical features, people, ideas, movements, events and developments of the modern world</w:t>
      </w:r>
    </w:p>
    <w:p w14:paraId="63B61F81" w14:textId="3BE3549E" w:rsidR="00A061F0" w:rsidRDefault="00AB4257" w:rsidP="00370317">
      <w:pPr>
        <w:pStyle w:val="ListBullet"/>
        <w:numPr>
          <w:ilvl w:val="0"/>
          <w:numId w:val="1"/>
        </w:numPr>
      </w:pPr>
      <w:r>
        <w:rPr>
          <w:b/>
        </w:rPr>
        <w:t>M</w:t>
      </w:r>
      <w:r w:rsidR="00A061F0" w:rsidRPr="00AB4257">
        <w:rPr>
          <w:b/>
        </w:rPr>
        <w:t>H</w:t>
      </w:r>
      <w:r>
        <w:rPr>
          <w:b/>
        </w:rPr>
        <w:t>12-</w:t>
      </w:r>
      <w:r w:rsidR="00A061F0" w:rsidRPr="00AB4257">
        <w:rPr>
          <w:b/>
        </w:rPr>
        <w:t>6</w:t>
      </w:r>
      <w:r w:rsidR="00A061F0">
        <w:t xml:space="preserve"> </w:t>
      </w:r>
      <w:r w:rsidRPr="00AB4257">
        <w:t>analyses and interprets different types of sources for evidence to support an historical account or argument</w:t>
      </w:r>
    </w:p>
    <w:p w14:paraId="5CE37CF1" w14:textId="19EDEBCF" w:rsidR="00A061F0" w:rsidRDefault="00AB4257" w:rsidP="00A061F0">
      <w:pPr>
        <w:pStyle w:val="ListBullet"/>
        <w:numPr>
          <w:ilvl w:val="0"/>
          <w:numId w:val="1"/>
        </w:numPr>
      </w:pPr>
      <w:r>
        <w:rPr>
          <w:b/>
        </w:rPr>
        <w:t>M</w:t>
      </w:r>
      <w:r w:rsidR="00A061F0" w:rsidRPr="002A335A">
        <w:rPr>
          <w:b/>
        </w:rPr>
        <w:t>H</w:t>
      </w:r>
      <w:r>
        <w:rPr>
          <w:b/>
        </w:rPr>
        <w:t>12-</w:t>
      </w:r>
      <w:r w:rsidR="00A061F0" w:rsidRPr="002A335A">
        <w:rPr>
          <w:b/>
        </w:rPr>
        <w:t>7</w:t>
      </w:r>
      <w:r w:rsidR="00A061F0">
        <w:t xml:space="preserve"> </w:t>
      </w:r>
      <w:r w:rsidRPr="00AB4257">
        <w:t>discusses and evaluates differing interpretations and representations of the past</w:t>
      </w:r>
    </w:p>
    <w:p w14:paraId="18515E7B" w14:textId="77777777" w:rsidR="00AB4257" w:rsidRDefault="00AB4257" w:rsidP="006A33D3">
      <w:pPr>
        <w:pStyle w:val="ListBullet"/>
        <w:numPr>
          <w:ilvl w:val="0"/>
          <w:numId w:val="1"/>
        </w:numPr>
      </w:pPr>
      <w:r w:rsidRPr="00AB4257">
        <w:rPr>
          <w:b/>
        </w:rPr>
        <w:t>M</w:t>
      </w:r>
      <w:r w:rsidR="00A061F0" w:rsidRPr="00AB4257">
        <w:rPr>
          <w:b/>
        </w:rPr>
        <w:t>H</w:t>
      </w:r>
      <w:r w:rsidRPr="00AB4257">
        <w:rPr>
          <w:b/>
        </w:rPr>
        <w:t>12-</w:t>
      </w:r>
      <w:r w:rsidR="00A061F0" w:rsidRPr="00AB4257">
        <w:rPr>
          <w:b/>
        </w:rPr>
        <w:t>8</w:t>
      </w:r>
      <w:r w:rsidR="00A061F0">
        <w:t xml:space="preserve"> </w:t>
      </w:r>
      <w:r w:rsidRPr="00AB4257">
        <w:t>plans and conducts historical investigations and presents reasoned conclusions, using relevant evidence from a range of sources</w:t>
      </w:r>
    </w:p>
    <w:p w14:paraId="25E8C2CE" w14:textId="4EB192E5" w:rsidR="00A061F0" w:rsidRDefault="00AB4257" w:rsidP="006A33D3">
      <w:pPr>
        <w:pStyle w:val="ListBullet"/>
        <w:numPr>
          <w:ilvl w:val="0"/>
          <w:numId w:val="1"/>
        </w:numPr>
      </w:pPr>
      <w:r>
        <w:rPr>
          <w:b/>
        </w:rPr>
        <w:t>M</w:t>
      </w:r>
      <w:r w:rsidR="00A061F0" w:rsidRPr="00AB4257">
        <w:rPr>
          <w:b/>
        </w:rPr>
        <w:t>H</w:t>
      </w:r>
      <w:r>
        <w:rPr>
          <w:b/>
        </w:rPr>
        <w:t>12-</w:t>
      </w:r>
      <w:r w:rsidR="00A061F0" w:rsidRPr="00AB4257">
        <w:rPr>
          <w:b/>
        </w:rPr>
        <w:t>9</w:t>
      </w:r>
      <w:r w:rsidR="00A061F0">
        <w:t xml:space="preserve"> </w:t>
      </w:r>
      <w:r w:rsidRPr="00AB4257">
        <w:t>communicates historical understanding, using historical knowledge, concepts and terms, in appropriate and well-structured forms</w:t>
      </w:r>
    </w:p>
    <w:p w14:paraId="4B81C000" w14:textId="31AD13E4" w:rsidR="00A061F0" w:rsidRDefault="00A061F0" w:rsidP="00A061F0">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sidR="00AB4257">
          <w:rPr>
            <w:rStyle w:val="Hyperlink"/>
            <w:sz w:val="22"/>
          </w:rPr>
          <w:t>Modern History</w:t>
        </w:r>
        <w:r w:rsidR="005B2C5D" w:rsidRPr="005B2C5D">
          <w:rPr>
            <w:rStyle w:val="Hyperlink"/>
            <w:sz w:val="22"/>
          </w:rPr>
          <w:t xml:space="preserve"> Stage 6 Syllabus 201</w:t>
        </w:r>
      </w:hyperlink>
      <w:r w:rsidR="00AB4257">
        <w:rPr>
          <w:rStyle w:val="Hyperlink"/>
          <w:sz w:val="22"/>
        </w:rPr>
        <w:t>7</w:t>
      </w:r>
      <w:r w:rsidRPr="008D6B90">
        <w:rPr>
          <w:rStyle w:val="SubtleReference"/>
        </w:rPr>
        <w:t>© NSW Education Standards Authority (NESA) for and on behalf of the Crown in right of th</w:t>
      </w:r>
      <w:r>
        <w:rPr>
          <w:rStyle w:val="SubtleReference"/>
        </w:rPr>
        <w:t>e State of New South Wales, 2009.</w:t>
      </w:r>
    </w:p>
    <w:p w14:paraId="4BAF9CB0" w14:textId="77777777" w:rsidR="00A061F0" w:rsidRPr="0006121B" w:rsidRDefault="00A061F0" w:rsidP="00A061F0">
      <w:pPr>
        <w:rPr>
          <w:rStyle w:val="SubtleReference"/>
          <w:rFonts w:cs="Arial"/>
          <w:lang w:eastAsia="zh-CN"/>
        </w:rPr>
      </w:pPr>
      <w:r>
        <w:rPr>
          <w:rStyle w:val="SubtleReference"/>
        </w:rPr>
        <w:br w:type="page"/>
      </w:r>
    </w:p>
    <w:p w14:paraId="1EB6267E" w14:textId="5535E3F9" w:rsidR="00E17C0D" w:rsidRDefault="00E17C0D" w:rsidP="005230B0">
      <w:pPr>
        <w:pStyle w:val="Heading1"/>
      </w:pPr>
      <w:r>
        <w:lastRenderedPageBreak/>
        <w:t>General revision</w:t>
      </w:r>
    </w:p>
    <w:p w14:paraId="0F77AF3C" w14:textId="3C1FEEBE" w:rsidR="00E17C0D" w:rsidRPr="00E17C0D" w:rsidRDefault="00A027F7" w:rsidP="00E17C0D">
      <w:pPr>
        <w:pStyle w:val="ListParagraph"/>
        <w:numPr>
          <w:ilvl w:val="0"/>
          <w:numId w:val="37"/>
        </w:numPr>
      </w:pPr>
      <w:r>
        <w:t>S</w:t>
      </w:r>
      <w:r w:rsidR="00737840">
        <w:t>tudents go</w:t>
      </w:r>
      <w:r w:rsidR="00E17C0D">
        <w:t xml:space="preserve"> through the syllabus</w:t>
      </w:r>
      <w:r w:rsidR="0026226E">
        <w:t xml:space="preserve"> foc</w:t>
      </w:r>
      <w:r w:rsidR="00737840">
        <w:t>u</w:t>
      </w:r>
      <w:r w:rsidR="0026226E">
        <w:t>s of study sections for the 4 topics being studied</w:t>
      </w:r>
      <w:r>
        <w:t xml:space="preserve"> and </w:t>
      </w:r>
      <w:r w:rsidR="0026226E">
        <w:t xml:space="preserve">score their understanding of each dot point from 1 to 5. Use this to direct areas </w:t>
      </w:r>
      <w:r w:rsidR="00335056">
        <w:t>of</w:t>
      </w:r>
      <w:r w:rsidR="0026226E">
        <w:t xml:space="preserve"> focus.</w:t>
      </w:r>
    </w:p>
    <w:p w14:paraId="6630B385" w14:textId="688A5A46" w:rsidR="003E1D7F" w:rsidRDefault="00A061F0" w:rsidP="005230B0">
      <w:pPr>
        <w:pStyle w:val="Heading1"/>
      </w:pPr>
      <w:r>
        <w:t>C</w:t>
      </w:r>
      <w:r w:rsidR="00D24AA5">
        <w:t>ore</w:t>
      </w:r>
      <w:r>
        <w:t xml:space="preserve"> – </w:t>
      </w:r>
      <w:r w:rsidR="004D2C3D">
        <w:t>power and authority in the modern world 1919-1946)</w:t>
      </w:r>
    </w:p>
    <w:p w14:paraId="1CB8B8F7" w14:textId="1DCBD830" w:rsidR="005230B0" w:rsidRPr="00502800" w:rsidRDefault="002E403B" w:rsidP="00502800">
      <w:pPr>
        <w:pStyle w:val="ListBullet"/>
      </w:pPr>
      <w:r w:rsidRPr="00502800">
        <w:t xml:space="preserve">Create a </w:t>
      </w:r>
      <w:hyperlink r:id="rId12" w:anchor=".YOYxRvoUslg.link" w:history="1">
        <w:r w:rsidRPr="00502800">
          <w:rPr>
            <w:rStyle w:val="Hyperlink"/>
            <w:color w:val="auto"/>
            <w:u w:val="none"/>
          </w:rPr>
          <w:t>Venn diagram</w:t>
        </w:r>
      </w:hyperlink>
      <w:r w:rsidRPr="00502800">
        <w:t xml:space="preserve"> of the key </w:t>
      </w:r>
      <w:proofErr w:type="spellStart"/>
      <w:r w:rsidRPr="00502800">
        <w:t>fatures</w:t>
      </w:r>
      <w:proofErr w:type="spellEnd"/>
      <w:r w:rsidRPr="00502800">
        <w:t xml:space="preserve"> of the dictatorships of Russia, Italy and Japan</w:t>
      </w:r>
    </w:p>
    <w:p w14:paraId="17BE8E2F" w14:textId="3E3402D1" w:rsidR="00502800" w:rsidRDefault="00502800" w:rsidP="00502800">
      <w:pPr>
        <w:pStyle w:val="ListBullet"/>
      </w:pPr>
      <w:r>
        <w:t xml:space="preserve">Watch </w:t>
      </w:r>
      <w:hyperlink r:id="rId13" w:history="1">
        <w:r w:rsidRPr="00502800">
          <w:rPr>
            <w:rStyle w:val="Hyperlink"/>
          </w:rPr>
          <w:t>Hitler’s Rise to Power</w:t>
        </w:r>
      </w:hyperlink>
      <w:r>
        <w:t xml:space="preserve"> (duration 9:12) and answer the following questions:</w:t>
      </w:r>
    </w:p>
    <w:p w14:paraId="6C5CE5FD" w14:textId="39339FC1" w:rsidR="00502800" w:rsidRDefault="00502800" w:rsidP="00502800">
      <w:pPr>
        <w:pStyle w:val="ListBullet2"/>
      </w:pPr>
      <w:r>
        <w:t>How did German WW1 veterans affect German politics?</w:t>
      </w:r>
    </w:p>
    <w:p w14:paraId="0C8479F8" w14:textId="7527AC88" w:rsidR="00502800" w:rsidRDefault="00502800" w:rsidP="00502800">
      <w:pPr>
        <w:pStyle w:val="ListBullet2"/>
      </w:pPr>
      <w:r>
        <w:t>How did the Nazis explain Germany’s loss in WW1? Why might this idea have had broad support amongst Germans?</w:t>
      </w:r>
    </w:p>
    <w:p w14:paraId="2D2EE310" w14:textId="24B7C5FF" w:rsidR="00502800" w:rsidRDefault="00502800" w:rsidP="00502800">
      <w:pPr>
        <w:pStyle w:val="ListBullet2"/>
      </w:pPr>
      <w:r>
        <w:t>What was the main campaign message of the Nazis during the early 1930s?</w:t>
      </w:r>
    </w:p>
    <w:p w14:paraId="30315A38" w14:textId="5A19539B" w:rsidR="002E403B" w:rsidRPr="00502800" w:rsidRDefault="00335056" w:rsidP="00502800">
      <w:pPr>
        <w:pStyle w:val="ListBullet"/>
      </w:pPr>
      <w:r>
        <w:t>Examine this range of</w:t>
      </w:r>
      <w:r w:rsidR="00DC68A7" w:rsidRPr="00502800">
        <w:t xml:space="preserve"> </w:t>
      </w:r>
      <w:hyperlink r:id="rId14" w:history="1">
        <w:r w:rsidR="00DC68A7" w:rsidRPr="004B439F">
          <w:rPr>
            <w:rStyle w:val="Hyperlink"/>
          </w:rPr>
          <w:t>Nazi Propaganda</w:t>
        </w:r>
      </w:hyperlink>
      <w:r w:rsidR="00DC68A7" w:rsidRPr="00502800">
        <w:t xml:space="preserve"> and for each of the </w:t>
      </w:r>
      <w:r w:rsidR="00502800" w:rsidRPr="00502800">
        <w:t>six posters answer the following questions:</w:t>
      </w:r>
    </w:p>
    <w:p w14:paraId="594C2067" w14:textId="5E372D77" w:rsidR="00502800" w:rsidRDefault="00502800" w:rsidP="00502800">
      <w:pPr>
        <w:pStyle w:val="ListBullet2"/>
      </w:pPr>
      <w:r>
        <w:t xml:space="preserve">What does </w:t>
      </w:r>
      <w:r w:rsidR="002F3CC4">
        <w:t>the poster</w:t>
      </w:r>
      <w:r>
        <w:t xml:space="preserve"> tell us about Nazi ideology?</w:t>
      </w:r>
    </w:p>
    <w:p w14:paraId="7800A27C" w14:textId="2AEEE8A5" w:rsidR="00502800" w:rsidRDefault="00502800" w:rsidP="00502800">
      <w:pPr>
        <w:pStyle w:val="ListBullet2"/>
      </w:pPr>
      <w:r>
        <w:t xml:space="preserve">How is </w:t>
      </w:r>
      <w:r w:rsidR="002F3CC4">
        <w:t>the poster</w:t>
      </w:r>
      <w:r>
        <w:t xml:space="preserve"> an example of the Nazi’s attempt to exercise control over the population?</w:t>
      </w:r>
    </w:p>
    <w:p w14:paraId="76FF4FF1" w14:textId="255907A2" w:rsidR="00502800" w:rsidRDefault="00502800" w:rsidP="00502800">
      <w:pPr>
        <w:pStyle w:val="ListBullet2"/>
      </w:pPr>
      <w:r>
        <w:t xml:space="preserve">What is </w:t>
      </w:r>
      <w:r w:rsidR="002F3CC4">
        <w:t>this example of propaganda</w:t>
      </w:r>
      <w:r>
        <w:t xml:space="preserve"> attempting to </w:t>
      </w:r>
      <w:proofErr w:type="spellStart"/>
      <w:r>
        <w:t>achive</w:t>
      </w:r>
      <w:proofErr w:type="spellEnd"/>
      <w:r>
        <w:t>?</w:t>
      </w:r>
    </w:p>
    <w:p w14:paraId="4B0FA20C" w14:textId="64313A38" w:rsidR="00502800" w:rsidRPr="005230B0" w:rsidRDefault="009873C4" w:rsidP="00502800">
      <w:pPr>
        <w:pStyle w:val="ListBullet"/>
      </w:pPr>
      <w:r>
        <w:t xml:space="preserve">Read through </w:t>
      </w:r>
      <w:hyperlink r:id="rId15" w:history="1">
        <w:r w:rsidRPr="009873C4">
          <w:rPr>
            <w:rStyle w:val="Hyperlink"/>
          </w:rPr>
          <w:t>Cont</w:t>
        </w:r>
        <w:r w:rsidR="00CD00E6">
          <w:rPr>
            <w:rStyle w:val="Hyperlink"/>
          </w:rPr>
          <w:t>r</w:t>
        </w:r>
        <w:r w:rsidRPr="009873C4">
          <w:rPr>
            <w:rStyle w:val="Hyperlink"/>
          </w:rPr>
          <w:t>ol and opposition in Nazi Germany</w:t>
        </w:r>
      </w:hyperlink>
      <w:r>
        <w:t xml:space="preserve"> and </w:t>
      </w:r>
      <w:r w:rsidR="00115A71">
        <w:t xml:space="preserve">create a glossary of the key terms, groups and people. </w:t>
      </w:r>
      <w:r w:rsidR="002F3CC4">
        <w:t>Complete</w:t>
      </w:r>
      <w:r w:rsidR="00115A71">
        <w:t xml:space="preserve"> the </w:t>
      </w:r>
      <w:hyperlink r:id="rId16" w:history="1">
        <w:r w:rsidR="00115A71" w:rsidRPr="00115A71">
          <w:rPr>
            <w:rStyle w:val="Hyperlink"/>
          </w:rPr>
          <w:t>online test</w:t>
        </w:r>
      </w:hyperlink>
      <w:r w:rsidR="00115A71">
        <w:t xml:space="preserve"> at the end of the topic.</w:t>
      </w:r>
    </w:p>
    <w:p w14:paraId="7563F0F2" w14:textId="43888162" w:rsidR="00A061F0" w:rsidRDefault="004D2C3D">
      <w:pPr>
        <w:pStyle w:val="Heading1"/>
      </w:pPr>
      <w:r>
        <w:t xml:space="preserve">National </w:t>
      </w:r>
      <w:r w:rsidRPr="006B7988">
        <w:t>studies</w:t>
      </w:r>
    </w:p>
    <w:p w14:paraId="466AD63F" w14:textId="3076488E" w:rsidR="00961709" w:rsidRDefault="00961709" w:rsidP="00961709">
      <w:r>
        <w:t>The revision activities below are designed to be able to be used for any of the national studies topics.</w:t>
      </w:r>
    </w:p>
    <w:p w14:paraId="66D8781F" w14:textId="319F46C6" w:rsidR="000C7E0A" w:rsidRPr="000C7E0A" w:rsidRDefault="000C7E0A" w:rsidP="000C7E0A">
      <w:pPr>
        <w:pStyle w:val="Heading2"/>
      </w:pPr>
      <w:r>
        <w:t>Syllabus content</w:t>
      </w:r>
    </w:p>
    <w:p w14:paraId="4D38C71B" w14:textId="73FC32E7" w:rsidR="004D2C3D" w:rsidRDefault="004D2C3D" w:rsidP="004D2C3D">
      <w:r w:rsidRPr="004D2C3D">
        <w:t xml:space="preserve">Students investigate key features, individuals, groups, </w:t>
      </w:r>
      <w:proofErr w:type="gramStart"/>
      <w:r w:rsidRPr="004D2C3D">
        <w:t>events</w:t>
      </w:r>
      <w:proofErr w:type="gramEnd"/>
      <w:r w:rsidRPr="004D2C3D">
        <w:t xml:space="preserve"> and developments that shaped the history of a selected nation. Students are to investigate ONE country during a specific period of the 20th century.</w:t>
      </w:r>
    </w:p>
    <w:p w14:paraId="54FB2968" w14:textId="3B6853C9" w:rsidR="004D2C3D" w:rsidRDefault="004D2C3D" w:rsidP="004D2C3D">
      <w:pPr>
        <w:pStyle w:val="ListBullet"/>
      </w:pPr>
      <w:r>
        <w:t>Australia 1918–1949</w:t>
      </w:r>
    </w:p>
    <w:p w14:paraId="42706076" w14:textId="71D47234" w:rsidR="004D2C3D" w:rsidRDefault="004D2C3D" w:rsidP="004D2C3D">
      <w:pPr>
        <w:pStyle w:val="ListBullet"/>
      </w:pPr>
      <w:r>
        <w:t>China 1927–1949</w:t>
      </w:r>
    </w:p>
    <w:p w14:paraId="6C3154FF" w14:textId="089F5BAA" w:rsidR="004D2C3D" w:rsidRDefault="004D2C3D" w:rsidP="004D2C3D">
      <w:pPr>
        <w:pStyle w:val="ListBullet"/>
      </w:pPr>
      <w:r>
        <w:lastRenderedPageBreak/>
        <w:t>India 1942–1984</w:t>
      </w:r>
    </w:p>
    <w:p w14:paraId="3B96BB70" w14:textId="3BCD29C9" w:rsidR="004D2C3D" w:rsidRDefault="004D2C3D" w:rsidP="004D2C3D">
      <w:pPr>
        <w:pStyle w:val="ListBullet"/>
      </w:pPr>
      <w:r>
        <w:t>Indonesia 1945–2005</w:t>
      </w:r>
    </w:p>
    <w:p w14:paraId="20A19AD2" w14:textId="52296289" w:rsidR="004D2C3D" w:rsidRDefault="004D2C3D" w:rsidP="004D2C3D">
      <w:pPr>
        <w:pStyle w:val="ListBullet"/>
      </w:pPr>
      <w:r>
        <w:t>Japan 1904–1937</w:t>
      </w:r>
    </w:p>
    <w:p w14:paraId="72BD29AD" w14:textId="552298FF" w:rsidR="004D2C3D" w:rsidRDefault="004D2C3D" w:rsidP="004D2C3D">
      <w:pPr>
        <w:pStyle w:val="ListBullet"/>
      </w:pPr>
      <w:r>
        <w:t>Russia and the Soviet Union 1917–1941</w:t>
      </w:r>
    </w:p>
    <w:p w14:paraId="5DF4C550" w14:textId="2B15CED2" w:rsidR="004D2C3D" w:rsidRDefault="004D2C3D" w:rsidP="004D2C3D">
      <w:pPr>
        <w:pStyle w:val="ListBullet"/>
      </w:pPr>
      <w:r>
        <w:t>USA 1919–1941</w:t>
      </w:r>
    </w:p>
    <w:p w14:paraId="2D39BCBC" w14:textId="5D5AB794" w:rsidR="004D2C3D" w:rsidRDefault="004D2C3D" w:rsidP="004D2C3D">
      <w:pPr>
        <w:pStyle w:val="ListBullet"/>
      </w:pPr>
      <w:r>
        <w:t>Iran 1945–1989</w:t>
      </w:r>
    </w:p>
    <w:p w14:paraId="256A9B58" w14:textId="783FACD3" w:rsidR="000C7E0A" w:rsidRDefault="000C7E0A" w:rsidP="000C7E0A">
      <w:pPr>
        <w:pStyle w:val="Heading3"/>
      </w:pPr>
      <w:r>
        <w:t>Revision activities</w:t>
      </w:r>
    </w:p>
    <w:p w14:paraId="4E07480B" w14:textId="07D8DB88" w:rsidR="000B2140" w:rsidRPr="000B2140" w:rsidRDefault="004F4A2D" w:rsidP="000B2140">
      <w:r>
        <w:t>Go through the focus of study section of the relevant national study and complete the following table</w:t>
      </w:r>
      <w:r w:rsidR="007B2576">
        <w:t>:</w:t>
      </w:r>
    </w:p>
    <w:tbl>
      <w:tblPr>
        <w:tblStyle w:val="Tableheader"/>
        <w:tblW w:w="11057" w:type="dxa"/>
        <w:tblInd w:w="-739" w:type="dxa"/>
        <w:tblLook w:val="04A0" w:firstRow="1" w:lastRow="0" w:firstColumn="1" w:lastColumn="0" w:noHBand="0" w:noVBand="1"/>
      </w:tblPr>
      <w:tblGrid>
        <w:gridCol w:w="2269"/>
        <w:gridCol w:w="2197"/>
        <w:gridCol w:w="2197"/>
        <w:gridCol w:w="2197"/>
        <w:gridCol w:w="2197"/>
      </w:tblGrid>
      <w:tr w:rsidR="004D3765" w:rsidRPr="00A82584" w14:paraId="5B884C0B" w14:textId="45950FEB" w:rsidTr="004D37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tcPr>
          <w:p w14:paraId="0863B2B4" w14:textId="4C4365EC" w:rsidR="004D3765" w:rsidRPr="00A82584" w:rsidRDefault="004D3765" w:rsidP="00566B83">
            <w:pPr>
              <w:pStyle w:val="Heading1"/>
              <w:spacing w:before="192" w:after="192"/>
              <w:outlineLvl w:val="0"/>
              <w:rPr>
                <w:color w:val="FFFFFF" w:themeColor="background1"/>
                <w:sz w:val="24"/>
              </w:rPr>
            </w:pPr>
            <w:r>
              <w:rPr>
                <w:color w:val="FFFFFF" w:themeColor="background1"/>
                <w:sz w:val="24"/>
              </w:rPr>
              <w:t>Syllabus dot point</w:t>
            </w:r>
          </w:p>
        </w:tc>
        <w:tc>
          <w:tcPr>
            <w:tcW w:w="2197" w:type="dxa"/>
          </w:tcPr>
          <w:p w14:paraId="73CB5BA9" w14:textId="585F6731" w:rsidR="004D3765" w:rsidRPr="00A82584" w:rsidRDefault="004D3765" w:rsidP="00566B83">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Key dates, places, people</w:t>
            </w:r>
          </w:p>
        </w:tc>
        <w:tc>
          <w:tcPr>
            <w:tcW w:w="2197" w:type="dxa"/>
          </w:tcPr>
          <w:p w14:paraId="4BA4FD3D" w14:textId="7DECB485" w:rsidR="004D3765" w:rsidRDefault="00961709" w:rsidP="00566B83">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Summary of main event or concept</w:t>
            </w:r>
            <w:r w:rsidR="004D3765">
              <w:rPr>
                <w:color w:val="FFFFFF" w:themeColor="background1"/>
                <w:sz w:val="24"/>
              </w:rPr>
              <w:t xml:space="preserve"> </w:t>
            </w:r>
          </w:p>
        </w:tc>
        <w:tc>
          <w:tcPr>
            <w:tcW w:w="2197" w:type="dxa"/>
          </w:tcPr>
          <w:p w14:paraId="572AFBFD" w14:textId="53EEFCD1" w:rsidR="004D3765" w:rsidRDefault="004D3765" w:rsidP="00566B83">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Impact and consequences</w:t>
            </w:r>
          </w:p>
        </w:tc>
        <w:tc>
          <w:tcPr>
            <w:tcW w:w="2197" w:type="dxa"/>
          </w:tcPr>
          <w:p w14:paraId="02908F01" w14:textId="0B621C93" w:rsidR="004D3765" w:rsidRDefault="004D3765" w:rsidP="00566B83">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Two possible exam questions</w:t>
            </w:r>
          </w:p>
        </w:tc>
      </w:tr>
      <w:tr w:rsidR="004D3765" w:rsidRPr="00A82584" w14:paraId="3F5E7163" w14:textId="25B934DC" w:rsidTr="004D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6DA2055" w14:textId="7B2A8439" w:rsidR="004D3765" w:rsidRPr="00A82584" w:rsidRDefault="004D3765" w:rsidP="00566B83"/>
        </w:tc>
        <w:tc>
          <w:tcPr>
            <w:tcW w:w="2197" w:type="dxa"/>
          </w:tcPr>
          <w:p w14:paraId="74CB8947" w14:textId="77777777" w:rsidR="004D3765" w:rsidRPr="00F42270" w:rsidRDefault="004D3765" w:rsidP="00566B83">
            <w:pPr>
              <w:cnfStyle w:val="000000100000" w:firstRow="0" w:lastRow="0" w:firstColumn="0" w:lastColumn="0" w:oddVBand="0" w:evenVBand="0" w:oddHBand="1" w:evenHBand="0" w:firstRowFirstColumn="0" w:firstRowLastColumn="0" w:lastRowFirstColumn="0" w:lastRowLastColumn="0"/>
            </w:pPr>
          </w:p>
        </w:tc>
        <w:tc>
          <w:tcPr>
            <w:tcW w:w="2197" w:type="dxa"/>
          </w:tcPr>
          <w:p w14:paraId="45F7209C" w14:textId="77777777" w:rsidR="004D3765" w:rsidRDefault="004D3765" w:rsidP="00566B83">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3EBD9270" w14:textId="0685616C" w:rsidR="004D3765" w:rsidRDefault="004D3765" w:rsidP="00566B83">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4D2D9637" w14:textId="77777777" w:rsidR="004D3765" w:rsidRDefault="004D3765" w:rsidP="00566B83">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r>
      <w:tr w:rsidR="004D3765" w:rsidRPr="00A82584" w14:paraId="465D2B26" w14:textId="154B3B0C" w:rsidTr="004D37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530C1E7" w14:textId="291F7D1D" w:rsidR="004D3765" w:rsidRPr="00A82584" w:rsidRDefault="004D3765" w:rsidP="00566B83"/>
        </w:tc>
        <w:tc>
          <w:tcPr>
            <w:tcW w:w="2197" w:type="dxa"/>
          </w:tcPr>
          <w:p w14:paraId="5785E2DD" w14:textId="77777777" w:rsidR="004D3765" w:rsidRPr="00AF28F3" w:rsidRDefault="004D3765" w:rsidP="00AF28F3">
            <w:pPr>
              <w:cnfStyle w:val="000000010000" w:firstRow="0" w:lastRow="0" w:firstColumn="0" w:lastColumn="0" w:oddVBand="0" w:evenVBand="0" w:oddHBand="0" w:evenHBand="1" w:firstRowFirstColumn="0" w:firstRowLastColumn="0" w:lastRowFirstColumn="0" w:lastRowLastColumn="0"/>
            </w:pPr>
          </w:p>
        </w:tc>
        <w:tc>
          <w:tcPr>
            <w:tcW w:w="2197" w:type="dxa"/>
          </w:tcPr>
          <w:p w14:paraId="5E2184B6" w14:textId="77777777" w:rsidR="004D3765" w:rsidRDefault="004D3765" w:rsidP="00566B83">
            <w:pPr>
              <w:pStyle w:val="Heading1"/>
              <w:outlineLvl w:val="0"/>
              <w:cnfStyle w:val="000000010000" w:firstRow="0" w:lastRow="0" w:firstColumn="0" w:lastColumn="0" w:oddVBand="0" w:evenVBand="0" w:oddHBand="0" w:evenHBand="1" w:firstRowFirstColumn="0" w:firstRowLastColumn="0" w:lastRowFirstColumn="0" w:lastRowLastColumn="0"/>
              <w:rPr>
                <w:color w:val="auto"/>
                <w:sz w:val="24"/>
                <w:szCs w:val="24"/>
              </w:rPr>
            </w:pPr>
          </w:p>
        </w:tc>
        <w:tc>
          <w:tcPr>
            <w:tcW w:w="2197" w:type="dxa"/>
          </w:tcPr>
          <w:p w14:paraId="19B3530D" w14:textId="175CCC97" w:rsidR="004D3765" w:rsidRDefault="004D3765" w:rsidP="00566B83">
            <w:pPr>
              <w:pStyle w:val="Heading1"/>
              <w:outlineLvl w:val="0"/>
              <w:cnfStyle w:val="000000010000" w:firstRow="0" w:lastRow="0" w:firstColumn="0" w:lastColumn="0" w:oddVBand="0" w:evenVBand="0" w:oddHBand="0" w:evenHBand="1" w:firstRowFirstColumn="0" w:firstRowLastColumn="0" w:lastRowFirstColumn="0" w:lastRowLastColumn="0"/>
              <w:rPr>
                <w:color w:val="auto"/>
                <w:sz w:val="24"/>
                <w:szCs w:val="24"/>
              </w:rPr>
            </w:pPr>
          </w:p>
        </w:tc>
        <w:tc>
          <w:tcPr>
            <w:tcW w:w="2197" w:type="dxa"/>
          </w:tcPr>
          <w:p w14:paraId="0224F98E" w14:textId="77777777" w:rsidR="004D3765" w:rsidRDefault="004D3765" w:rsidP="00566B83">
            <w:pPr>
              <w:pStyle w:val="Heading1"/>
              <w:outlineLvl w:val="0"/>
              <w:cnfStyle w:val="000000010000" w:firstRow="0" w:lastRow="0" w:firstColumn="0" w:lastColumn="0" w:oddVBand="0" w:evenVBand="0" w:oddHBand="0" w:evenHBand="1" w:firstRowFirstColumn="0" w:firstRowLastColumn="0" w:lastRowFirstColumn="0" w:lastRowLastColumn="0"/>
              <w:rPr>
                <w:color w:val="auto"/>
                <w:sz w:val="24"/>
                <w:szCs w:val="24"/>
              </w:rPr>
            </w:pPr>
          </w:p>
        </w:tc>
      </w:tr>
      <w:tr w:rsidR="004D3765" w:rsidRPr="00A82584" w14:paraId="5197AC6F" w14:textId="757FF9C7" w:rsidTr="004D3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8B19C99" w14:textId="39202054" w:rsidR="004D3765" w:rsidRPr="00A82584" w:rsidRDefault="004D3765" w:rsidP="00566B83"/>
        </w:tc>
        <w:tc>
          <w:tcPr>
            <w:tcW w:w="2197" w:type="dxa"/>
          </w:tcPr>
          <w:p w14:paraId="3B9B584F" w14:textId="77777777" w:rsidR="004D3765" w:rsidRPr="00AF28F3" w:rsidRDefault="004D3765" w:rsidP="00AF28F3">
            <w:pPr>
              <w:cnfStyle w:val="000000100000" w:firstRow="0" w:lastRow="0" w:firstColumn="0" w:lastColumn="0" w:oddVBand="0" w:evenVBand="0" w:oddHBand="1" w:evenHBand="0" w:firstRowFirstColumn="0" w:firstRowLastColumn="0" w:lastRowFirstColumn="0" w:lastRowLastColumn="0"/>
            </w:pPr>
          </w:p>
        </w:tc>
        <w:tc>
          <w:tcPr>
            <w:tcW w:w="2197" w:type="dxa"/>
          </w:tcPr>
          <w:p w14:paraId="5FA6103E" w14:textId="77777777" w:rsidR="004D3765" w:rsidRDefault="004D3765" w:rsidP="00566B83">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0BC1832A" w14:textId="0C3B728C" w:rsidR="004D3765" w:rsidRDefault="004D3765" w:rsidP="00566B83">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499E2B79" w14:textId="77777777" w:rsidR="004D3765" w:rsidRDefault="004D3765" w:rsidP="00566B83">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r>
    </w:tbl>
    <w:p w14:paraId="56AA9382" w14:textId="0395B179" w:rsidR="00A061F0" w:rsidRDefault="004D2C3D">
      <w:pPr>
        <w:pStyle w:val="Heading1"/>
      </w:pPr>
      <w:r>
        <w:t>Peace and conflict</w:t>
      </w:r>
    </w:p>
    <w:p w14:paraId="01B71E33" w14:textId="3A21E5A4" w:rsidR="00961709" w:rsidRDefault="00961709" w:rsidP="00961709">
      <w:r>
        <w:t>The revision activities below are designed to be able to be used for any of the peace and conflict topics.</w:t>
      </w:r>
    </w:p>
    <w:p w14:paraId="690E390E" w14:textId="77777777" w:rsidR="00961709" w:rsidRPr="000C7E0A" w:rsidRDefault="00961709" w:rsidP="00961709">
      <w:pPr>
        <w:pStyle w:val="Heading2"/>
      </w:pPr>
      <w:r>
        <w:t>Syllabus content</w:t>
      </w:r>
    </w:p>
    <w:p w14:paraId="692FD002" w14:textId="2956DACD" w:rsidR="004D2C3D" w:rsidRDefault="004D2C3D" w:rsidP="004D2C3D">
      <w:r w:rsidRPr="004D2C3D">
        <w:t>Students investigate key features of the history of ONE of the following studies in peace and conflict</w:t>
      </w:r>
      <w:r w:rsidR="006B7988">
        <w:t>:</w:t>
      </w:r>
    </w:p>
    <w:p w14:paraId="5BC85FDD" w14:textId="14CF17C0" w:rsidR="004D2C3D" w:rsidRDefault="004D2C3D" w:rsidP="004D2C3D">
      <w:pPr>
        <w:pStyle w:val="ListBullet"/>
      </w:pPr>
      <w:r>
        <w:t>Conflict in Indochina 1954–1979</w:t>
      </w:r>
    </w:p>
    <w:p w14:paraId="31128A30" w14:textId="3C288ADF" w:rsidR="004D2C3D" w:rsidRDefault="004D2C3D" w:rsidP="004D2C3D">
      <w:pPr>
        <w:pStyle w:val="ListBullet"/>
      </w:pPr>
      <w:r>
        <w:t>Conflict in the Pacific 1937–1951</w:t>
      </w:r>
    </w:p>
    <w:p w14:paraId="2F4C124E" w14:textId="58AD0F3E" w:rsidR="004D2C3D" w:rsidRDefault="004D2C3D" w:rsidP="004D2C3D">
      <w:pPr>
        <w:pStyle w:val="ListBullet"/>
      </w:pPr>
      <w:r>
        <w:t>Conflict in Europe 1935–1945</w:t>
      </w:r>
    </w:p>
    <w:p w14:paraId="1466FD06" w14:textId="07A986D9" w:rsidR="004D2C3D" w:rsidRDefault="004D2C3D" w:rsidP="004D2C3D">
      <w:pPr>
        <w:pStyle w:val="ListBullet"/>
      </w:pPr>
      <w:r>
        <w:t>The Cold War 1945–1991</w:t>
      </w:r>
    </w:p>
    <w:p w14:paraId="4E059BFB" w14:textId="27BF97F8" w:rsidR="004D2C3D" w:rsidRDefault="004D2C3D" w:rsidP="004D2C3D">
      <w:pPr>
        <w:pStyle w:val="ListBullet"/>
      </w:pPr>
      <w:r>
        <w:t>Conflict in the Gulf 1980–2011</w:t>
      </w:r>
    </w:p>
    <w:p w14:paraId="5CEFF69D" w14:textId="591498D9" w:rsidR="004D2C3D" w:rsidRDefault="004D2C3D" w:rsidP="004D2C3D">
      <w:pPr>
        <w:pStyle w:val="ListBullet"/>
      </w:pPr>
      <w:r>
        <w:t>The Arab–Israeli Conflict 1948–1996.</w:t>
      </w:r>
    </w:p>
    <w:p w14:paraId="05877DBB" w14:textId="77777777" w:rsidR="006A27CB" w:rsidRDefault="006A27CB" w:rsidP="006A27CB">
      <w:pPr>
        <w:pStyle w:val="Heading3"/>
      </w:pPr>
      <w:r>
        <w:lastRenderedPageBreak/>
        <w:t>Revision activities</w:t>
      </w:r>
    </w:p>
    <w:p w14:paraId="5E56A5B4" w14:textId="266CD0DA" w:rsidR="00AF28F3" w:rsidRPr="00AF28F3" w:rsidRDefault="006A27CB">
      <w:r>
        <w:t>Go through the focus of study section of the relevant national study and complete the following table</w:t>
      </w:r>
      <w:r w:rsidR="0089142D">
        <w:t>:</w:t>
      </w:r>
    </w:p>
    <w:tbl>
      <w:tblPr>
        <w:tblStyle w:val="Tableheader"/>
        <w:tblW w:w="11057" w:type="dxa"/>
        <w:tblInd w:w="-739" w:type="dxa"/>
        <w:tblLook w:val="04A0" w:firstRow="1" w:lastRow="0" w:firstColumn="1" w:lastColumn="0" w:noHBand="0" w:noVBand="1"/>
      </w:tblPr>
      <w:tblGrid>
        <w:gridCol w:w="2269"/>
        <w:gridCol w:w="2197"/>
        <w:gridCol w:w="2197"/>
        <w:gridCol w:w="2197"/>
        <w:gridCol w:w="2197"/>
      </w:tblGrid>
      <w:tr w:rsidR="004D3765" w:rsidRPr="00A82584" w14:paraId="38879F49" w14:textId="77777777" w:rsidTr="00CA15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tcPr>
          <w:p w14:paraId="58505E0C" w14:textId="77777777" w:rsidR="004D3765" w:rsidRPr="00A82584" w:rsidRDefault="004D3765" w:rsidP="00CA1596">
            <w:pPr>
              <w:pStyle w:val="Heading1"/>
              <w:spacing w:before="192" w:after="192"/>
              <w:outlineLvl w:val="0"/>
              <w:rPr>
                <w:color w:val="FFFFFF" w:themeColor="background1"/>
                <w:sz w:val="24"/>
              </w:rPr>
            </w:pPr>
            <w:r>
              <w:rPr>
                <w:color w:val="FFFFFF" w:themeColor="background1"/>
                <w:sz w:val="24"/>
              </w:rPr>
              <w:t>Syllabus dot point</w:t>
            </w:r>
          </w:p>
        </w:tc>
        <w:tc>
          <w:tcPr>
            <w:tcW w:w="2197" w:type="dxa"/>
          </w:tcPr>
          <w:p w14:paraId="1E34E42E" w14:textId="77777777" w:rsidR="004D3765" w:rsidRPr="00A82584" w:rsidRDefault="004D3765" w:rsidP="00CA1596">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Key dates, places, people</w:t>
            </w:r>
          </w:p>
        </w:tc>
        <w:tc>
          <w:tcPr>
            <w:tcW w:w="2197" w:type="dxa"/>
          </w:tcPr>
          <w:p w14:paraId="6E2268D0" w14:textId="149B8B52" w:rsidR="004D3765" w:rsidRDefault="00961709" w:rsidP="00CA1596">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Summary of main event or concept</w:t>
            </w:r>
            <w:r w:rsidR="004D3765">
              <w:rPr>
                <w:color w:val="FFFFFF" w:themeColor="background1"/>
                <w:sz w:val="24"/>
              </w:rPr>
              <w:t xml:space="preserve"> </w:t>
            </w:r>
          </w:p>
        </w:tc>
        <w:tc>
          <w:tcPr>
            <w:tcW w:w="2197" w:type="dxa"/>
          </w:tcPr>
          <w:p w14:paraId="391BE4EE" w14:textId="77777777" w:rsidR="004D3765" w:rsidRDefault="004D3765" w:rsidP="00CA1596">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Impact and consequences</w:t>
            </w:r>
          </w:p>
        </w:tc>
        <w:tc>
          <w:tcPr>
            <w:tcW w:w="2197" w:type="dxa"/>
          </w:tcPr>
          <w:p w14:paraId="7E2A518E" w14:textId="77777777" w:rsidR="004D3765" w:rsidRDefault="004D3765" w:rsidP="00CA1596">
            <w:pPr>
              <w:pStyle w:val="Heading1"/>
              <w:outlineLvl w:val="0"/>
              <w:cnfStyle w:val="100000000000" w:firstRow="1" w:lastRow="0" w:firstColumn="0" w:lastColumn="0" w:oddVBand="0" w:evenVBand="0" w:oddHBand="0" w:evenHBand="0" w:firstRowFirstColumn="0" w:firstRowLastColumn="0" w:lastRowFirstColumn="0" w:lastRowLastColumn="0"/>
              <w:rPr>
                <w:color w:val="FFFFFF" w:themeColor="background1"/>
                <w:sz w:val="24"/>
              </w:rPr>
            </w:pPr>
            <w:r>
              <w:rPr>
                <w:color w:val="FFFFFF" w:themeColor="background1"/>
                <w:sz w:val="24"/>
              </w:rPr>
              <w:t>Two possible exam questions</w:t>
            </w:r>
          </w:p>
        </w:tc>
      </w:tr>
      <w:tr w:rsidR="004D3765" w:rsidRPr="00A82584" w14:paraId="3E9F8AA7" w14:textId="77777777" w:rsidTr="00CA1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7B2B793" w14:textId="77777777" w:rsidR="004D3765" w:rsidRPr="00A82584" w:rsidRDefault="004D3765" w:rsidP="00CA1596"/>
        </w:tc>
        <w:tc>
          <w:tcPr>
            <w:tcW w:w="2197" w:type="dxa"/>
          </w:tcPr>
          <w:p w14:paraId="5977985A" w14:textId="77777777" w:rsidR="004D3765" w:rsidRPr="00AF28F3" w:rsidRDefault="004D3765" w:rsidP="00CA1596">
            <w:pPr>
              <w:cnfStyle w:val="000000100000" w:firstRow="0" w:lastRow="0" w:firstColumn="0" w:lastColumn="0" w:oddVBand="0" w:evenVBand="0" w:oddHBand="1" w:evenHBand="0" w:firstRowFirstColumn="0" w:firstRowLastColumn="0" w:lastRowFirstColumn="0" w:lastRowLastColumn="0"/>
            </w:pPr>
          </w:p>
        </w:tc>
        <w:tc>
          <w:tcPr>
            <w:tcW w:w="2197" w:type="dxa"/>
          </w:tcPr>
          <w:p w14:paraId="5C1C8DEF" w14:textId="77777777" w:rsidR="004D3765" w:rsidRDefault="004D3765" w:rsidP="00CA1596">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4E7DF07A" w14:textId="77777777" w:rsidR="004D3765" w:rsidRDefault="004D3765" w:rsidP="00CA1596">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507F4C50" w14:textId="77777777" w:rsidR="004D3765" w:rsidRDefault="004D3765" w:rsidP="00CA1596">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r>
      <w:tr w:rsidR="00737840" w:rsidRPr="00A82584" w14:paraId="39B0B6D7" w14:textId="77777777" w:rsidTr="00CA15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B749113" w14:textId="77777777" w:rsidR="00737840" w:rsidRPr="00A82584" w:rsidRDefault="00737840" w:rsidP="00CA1596"/>
        </w:tc>
        <w:tc>
          <w:tcPr>
            <w:tcW w:w="2197" w:type="dxa"/>
          </w:tcPr>
          <w:p w14:paraId="71EE7FCF" w14:textId="77777777" w:rsidR="00737840" w:rsidRPr="00AF28F3" w:rsidRDefault="00737840" w:rsidP="00CA1596">
            <w:pPr>
              <w:cnfStyle w:val="000000010000" w:firstRow="0" w:lastRow="0" w:firstColumn="0" w:lastColumn="0" w:oddVBand="0" w:evenVBand="0" w:oddHBand="0" w:evenHBand="1" w:firstRowFirstColumn="0" w:firstRowLastColumn="0" w:lastRowFirstColumn="0" w:lastRowLastColumn="0"/>
            </w:pPr>
          </w:p>
        </w:tc>
        <w:tc>
          <w:tcPr>
            <w:tcW w:w="2197" w:type="dxa"/>
          </w:tcPr>
          <w:p w14:paraId="65AA166B" w14:textId="77777777" w:rsidR="00737840" w:rsidRDefault="00737840" w:rsidP="00CA1596">
            <w:pPr>
              <w:pStyle w:val="Heading1"/>
              <w:outlineLvl w:val="0"/>
              <w:cnfStyle w:val="000000010000" w:firstRow="0" w:lastRow="0" w:firstColumn="0" w:lastColumn="0" w:oddVBand="0" w:evenVBand="0" w:oddHBand="0" w:evenHBand="1" w:firstRowFirstColumn="0" w:firstRowLastColumn="0" w:lastRowFirstColumn="0" w:lastRowLastColumn="0"/>
              <w:rPr>
                <w:color w:val="auto"/>
                <w:sz w:val="24"/>
                <w:szCs w:val="24"/>
              </w:rPr>
            </w:pPr>
          </w:p>
        </w:tc>
        <w:tc>
          <w:tcPr>
            <w:tcW w:w="2197" w:type="dxa"/>
          </w:tcPr>
          <w:p w14:paraId="492AE834" w14:textId="77777777" w:rsidR="00737840" w:rsidRDefault="00737840" w:rsidP="00CA1596">
            <w:pPr>
              <w:pStyle w:val="Heading1"/>
              <w:outlineLvl w:val="0"/>
              <w:cnfStyle w:val="000000010000" w:firstRow="0" w:lastRow="0" w:firstColumn="0" w:lastColumn="0" w:oddVBand="0" w:evenVBand="0" w:oddHBand="0" w:evenHBand="1" w:firstRowFirstColumn="0" w:firstRowLastColumn="0" w:lastRowFirstColumn="0" w:lastRowLastColumn="0"/>
              <w:rPr>
                <w:color w:val="auto"/>
                <w:sz w:val="24"/>
                <w:szCs w:val="24"/>
              </w:rPr>
            </w:pPr>
          </w:p>
        </w:tc>
        <w:tc>
          <w:tcPr>
            <w:tcW w:w="2197" w:type="dxa"/>
          </w:tcPr>
          <w:p w14:paraId="0E1AEADC" w14:textId="77777777" w:rsidR="00737840" w:rsidRDefault="00737840" w:rsidP="00CA1596">
            <w:pPr>
              <w:pStyle w:val="Heading1"/>
              <w:outlineLvl w:val="0"/>
              <w:cnfStyle w:val="000000010000" w:firstRow="0" w:lastRow="0" w:firstColumn="0" w:lastColumn="0" w:oddVBand="0" w:evenVBand="0" w:oddHBand="0" w:evenHBand="1" w:firstRowFirstColumn="0" w:firstRowLastColumn="0" w:lastRowFirstColumn="0" w:lastRowLastColumn="0"/>
              <w:rPr>
                <w:color w:val="auto"/>
                <w:sz w:val="24"/>
                <w:szCs w:val="24"/>
              </w:rPr>
            </w:pPr>
          </w:p>
        </w:tc>
      </w:tr>
      <w:tr w:rsidR="00737840" w:rsidRPr="00A82584" w14:paraId="7B678FDA" w14:textId="77777777" w:rsidTr="00CA1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3B4BF63" w14:textId="77777777" w:rsidR="00737840" w:rsidRPr="00A82584" w:rsidRDefault="00737840" w:rsidP="00CA1596"/>
        </w:tc>
        <w:tc>
          <w:tcPr>
            <w:tcW w:w="2197" w:type="dxa"/>
          </w:tcPr>
          <w:p w14:paraId="281F2444" w14:textId="77777777" w:rsidR="00737840" w:rsidRPr="00AF28F3" w:rsidRDefault="00737840" w:rsidP="00CA1596">
            <w:pPr>
              <w:cnfStyle w:val="000000100000" w:firstRow="0" w:lastRow="0" w:firstColumn="0" w:lastColumn="0" w:oddVBand="0" w:evenVBand="0" w:oddHBand="1" w:evenHBand="0" w:firstRowFirstColumn="0" w:firstRowLastColumn="0" w:lastRowFirstColumn="0" w:lastRowLastColumn="0"/>
            </w:pPr>
          </w:p>
        </w:tc>
        <w:tc>
          <w:tcPr>
            <w:tcW w:w="2197" w:type="dxa"/>
          </w:tcPr>
          <w:p w14:paraId="4DBEFC60" w14:textId="77777777" w:rsidR="00737840" w:rsidRDefault="00737840" w:rsidP="00CA1596">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32E4C724" w14:textId="77777777" w:rsidR="00737840" w:rsidRDefault="00737840" w:rsidP="00CA1596">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2197" w:type="dxa"/>
          </w:tcPr>
          <w:p w14:paraId="0DB888DF" w14:textId="77777777" w:rsidR="00737840" w:rsidRDefault="00737840" w:rsidP="00CA1596">
            <w:pPr>
              <w:pStyle w:val="Heading1"/>
              <w:outlineLvl w:val="0"/>
              <w:cnfStyle w:val="000000100000" w:firstRow="0" w:lastRow="0" w:firstColumn="0" w:lastColumn="0" w:oddVBand="0" w:evenVBand="0" w:oddHBand="1" w:evenHBand="0" w:firstRowFirstColumn="0" w:firstRowLastColumn="0" w:lastRowFirstColumn="0" w:lastRowLastColumn="0"/>
              <w:rPr>
                <w:color w:val="auto"/>
                <w:sz w:val="24"/>
                <w:szCs w:val="24"/>
              </w:rPr>
            </w:pPr>
          </w:p>
        </w:tc>
      </w:tr>
    </w:tbl>
    <w:p w14:paraId="66366EF0" w14:textId="0027127E" w:rsidR="00A061F0" w:rsidRDefault="00D77A51" w:rsidP="002A5BA6">
      <w:pPr>
        <w:pStyle w:val="Heading1"/>
        <w:rPr>
          <w:rFonts w:cs="Arial"/>
          <w:lang w:eastAsia="zh-CN"/>
        </w:rPr>
      </w:pPr>
      <w:r>
        <w:rPr>
          <w:rFonts w:cs="Arial"/>
          <w:lang w:eastAsia="zh-CN"/>
        </w:rPr>
        <w:t>Change in the modern world</w:t>
      </w:r>
    </w:p>
    <w:p w14:paraId="5B994BE5" w14:textId="1CEB4659" w:rsidR="00F86C17" w:rsidRDefault="00F86C17" w:rsidP="00F86C17">
      <w:r>
        <w:t>The revision activities below are designed to be able to be used for any of the change in the modern world topics.</w:t>
      </w:r>
    </w:p>
    <w:p w14:paraId="230186A8" w14:textId="77777777" w:rsidR="00F86C17" w:rsidRPr="000C7E0A" w:rsidRDefault="00F86C17" w:rsidP="00F86C17">
      <w:pPr>
        <w:pStyle w:val="Heading2"/>
      </w:pPr>
      <w:r>
        <w:t>Syllabus content</w:t>
      </w:r>
    </w:p>
    <w:p w14:paraId="1EEFC2C8" w14:textId="287DD724" w:rsidR="00D77A51" w:rsidRDefault="00D77A51" w:rsidP="00D77A51">
      <w:r w:rsidRPr="00D77A51">
        <w:t>Students investigate key features of the history of ONE of the following, focusing on political and social change, and the role of individuals and groups.</w:t>
      </w:r>
    </w:p>
    <w:p w14:paraId="72E834BB" w14:textId="21B5CA5A" w:rsidR="00D77A51" w:rsidRDefault="00D77A51" w:rsidP="00D77A51">
      <w:pPr>
        <w:pStyle w:val="ListBullet"/>
      </w:pPr>
      <w:r>
        <w:t>Pro-democracy Movement in Burma 1945–2010</w:t>
      </w:r>
    </w:p>
    <w:p w14:paraId="513BE890" w14:textId="367C96AB" w:rsidR="00D77A51" w:rsidRDefault="00D77A51" w:rsidP="00D77A51">
      <w:pPr>
        <w:pStyle w:val="ListBullet"/>
      </w:pPr>
      <w:r>
        <w:t>The Cultural Revolution to Tiananmen Square 1966–1989</w:t>
      </w:r>
    </w:p>
    <w:p w14:paraId="0255B542" w14:textId="6BD25421" w:rsidR="00D77A51" w:rsidRDefault="00D77A51" w:rsidP="00D77A51">
      <w:pPr>
        <w:pStyle w:val="ListBullet"/>
      </w:pPr>
      <w:r>
        <w:t>Civil Rights in the USA 1945–1968</w:t>
      </w:r>
    </w:p>
    <w:p w14:paraId="2D174965" w14:textId="4097E700" w:rsidR="00D77A51" w:rsidRDefault="00D77A51" w:rsidP="00D77A51">
      <w:pPr>
        <w:pStyle w:val="ListBullet"/>
      </w:pPr>
      <w:r>
        <w:t>The Changing World Order 1945–2011</w:t>
      </w:r>
    </w:p>
    <w:p w14:paraId="716765CE" w14:textId="696B125A" w:rsidR="00D77A51" w:rsidRDefault="00D77A51" w:rsidP="00D77A51">
      <w:pPr>
        <w:pStyle w:val="ListBullet"/>
      </w:pPr>
      <w:r>
        <w:t>The Nuclear Age 1945–2011</w:t>
      </w:r>
    </w:p>
    <w:p w14:paraId="7EB34250" w14:textId="1AC32C63" w:rsidR="00D77A51" w:rsidRDefault="00D77A51" w:rsidP="00D77A51">
      <w:pPr>
        <w:pStyle w:val="ListBullet"/>
      </w:pPr>
      <w:r>
        <w:t>Apartheid in South Africa 1960–1994.</w:t>
      </w:r>
    </w:p>
    <w:p w14:paraId="316C97A7" w14:textId="77777777" w:rsidR="006A27CB" w:rsidRDefault="006A27CB" w:rsidP="006A27CB">
      <w:pPr>
        <w:pStyle w:val="Heading3"/>
      </w:pPr>
      <w:r>
        <w:t>Revision activities</w:t>
      </w:r>
    </w:p>
    <w:p w14:paraId="2E02ABD9" w14:textId="4E62E441" w:rsidR="006A27CB" w:rsidRDefault="006A27CB" w:rsidP="006A27CB">
      <w:pPr>
        <w:pStyle w:val="ListBullet"/>
      </w:pPr>
      <w:r>
        <w:t xml:space="preserve">Create an </w:t>
      </w:r>
      <w:hyperlink r:id="rId17" w:history="1">
        <w:r w:rsidRPr="006A27CB">
          <w:rPr>
            <w:rStyle w:val="Hyperlink"/>
          </w:rPr>
          <w:t>annotated timeline</w:t>
        </w:r>
      </w:hyperlink>
      <w:r>
        <w:t xml:space="preserve"> of the key events for the focus of study section of the syllabus</w:t>
      </w:r>
    </w:p>
    <w:p w14:paraId="041347B3" w14:textId="4AA6BCFC" w:rsidR="006A27CB" w:rsidRPr="000B2140" w:rsidRDefault="00BE68A7" w:rsidP="006A27CB">
      <w:pPr>
        <w:pStyle w:val="ListBullet"/>
      </w:pPr>
      <w:r>
        <w:t xml:space="preserve">Use the ‘key features’ from the syllabus to create a </w:t>
      </w:r>
      <w:hyperlink r:id="rId18" w:anchor=".YOZJqSdZhgE.link" w:history="1">
        <w:r w:rsidRPr="00BE68A7">
          <w:rPr>
            <w:rStyle w:val="Hyperlink"/>
          </w:rPr>
          <w:t>concept map</w:t>
        </w:r>
      </w:hyperlink>
      <w:r>
        <w:t xml:space="preserve"> that incorporates and expands on the content from the focus of study dot points.</w:t>
      </w:r>
    </w:p>
    <w:p w14:paraId="4C8A9759" w14:textId="77777777" w:rsidR="004008ED" w:rsidRDefault="004008ED" w:rsidP="004008ED">
      <w:pPr>
        <w:pStyle w:val="ListBullet"/>
        <w:numPr>
          <w:ilvl w:val="0"/>
          <w:numId w:val="0"/>
        </w:numPr>
        <w:ind w:left="652" w:hanging="368"/>
      </w:pPr>
    </w:p>
    <w:sectPr w:rsidR="004008ED" w:rsidSect="00ED288C">
      <w:footerReference w:type="even" r:id="rId19"/>
      <w:footerReference w:type="default" r:id="rId20"/>
      <w:headerReference w:type="first" r:id="rId21"/>
      <w:footerReference w:type="first" r:id="rId2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0B27" w14:textId="77777777" w:rsidR="00474C7E" w:rsidRDefault="00474C7E" w:rsidP="00191F45">
      <w:r>
        <w:separator/>
      </w:r>
    </w:p>
    <w:p w14:paraId="61D4A7F0" w14:textId="77777777" w:rsidR="00474C7E" w:rsidRDefault="00474C7E"/>
    <w:p w14:paraId="363B9B0C" w14:textId="77777777" w:rsidR="00474C7E" w:rsidRDefault="00474C7E"/>
    <w:p w14:paraId="27B7F4AD" w14:textId="77777777" w:rsidR="00474C7E" w:rsidRDefault="00474C7E"/>
  </w:endnote>
  <w:endnote w:type="continuationSeparator" w:id="0">
    <w:p w14:paraId="416AD3AF" w14:textId="77777777" w:rsidR="00474C7E" w:rsidRDefault="00474C7E" w:rsidP="00191F45">
      <w:r>
        <w:continuationSeparator/>
      </w:r>
    </w:p>
    <w:p w14:paraId="3A47AC2D" w14:textId="77777777" w:rsidR="00474C7E" w:rsidRDefault="00474C7E"/>
    <w:p w14:paraId="6AA51EC0" w14:textId="77777777" w:rsidR="00474C7E" w:rsidRDefault="00474C7E"/>
    <w:p w14:paraId="5B9994DF" w14:textId="77777777" w:rsidR="00474C7E" w:rsidRDefault="00474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4D21" w14:textId="18A5AFE8" w:rsidR="00474C7E" w:rsidRPr="004D333E" w:rsidRDefault="00474C7E"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Revision HS</w:t>
    </w:r>
    <w:r w:rsidR="00044388">
      <w:t xml:space="preserve">C </w:t>
    </w:r>
    <w:r w:rsidR="00737840">
      <w:t>Modern History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BF41" w14:textId="6EFBED47" w:rsidR="00474C7E" w:rsidRPr="004D333E" w:rsidRDefault="00474C7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E1D08">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4F26" w14:textId="77777777" w:rsidR="00474C7E" w:rsidRDefault="00474C7E" w:rsidP="00493120">
    <w:pPr>
      <w:pStyle w:val="Logo"/>
    </w:pPr>
    <w:r w:rsidRPr="00913D40">
      <w:rPr>
        <w:sz w:val="24"/>
      </w:rPr>
      <w:t>education.nsw.gov.au</w:t>
    </w:r>
    <w:r w:rsidRPr="00791B72">
      <w:tab/>
    </w:r>
    <w:r w:rsidRPr="009C69B7">
      <w:rPr>
        <w:noProof/>
        <w:lang w:eastAsia="en-AU"/>
      </w:rPr>
      <w:drawing>
        <wp:inline distT="0" distB="0" distL="0" distR="0" wp14:anchorId="16C9B3E7" wp14:editId="5307509A">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E9BB" w14:textId="77777777" w:rsidR="00474C7E" w:rsidRDefault="00474C7E" w:rsidP="00191F45">
      <w:r>
        <w:separator/>
      </w:r>
    </w:p>
    <w:p w14:paraId="2B5776FD" w14:textId="77777777" w:rsidR="00474C7E" w:rsidRDefault="00474C7E"/>
    <w:p w14:paraId="557C8966" w14:textId="77777777" w:rsidR="00474C7E" w:rsidRDefault="00474C7E"/>
    <w:p w14:paraId="25AFDE74" w14:textId="77777777" w:rsidR="00474C7E" w:rsidRDefault="00474C7E"/>
  </w:footnote>
  <w:footnote w:type="continuationSeparator" w:id="0">
    <w:p w14:paraId="01589275" w14:textId="77777777" w:rsidR="00474C7E" w:rsidRDefault="00474C7E" w:rsidP="00191F45">
      <w:r>
        <w:continuationSeparator/>
      </w:r>
    </w:p>
    <w:p w14:paraId="3DF73186" w14:textId="77777777" w:rsidR="00474C7E" w:rsidRDefault="00474C7E"/>
    <w:p w14:paraId="4F33C329" w14:textId="77777777" w:rsidR="00474C7E" w:rsidRDefault="00474C7E"/>
    <w:p w14:paraId="0FD2ED44" w14:textId="77777777" w:rsidR="00474C7E" w:rsidRDefault="00474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E381" w14:textId="77777777" w:rsidR="00474C7E" w:rsidRDefault="00474C7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7C41CBB"/>
    <w:multiLevelType w:val="hybridMultilevel"/>
    <w:tmpl w:val="2A5EAB74"/>
    <w:lvl w:ilvl="0" w:tplc="FEA81B1E">
      <w:start w:val="1"/>
      <w:numFmt w:val="bullet"/>
      <w:pStyle w:val="BULLET2"/>
      <w:lvlText w:val=""/>
      <w:lvlJc w:val="left"/>
      <w:pPr>
        <w:ind w:left="568" w:hanging="142"/>
      </w:pPr>
      <w:rPr>
        <w:rFonts w:ascii="Symbol" w:hAnsi="Symbol" w:hint="default"/>
      </w:rPr>
    </w:lvl>
    <w:lvl w:ilvl="1" w:tplc="04090003">
      <w:start w:val="1"/>
      <w:numFmt w:val="bullet"/>
      <w:lvlText w:val="o"/>
      <w:lvlJc w:val="left"/>
      <w:pPr>
        <w:ind w:left="1299" w:hanging="360"/>
      </w:pPr>
      <w:rPr>
        <w:rFonts w:ascii="Courier New" w:hAnsi="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C4715A3"/>
    <w:multiLevelType w:val="hybridMultilevel"/>
    <w:tmpl w:val="8B0E0596"/>
    <w:lvl w:ilvl="0" w:tplc="93744674">
      <w:start w:val="1"/>
      <w:numFmt w:val="bullet"/>
      <w:pStyle w:val="BULLET1"/>
      <w:lvlText w:val=""/>
      <w:lvlJc w:val="left"/>
      <w:pPr>
        <w:tabs>
          <w:tab w:val="num" w:pos="284"/>
        </w:tabs>
        <w:ind w:left="284" w:hanging="284"/>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D893FB3"/>
    <w:multiLevelType w:val="hybridMultilevel"/>
    <w:tmpl w:val="013A4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10"/>
  </w:num>
  <w:num w:numId="9">
    <w:abstractNumId w:val="17"/>
  </w:num>
  <w:num w:numId="10">
    <w:abstractNumId w:val="9"/>
  </w:num>
  <w:num w:numId="11">
    <w:abstractNumId w:val="15"/>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12"/>
  </w:num>
  <w:num w:numId="3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hideSpellingErrors/>
  <w:hideGrammaticalErrors/>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B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5AE8"/>
    <w:rsid w:val="00040BF3"/>
    <w:rsid w:val="000423E3"/>
    <w:rsid w:val="0004292D"/>
    <w:rsid w:val="00042D30"/>
    <w:rsid w:val="00043FA0"/>
    <w:rsid w:val="00044388"/>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374"/>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140"/>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8C9"/>
    <w:rsid w:val="000C7D4F"/>
    <w:rsid w:val="000C7E0A"/>
    <w:rsid w:val="000D2063"/>
    <w:rsid w:val="000D24EC"/>
    <w:rsid w:val="000D2C3A"/>
    <w:rsid w:val="000D4852"/>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A71"/>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5C06"/>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2EAA"/>
    <w:rsid w:val="001C4DB7"/>
    <w:rsid w:val="001C6C9B"/>
    <w:rsid w:val="001D10B2"/>
    <w:rsid w:val="001D2E73"/>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2E3"/>
    <w:rsid w:val="00231E53"/>
    <w:rsid w:val="002336B6"/>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226E"/>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41A"/>
    <w:rsid w:val="002B7744"/>
    <w:rsid w:val="002C05AC"/>
    <w:rsid w:val="002C276A"/>
    <w:rsid w:val="002C3953"/>
    <w:rsid w:val="002C5209"/>
    <w:rsid w:val="002C56A0"/>
    <w:rsid w:val="002C7496"/>
    <w:rsid w:val="002D12FF"/>
    <w:rsid w:val="002D21A5"/>
    <w:rsid w:val="002D2FC8"/>
    <w:rsid w:val="002D4413"/>
    <w:rsid w:val="002D7247"/>
    <w:rsid w:val="002E23E3"/>
    <w:rsid w:val="002E26F3"/>
    <w:rsid w:val="002E34CB"/>
    <w:rsid w:val="002E403B"/>
    <w:rsid w:val="002E4059"/>
    <w:rsid w:val="002E4D5B"/>
    <w:rsid w:val="002E5474"/>
    <w:rsid w:val="002E5699"/>
    <w:rsid w:val="002E5832"/>
    <w:rsid w:val="002E633F"/>
    <w:rsid w:val="002F0BF7"/>
    <w:rsid w:val="002F0D60"/>
    <w:rsid w:val="002F104E"/>
    <w:rsid w:val="002F1BD9"/>
    <w:rsid w:val="002F3A6D"/>
    <w:rsid w:val="002F3CC4"/>
    <w:rsid w:val="002F749C"/>
    <w:rsid w:val="00302782"/>
    <w:rsid w:val="00303813"/>
    <w:rsid w:val="00310348"/>
    <w:rsid w:val="00310675"/>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056"/>
    <w:rsid w:val="0033532B"/>
    <w:rsid w:val="003355CE"/>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29F4"/>
    <w:rsid w:val="003534AD"/>
    <w:rsid w:val="003549C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DEE"/>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1D7F"/>
    <w:rsid w:val="003E53C0"/>
    <w:rsid w:val="003E6AE0"/>
    <w:rsid w:val="003F0971"/>
    <w:rsid w:val="003F0C97"/>
    <w:rsid w:val="003F28DA"/>
    <w:rsid w:val="003F2C2F"/>
    <w:rsid w:val="003F35B8"/>
    <w:rsid w:val="003F3F97"/>
    <w:rsid w:val="003F42CF"/>
    <w:rsid w:val="003F4EA0"/>
    <w:rsid w:val="003F69BE"/>
    <w:rsid w:val="003F7D20"/>
    <w:rsid w:val="004008ED"/>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7CA"/>
    <w:rsid w:val="00435259"/>
    <w:rsid w:val="00436B23"/>
    <w:rsid w:val="00436E88"/>
    <w:rsid w:val="00440977"/>
    <w:rsid w:val="0044175B"/>
    <w:rsid w:val="00441C88"/>
    <w:rsid w:val="00442026"/>
    <w:rsid w:val="00442448"/>
    <w:rsid w:val="00443CD4"/>
    <w:rsid w:val="00443E69"/>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C9E"/>
    <w:rsid w:val="004728AA"/>
    <w:rsid w:val="00473346"/>
    <w:rsid w:val="00474C7E"/>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39F"/>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2C3D"/>
    <w:rsid w:val="004D333E"/>
    <w:rsid w:val="004D3765"/>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A2D"/>
    <w:rsid w:val="004F4E1D"/>
    <w:rsid w:val="004F5CAC"/>
    <w:rsid w:val="004F6257"/>
    <w:rsid w:val="004F6A25"/>
    <w:rsid w:val="004F6AB0"/>
    <w:rsid w:val="004F6B4D"/>
    <w:rsid w:val="004F6F40"/>
    <w:rsid w:val="005000BD"/>
    <w:rsid w:val="005000DD"/>
    <w:rsid w:val="00502800"/>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0B0"/>
    <w:rsid w:val="0052396A"/>
    <w:rsid w:val="0052782C"/>
    <w:rsid w:val="00527A41"/>
    <w:rsid w:val="00530E46"/>
    <w:rsid w:val="005324EF"/>
    <w:rsid w:val="0053286B"/>
    <w:rsid w:val="00536369"/>
    <w:rsid w:val="005400FF"/>
    <w:rsid w:val="00540E99"/>
    <w:rsid w:val="00541130"/>
    <w:rsid w:val="00541854"/>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6B83"/>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F9F"/>
    <w:rsid w:val="0059056C"/>
    <w:rsid w:val="0059130B"/>
    <w:rsid w:val="00596689"/>
    <w:rsid w:val="005A16FB"/>
    <w:rsid w:val="005A1A68"/>
    <w:rsid w:val="005A1E8A"/>
    <w:rsid w:val="005A2A5A"/>
    <w:rsid w:val="005A3076"/>
    <w:rsid w:val="005A39FC"/>
    <w:rsid w:val="005A3B66"/>
    <w:rsid w:val="005A42E3"/>
    <w:rsid w:val="005A5F04"/>
    <w:rsid w:val="005A6DC2"/>
    <w:rsid w:val="005B0870"/>
    <w:rsid w:val="005B1762"/>
    <w:rsid w:val="005B2C5D"/>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6A3E"/>
    <w:rsid w:val="00607675"/>
    <w:rsid w:val="00610F53"/>
    <w:rsid w:val="00612E3F"/>
    <w:rsid w:val="00613208"/>
    <w:rsid w:val="00616767"/>
    <w:rsid w:val="0061698B"/>
    <w:rsid w:val="00616F61"/>
    <w:rsid w:val="00620917"/>
    <w:rsid w:val="0062163D"/>
    <w:rsid w:val="00623A9E"/>
    <w:rsid w:val="00623C6C"/>
    <w:rsid w:val="006240FC"/>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D62"/>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D84"/>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7CB"/>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B7988"/>
    <w:rsid w:val="006C00A3"/>
    <w:rsid w:val="006C1D71"/>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2EF"/>
    <w:rsid w:val="00735327"/>
    <w:rsid w:val="00735451"/>
    <w:rsid w:val="00737840"/>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63C"/>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576"/>
    <w:rsid w:val="007B50E4"/>
    <w:rsid w:val="007B5236"/>
    <w:rsid w:val="007B6B2F"/>
    <w:rsid w:val="007C057B"/>
    <w:rsid w:val="007C1661"/>
    <w:rsid w:val="007C1A9E"/>
    <w:rsid w:val="007C6E38"/>
    <w:rsid w:val="007D212E"/>
    <w:rsid w:val="007D458F"/>
    <w:rsid w:val="007D5655"/>
    <w:rsid w:val="007D5A52"/>
    <w:rsid w:val="007D7CF5"/>
    <w:rsid w:val="007D7E58"/>
    <w:rsid w:val="007E07A9"/>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C20"/>
    <w:rsid w:val="00870838"/>
    <w:rsid w:val="00870A3D"/>
    <w:rsid w:val="008736AC"/>
    <w:rsid w:val="00874C1F"/>
    <w:rsid w:val="00880A08"/>
    <w:rsid w:val="008813A0"/>
    <w:rsid w:val="00881AFE"/>
    <w:rsid w:val="00882E98"/>
    <w:rsid w:val="00883242"/>
    <w:rsid w:val="00883A53"/>
    <w:rsid w:val="00885C59"/>
    <w:rsid w:val="00890C47"/>
    <w:rsid w:val="0089142D"/>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726"/>
    <w:rsid w:val="008B4DA3"/>
    <w:rsid w:val="008B4FF4"/>
    <w:rsid w:val="008B6729"/>
    <w:rsid w:val="008B7F83"/>
    <w:rsid w:val="008C085A"/>
    <w:rsid w:val="008C1A20"/>
    <w:rsid w:val="008C2FB5"/>
    <w:rsid w:val="008C302C"/>
    <w:rsid w:val="008C4CAB"/>
    <w:rsid w:val="008C6461"/>
    <w:rsid w:val="008C6BA4"/>
    <w:rsid w:val="008C6F82"/>
    <w:rsid w:val="008C7CBC"/>
    <w:rsid w:val="008D0021"/>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BF5"/>
    <w:rsid w:val="00955D6C"/>
    <w:rsid w:val="00960547"/>
    <w:rsid w:val="00960CCA"/>
    <w:rsid w:val="00960E03"/>
    <w:rsid w:val="00961709"/>
    <w:rsid w:val="009624AB"/>
    <w:rsid w:val="009634F6"/>
    <w:rsid w:val="00963579"/>
    <w:rsid w:val="0096422F"/>
    <w:rsid w:val="00964AE3"/>
    <w:rsid w:val="00965F05"/>
    <w:rsid w:val="00966836"/>
    <w:rsid w:val="0096720F"/>
    <w:rsid w:val="0097036E"/>
    <w:rsid w:val="009718BF"/>
    <w:rsid w:val="00973DB2"/>
    <w:rsid w:val="00981475"/>
    <w:rsid w:val="00981668"/>
    <w:rsid w:val="00984331"/>
    <w:rsid w:val="00984C07"/>
    <w:rsid w:val="00985F69"/>
    <w:rsid w:val="009873C4"/>
    <w:rsid w:val="00987506"/>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D2"/>
    <w:rsid w:val="009D572A"/>
    <w:rsid w:val="009D67D9"/>
    <w:rsid w:val="009D7742"/>
    <w:rsid w:val="009D7D50"/>
    <w:rsid w:val="009E037B"/>
    <w:rsid w:val="009E05EC"/>
    <w:rsid w:val="009E0CF8"/>
    <w:rsid w:val="009E16BB"/>
    <w:rsid w:val="009E1D08"/>
    <w:rsid w:val="009E56EB"/>
    <w:rsid w:val="009E5BA2"/>
    <w:rsid w:val="009E6AB6"/>
    <w:rsid w:val="009E6B21"/>
    <w:rsid w:val="009E7F27"/>
    <w:rsid w:val="009F1A7D"/>
    <w:rsid w:val="009F3431"/>
    <w:rsid w:val="009F3838"/>
    <w:rsid w:val="009F3ECD"/>
    <w:rsid w:val="009F4B19"/>
    <w:rsid w:val="009F5F05"/>
    <w:rsid w:val="009F7315"/>
    <w:rsid w:val="009F73D1"/>
    <w:rsid w:val="00A00D40"/>
    <w:rsid w:val="00A027F7"/>
    <w:rsid w:val="00A04A93"/>
    <w:rsid w:val="00A061F0"/>
    <w:rsid w:val="00A07569"/>
    <w:rsid w:val="00A07749"/>
    <w:rsid w:val="00A078FB"/>
    <w:rsid w:val="00A10CE1"/>
    <w:rsid w:val="00A10CED"/>
    <w:rsid w:val="00A125B8"/>
    <w:rsid w:val="00A128C6"/>
    <w:rsid w:val="00A143CE"/>
    <w:rsid w:val="00A15A86"/>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85B"/>
    <w:rsid w:val="00A54C7B"/>
    <w:rsid w:val="00A54CFD"/>
    <w:rsid w:val="00A5639F"/>
    <w:rsid w:val="00A57040"/>
    <w:rsid w:val="00A60064"/>
    <w:rsid w:val="00A64A41"/>
    <w:rsid w:val="00A64F90"/>
    <w:rsid w:val="00A65A2B"/>
    <w:rsid w:val="00A70170"/>
    <w:rsid w:val="00A726C7"/>
    <w:rsid w:val="00A7409C"/>
    <w:rsid w:val="00A752B5"/>
    <w:rsid w:val="00A774B4"/>
    <w:rsid w:val="00A77927"/>
    <w:rsid w:val="00A80144"/>
    <w:rsid w:val="00A81734"/>
    <w:rsid w:val="00A81791"/>
    <w:rsid w:val="00A8195D"/>
    <w:rsid w:val="00A81DC9"/>
    <w:rsid w:val="00A82584"/>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257"/>
    <w:rsid w:val="00AB77E7"/>
    <w:rsid w:val="00AC1DCF"/>
    <w:rsid w:val="00AC23B1"/>
    <w:rsid w:val="00AC260E"/>
    <w:rsid w:val="00AC2AF9"/>
    <w:rsid w:val="00AC2F71"/>
    <w:rsid w:val="00AC47A6"/>
    <w:rsid w:val="00AC51DA"/>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8F3"/>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118"/>
    <w:rsid w:val="00BB1855"/>
    <w:rsid w:val="00BB2332"/>
    <w:rsid w:val="00BB239F"/>
    <w:rsid w:val="00BB2494"/>
    <w:rsid w:val="00BB2522"/>
    <w:rsid w:val="00BB28A3"/>
    <w:rsid w:val="00BB4CBC"/>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8A7"/>
    <w:rsid w:val="00BE6E4A"/>
    <w:rsid w:val="00BE7CE4"/>
    <w:rsid w:val="00BF0917"/>
    <w:rsid w:val="00BF0CD7"/>
    <w:rsid w:val="00BF143E"/>
    <w:rsid w:val="00BF15CE"/>
    <w:rsid w:val="00BF2157"/>
    <w:rsid w:val="00BF28AC"/>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8D3"/>
    <w:rsid w:val="00C44A8D"/>
    <w:rsid w:val="00C44CF8"/>
    <w:rsid w:val="00C45B91"/>
    <w:rsid w:val="00C460A1"/>
    <w:rsid w:val="00C4789C"/>
    <w:rsid w:val="00C47F2E"/>
    <w:rsid w:val="00C52C02"/>
    <w:rsid w:val="00C52DCB"/>
    <w:rsid w:val="00C56041"/>
    <w:rsid w:val="00C57EE8"/>
    <w:rsid w:val="00C61072"/>
    <w:rsid w:val="00C6243C"/>
    <w:rsid w:val="00C62F54"/>
    <w:rsid w:val="00C63AEA"/>
    <w:rsid w:val="00C64015"/>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763"/>
    <w:rsid w:val="00CB4F1A"/>
    <w:rsid w:val="00CB58B4"/>
    <w:rsid w:val="00CB6577"/>
    <w:rsid w:val="00CB6768"/>
    <w:rsid w:val="00CB74C7"/>
    <w:rsid w:val="00CC1FE9"/>
    <w:rsid w:val="00CC3B49"/>
    <w:rsid w:val="00CC3D04"/>
    <w:rsid w:val="00CC4AF7"/>
    <w:rsid w:val="00CC54E5"/>
    <w:rsid w:val="00CC6B96"/>
    <w:rsid w:val="00CC6F04"/>
    <w:rsid w:val="00CC7B94"/>
    <w:rsid w:val="00CD00E6"/>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4AA5"/>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0C8"/>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7A51"/>
    <w:rsid w:val="00D82E32"/>
    <w:rsid w:val="00D83974"/>
    <w:rsid w:val="00D84133"/>
    <w:rsid w:val="00D8431C"/>
    <w:rsid w:val="00D85133"/>
    <w:rsid w:val="00D858EA"/>
    <w:rsid w:val="00D91607"/>
    <w:rsid w:val="00D92C82"/>
    <w:rsid w:val="00D93336"/>
    <w:rsid w:val="00D94314"/>
    <w:rsid w:val="00D95BC7"/>
    <w:rsid w:val="00D95C17"/>
    <w:rsid w:val="00D96043"/>
    <w:rsid w:val="00D96FCD"/>
    <w:rsid w:val="00D97779"/>
    <w:rsid w:val="00DA52F5"/>
    <w:rsid w:val="00DA73A3"/>
    <w:rsid w:val="00DB3080"/>
    <w:rsid w:val="00DB4E12"/>
    <w:rsid w:val="00DB5771"/>
    <w:rsid w:val="00DC0AB6"/>
    <w:rsid w:val="00DC21CF"/>
    <w:rsid w:val="00DC3395"/>
    <w:rsid w:val="00DC3664"/>
    <w:rsid w:val="00DC42ED"/>
    <w:rsid w:val="00DC4B9B"/>
    <w:rsid w:val="00DC68A7"/>
    <w:rsid w:val="00DC6EFC"/>
    <w:rsid w:val="00DC7CDE"/>
    <w:rsid w:val="00DD195B"/>
    <w:rsid w:val="00DD243F"/>
    <w:rsid w:val="00DD46E9"/>
    <w:rsid w:val="00DD4711"/>
    <w:rsid w:val="00DD4812"/>
    <w:rsid w:val="00DD4CA7"/>
    <w:rsid w:val="00DD7149"/>
    <w:rsid w:val="00DE0097"/>
    <w:rsid w:val="00DE05AE"/>
    <w:rsid w:val="00DE0979"/>
    <w:rsid w:val="00DE12E9"/>
    <w:rsid w:val="00DE301D"/>
    <w:rsid w:val="00DE33EC"/>
    <w:rsid w:val="00DE43F4"/>
    <w:rsid w:val="00DE53F8"/>
    <w:rsid w:val="00DE546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17C0D"/>
    <w:rsid w:val="00E2086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004"/>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3CC"/>
    <w:rsid w:val="00F05A4D"/>
    <w:rsid w:val="00F06BB9"/>
    <w:rsid w:val="00F121C4"/>
    <w:rsid w:val="00F13777"/>
    <w:rsid w:val="00F148A5"/>
    <w:rsid w:val="00F17235"/>
    <w:rsid w:val="00F17A7F"/>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270"/>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6C4C"/>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0F5"/>
    <w:rsid w:val="00F8655C"/>
    <w:rsid w:val="00F86C17"/>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9B808C"/>
  <w14:defaultImageDpi w14:val="32767"/>
  <w15:chartTrackingRefBased/>
  <w15:docId w15:val="{B57544E6-90A3-4436-A6CD-41A182E6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F860F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F5"/>
    <w:rPr>
      <w:rFonts w:ascii="Segoe UI" w:hAnsi="Segoe UI" w:cs="Segoe UI"/>
      <w:sz w:val="18"/>
      <w:szCs w:val="18"/>
      <w:lang w:val="en-AU"/>
    </w:rPr>
  </w:style>
  <w:style w:type="paragraph" w:customStyle="1" w:styleId="BodyText1">
    <w:name w:val="Body Text1"/>
    <w:basedOn w:val="Normal"/>
    <w:rsid w:val="005B2C5D"/>
    <w:pPr>
      <w:spacing w:before="60" w:after="120" w:line="240" w:lineRule="auto"/>
    </w:pPr>
    <w:rPr>
      <w:rFonts w:eastAsia="Times New Roman" w:cs="Times New Roman"/>
      <w:sz w:val="22"/>
      <w:szCs w:val="20"/>
      <w:lang w:val="en-US"/>
    </w:rPr>
  </w:style>
  <w:style w:type="paragraph" w:customStyle="1" w:styleId="BULLET1">
    <w:name w:val="BULLET1"/>
    <w:basedOn w:val="Normal"/>
    <w:qFormat/>
    <w:rsid w:val="005B2C5D"/>
    <w:pPr>
      <w:numPr>
        <w:numId w:val="35"/>
      </w:numPr>
      <w:tabs>
        <w:tab w:val="clear" w:pos="284"/>
        <w:tab w:val="left" w:pos="425"/>
      </w:tabs>
      <w:spacing w:before="60" w:after="120" w:line="240" w:lineRule="auto"/>
      <w:ind w:left="425" w:hanging="425"/>
    </w:pPr>
    <w:rPr>
      <w:rFonts w:eastAsia="Times New Roman" w:cs="Times New Roman"/>
      <w:sz w:val="22"/>
      <w:szCs w:val="20"/>
    </w:rPr>
  </w:style>
  <w:style w:type="paragraph" w:customStyle="1" w:styleId="BULLET2">
    <w:name w:val="BULLET2"/>
    <w:basedOn w:val="Normal"/>
    <w:qFormat/>
    <w:rsid w:val="005B2C5D"/>
    <w:pPr>
      <w:numPr>
        <w:numId w:val="36"/>
      </w:numPr>
      <w:tabs>
        <w:tab w:val="left" w:pos="851"/>
      </w:tabs>
      <w:spacing w:before="0" w:after="60" w:line="240" w:lineRule="auto"/>
      <w:ind w:left="850" w:hanging="425"/>
    </w:pPr>
    <w:rPr>
      <w:rFonts w:eastAsia="Calibri" w:cs="Arial"/>
      <w:sz w:val="22"/>
    </w:rPr>
  </w:style>
  <w:style w:type="character" w:styleId="UnresolvedMention">
    <w:name w:val="Unresolved Mention"/>
    <w:basedOn w:val="DefaultParagraphFont"/>
    <w:uiPriority w:val="99"/>
    <w:semiHidden/>
    <w:unhideWhenUsed/>
    <w:rsid w:val="005B2C5D"/>
    <w:rPr>
      <w:color w:val="605E5C"/>
      <w:shd w:val="clear" w:color="auto" w:fill="E1DFDD"/>
    </w:rPr>
  </w:style>
  <w:style w:type="character" w:styleId="PageNumber">
    <w:name w:val="page number"/>
    <w:basedOn w:val="DefaultParagraphFont"/>
    <w:rsid w:val="001D2E73"/>
  </w:style>
  <w:style w:type="paragraph" w:styleId="ListParagraph">
    <w:name w:val="List Paragraph"/>
    <w:basedOn w:val="Normal"/>
    <w:uiPriority w:val="99"/>
    <w:unhideWhenUsed/>
    <w:qFormat/>
    <w:rsid w:val="00E17C0D"/>
    <w:pPr>
      <w:ind w:left="720"/>
      <w:contextualSpacing/>
    </w:pPr>
  </w:style>
  <w:style w:type="character" w:styleId="CommentReference">
    <w:name w:val="annotation reference"/>
    <w:basedOn w:val="DefaultParagraphFont"/>
    <w:uiPriority w:val="99"/>
    <w:semiHidden/>
    <w:rsid w:val="00C56041"/>
    <w:rPr>
      <w:sz w:val="16"/>
      <w:szCs w:val="16"/>
    </w:rPr>
  </w:style>
  <w:style w:type="paragraph" w:styleId="CommentText">
    <w:name w:val="annotation text"/>
    <w:basedOn w:val="Normal"/>
    <w:link w:val="CommentTextChar"/>
    <w:uiPriority w:val="99"/>
    <w:semiHidden/>
    <w:rsid w:val="00C56041"/>
    <w:pPr>
      <w:spacing w:line="240" w:lineRule="auto"/>
    </w:pPr>
    <w:rPr>
      <w:sz w:val="20"/>
      <w:szCs w:val="20"/>
    </w:rPr>
  </w:style>
  <w:style w:type="character" w:customStyle="1" w:styleId="CommentTextChar">
    <w:name w:val="Comment Text Char"/>
    <w:basedOn w:val="DefaultParagraphFont"/>
    <w:link w:val="CommentText"/>
    <w:uiPriority w:val="99"/>
    <w:semiHidden/>
    <w:rsid w:val="00C5604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56041"/>
    <w:rPr>
      <w:b/>
      <w:bCs/>
    </w:rPr>
  </w:style>
  <w:style w:type="character" w:customStyle="1" w:styleId="CommentSubjectChar">
    <w:name w:val="Comment Subject Char"/>
    <w:basedOn w:val="CommentTextChar"/>
    <w:link w:val="CommentSubject"/>
    <w:uiPriority w:val="99"/>
    <w:semiHidden/>
    <w:rsid w:val="00C5604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inghistory.org/resource-library/video/hitlers-rise-power-1918-1933" TargetMode="External"/><Relationship Id="rId18" Type="http://schemas.openxmlformats.org/officeDocument/2006/relationships/hyperlink" Target="https://app.education.nsw.gov.au/digital-learning-selector/LearningActivity/Card/57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education.nsw.gov.au/digital-learning-selector/LearningActivity/Card/599?clearCache=7afc5921-caf8-d711-27d4-2b87eddfbb67" TargetMode="External"/><Relationship Id="rId17" Type="http://schemas.openxmlformats.org/officeDocument/2006/relationships/hyperlink" Target="https://time.graphics/editor" TargetMode="External"/><Relationship Id="rId2" Type="http://schemas.openxmlformats.org/officeDocument/2006/relationships/customXml" Target="../customXml/item2.xml"/><Relationship Id="rId16" Type="http://schemas.openxmlformats.org/officeDocument/2006/relationships/hyperlink" Target="https://www.bbc.co.uk/bitesize/guides/z2p3k2p/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hsie/society-cultur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bc.co.uk/bitesize/guides/z2p3k2p/revision/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history/worldwars/wwtwo/nazi_propaganda_gallery.shtm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is21\OneDrive%20-%20NSW%20Department%20of%20Education\Desktop\society%20and%20culture%20general%20revision%20activ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ABCA5-4066-4BDE-AF15-FAF22019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E5E40-19AE-43B4-968A-4F2EC1F54059}">
  <ds:schemaRefs>
    <ds:schemaRef ds:uri="http://schemas.openxmlformats.org/officeDocument/2006/bibliography"/>
  </ds:schemaRefs>
</ds:datastoreItem>
</file>

<file path=customXml/itemProps3.xml><?xml version="1.0" encoding="utf-8"?>
<ds:datastoreItem xmlns:ds="http://schemas.openxmlformats.org/officeDocument/2006/customXml" ds:itemID="{2AE3A076-9CB4-4844-8A09-DF9E6D31F34D}">
  <ds:schemaRefs>
    <ds:schemaRef ds:uri="http://www.w3.org/XML/1998/namespace"/>
    <ds:schemaRef ds:uri="1ecf118d-1b68-4539-8f47-c72c4e394bba"/>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3c5b8ff7-b110-47e5-875b-c1ade981fe1d"/>
    <ds:schemaRef ds:uri="http://purl.org/dc/dcmitype/"/>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society and culture general revision activity</Template>
  <TotalTime>389</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6728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hsie-s6-modern-history-hsc-revision</dc:title>
  <dc:subject/>
  <dc:creator>NSW Department of Education</dc:creator>
  <cp:keywords/>
  <dc:description/>
  <cp:lastModifiedBy>Kate Littlejohn</cp:lastModifiedBy>
  <cp:revision>51</cp:revision>
  <cp:lastPrinted>2019-09-30T07:42:00Z</cp:lastPrinted>
  <dcterms:created xsi:type="dcterms:W3CDTF">2021-06-30T23:27:00Z</dcterms:created>
  <dcterms:modified xsi:type="dcterms:W3CDTF">2021-07-15T02:41:00Z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