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8A1F3" w14:textId="4B7FA8AA" w:rsidR="00076D1C" w:rsidRDefault="00667FEF" w:rsidP="00076D1C">
      <w:pPr>
        <w:pStyle w:val="IOSdocumenttitle2017"/>
        <w:spacing w:before="0" w:after="360"/>
      </w:pPr>
      <w:r w:rsidRPr="0084745C">
        <w:rPr>
          <w:noProof/>
          <w:lang w:eastAsia="en-AU"/>
        </w:rPr>
        <w:drawing>
          <wp:inline distT="0" distB="0" distL="0" distR="0" wp14:anchorId="7935A3F7" wp14:editId="19E039D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27AF4" w:rsidRPr="00527AF4">
        <w:t xml:space="preserve">Glossary of </w:t>
      </w:r>
      <w:r w:rsidR="00076D1C">
        <w:t>t</w:t>
      </w:r>
      <w:r w:rsidR="00527AF4" w:rsidRPr="00527AF4">
        <w:t>erms</w:t>
      </w:r>
      <w:r w:rsidR="0013067E">
        <w:t xml:space="preserve"> – Gough Whitlam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terms and definition for each term"/>
      </w:tblPr>
      <w:tblGrid>
        <w:gridCol w:w="2122"/>
        <w:gridCol w:w="8640"/>
      </w:tblGrid>
      <w:tr w:rsidR="00527AF4" w14:paraId="5150CB71" w14:textId="77777777" w:rsidTr="00076D1C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14:paraId="67F628A8" w14:textId="77777777" w:rsidR="00527AF4" w:rsidRDefault="00527AF4" w:rsidP="00527AF4">
            <w:pPr>
              <w:pStyle w:val="IOStableheading2017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Term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69829310" w14:textId="77777777" w:rsidR="00527AF4" w:rsidRDefault="00527AF4" w:rsidP="00527AF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E007EF" w14:paraId="71F5C86B" w14:textId="77777777" w:rsidTr="00104696">
        <w:tc>
          <w:tcPr>
            <w:tcW w:w="2122" w:type="dxa"/>
          </w:tcPr>
          <w:p w14:paraId="239986D8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Academic history</w:t>
            </w:r>
          </w:p>
        </w:tc>
        <w:tc>
          <w:tcPr>
            <w:tcW w:w="8640" w:type="dxa"/>
          </w:tcPr>
          <w:p w14:paraId="53D6C94F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Histories that are produced by trained historians who use scholarly methods, including peer review, to produce detailed, evidence-driven interpretations of the past.</w:t>
            </w:r>
          </w:p>
        </w:tc>
      </w:tr>
      <w:tr w:rsidR="00E007EF" w14:paraId="5DB04A35" w14:textId="77777777" w:rsidTr="00104696">
        <w:tc>
          <w:tcPr>
            <w:tcW w:w="2122" w:type="dxa"/>
          </w:tcPr>
          <w:p w14:paraId="7D16A036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Australian Constitution</w:t>
            </w:r>
          </w:p>
        </w:tc>
        <w:tc>
          <w:tcPr>
            <w:tcW w:w="8640" w:type="dxa"/>
          </w:tcPr>
          <w:p w14:paraId="680D34D2" w14:textId="104A3F89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document that establishes the form the Federal government takes and the relationship between the Commonwealth government and the States. It is not a Bill of Rights.</w:t>
            </w:r>
            <w:r w:rsidR="00D74F95">
              <w:rPr>
                <w:lang w:eastAsia="en-US"/>
              </w:rPr>
              <w:t xml:space="preserve"> It took effect on 1 January 1901. </w:t>
            </w:r>
          </w:p>
        </w:tc>
      </w:tr>
      <w:tr w:rsidR="00E007EF" w14:paraId="71FF0895" w14:textId="77777777" w:rsidTr="00104696">
        <w:tc>
          <w:tcPr>
            <w:tcW w:w="2122" w:type="dxa"/>
          </w:tcPr>
          <w:p w14:paraId="4F1BBF00" w14:textId="77777777" w:rsidR="00E007EF" w:rsidRP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Casual vacancy</w:t>
            </w:r>
          </w:p>
        </w:tc>
        <w:tc>
          <w:tcPr>
            <w:tcW w:w="8640" w:type="dxa"/>
          </w:tcPr>
          <w:p w14:paraId="767B447B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This occurs when a member of the Senate or the House of Representatives either dies, resigns mid-term, is expelled, or disqualified mid-term. In the case of the House of Representatives, the vacancy is filled by way of a by-election. In the case of the Senate, the vacancy is filled by a member of the same Party following nomination by the appropriate State government. Prior to the Whitlam dismissal, this was a convention but is now enshrined in the Constitution.</w:t>
            </w:r>
          </w:p>
        </w:tc>
      </w:tr>
      <w:tr w:rsidR="00E007EF" w14:paraId="42E42ABC" w14:textId="77777777" w:rsidTr="00104696">
        <w:tc>
          <w:tcPr>
            <w:tcW w:w="2122" w:type="dxa"/>
          </w:tcPr>
          <w:p w14:paraId="5FF93D87" w14:textId="77777777" w:rsidR="00E007EF" w:rsidRP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Deferral of supply</w:t>
            </w:r>
          </w:p>
        </w:tc>
        <w:tc>
          <w:tcPr>
            <w:tcW w:w="8640" w:type="dxa"/>
          </w:tcPr>
          <w:p w14:paraId="77BA588E" w14:textId="387CAB52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Opposition (with a majority in the Senate) refuses to vote on the supply Bills in order to force the government to an election.</w:t>
            </w:r>
            <w:r w:rsidR="00D74F95">
              <w:rPr>
                <w:lang w:eastAsia="en-US"/>
              </w:rPr>
              <w:t xml:space="preserve"> It was easier for the Opposition to defer bills to force and election rather than to reject them. </w:t>
            </w:r>
          </w:p>
        </w:tc>
      </w:tr>
      <w:tr w:rsidR="00E007EF" w14:paraId="3FBF155A" w14:textId="77777777" w:rsidTr="00104696">
        <w:tc>
          <w:tcPr>
            <w:tcW w:w="2122" w:type="dxa"/>
          </w:tcPr>
          <w:p w14:paraId="46483E8C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Democratic Labour Party</w:t>
            </w:r>
          </w:p>
        </w:tc>
        <w:tc>
          <w:tcPr>
            <w:tcW w:w="8640" w:type="dxa"/>
          </w:tcPr>
          <w:p w14:paraId="5C9448F0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It existed between 1955 and 1978. It broke away from the Labour Party in 1955, driven by anti-Communist Catholics. It was credited with keeping Labour out of power until 1972 and was influential in the events leading up to the Constitutional Crisis of 1975.</w:t>
            </w:r>
          </w:p>
        </w:tc>
      </w:tr>
      <w:tr w:rsidR="00E007EF" w14:paraId="3AE8FD62" w14:textId="77777777" w:rsidTr="00104696">
        <w:tc>
          <w:tcPr>
            <w:tcW w:w="2122" w:type="dxa"/>
          </w:tcPr>
          <w:p w14:paraId="20A2E255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Double dissolution</w:t>
            </w:r>
          </w:p>
        </w:tc>
        <w:tc>
          <w:tcPr>
            <w:tcW w:w="8640" w:type="dxa"/>
          </w:tcPr>
          <w:p w14:paraId="23D1990B" w14:textId="03589212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Governor-General, on the advice of the Prime Minister, issues a proclamation dissolving both Houses of Parliament</w:t>
            </w:r>
            <w:r w:rsidR="00D74F95">
              <w:rPr>
                <w:lang w:eastAsia="en-US"/>
              </w:rPr>
              <w:t xml:space="preserve"> (Senate and the House of Representatives)</w:t>
            </w:r>
            <w:r>
              <w:rPr>
                <w:lang w:eastAsia="en-US"/>
              </w:rPr>
              <w:t xml:space="preserve"> at the same time and elections are held for both Houses simultaneously.</w:t>
            </w:r>
          </w:p>
        </w:tc>
      </w:tr>
      <w:tr w:rsidR="00E007EF" w14:paraId="4115C450" w14:textId="77777777" w:rsidTr="00104696">
        <w:tc>
          <w:tcPr>
            <w:tcW w:w="2122" w:type="dxa"/>
          </w:tcPr>
          <w:p w14:paraId="174D6FE5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Film history</w:t>
            </w:r>
          </w:p>
        </w:tc>
        <w:tc>
          <w:tcPr>
            <w:tcW w:w="8640" w:type="dxa"/>
          </w:tcPr>
          <w:p w14:paraId="10CA6F1F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Accounts and interpretations of the past communicated using the medium of film. This can incorporate documentaries, </w:t>
            </w:r>
            <w:proofErr w:type="spellStart"/>
            <w:r>
              <w:rPr>
                <w:lang w:eastAsia="en-US"/>
              </w:rPr>
              <w:t>docu</w:t>
            </w:r>
            <w:proofErr w:type="spellEnd"/>
            <w:r>
              <w:rPr>
                <w:lang w:eastAsia="en-US"/>
              </w:rPr>
              <w:t>-dramas, historical re-enactments and history-based narrative films.</w:t>
            </w:r>
          </w:p>
        </w:tc>
      </w:tr>
      <w:tr w:rsidR="00E007EF" w14:paraId="2C5300E0" w14:textId="77777777" w:rsidTr="00104696">
        <w:tc>
          <w:tcPr>
            <w:tcW w:w="2122" w:type="dxa"/>
          </w:tcPr>
          <w:p w14:paraId="7B1918E9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Governor-General</w:t>
            </w:r>
          </w:p>
        </w:tc>
        <w:tc>
          <w:tcPr>
            <w:tcW w:w="8640" w:type="dxa"/>
          </w:tcPr>
          <w:p w14:paraId="0CDD9969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Governor-General is the representative in Australia of the Australian monarch - currently Queen Elizabeth II. He or she is appointed by the Queen on the advice of the Prime Minister.</w:t>
            </w:r>
          </w:p>
        </w:tc>
      </w:tr>
      <w:tr w:rsidR="00E007EF" w14:paraId="2D8DE092" w14:textId="77777777" w:rsidTr="00104696">
        <w:tc>
          <w:tcPr>
            <w:tcW w:w="2122" w:type="dxa"/>
          </w:tcPr>
          <w:p w14:paraId="07555FE7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Joint sitting</w:t>
            </w:r>
          </w:p>
        </w:tc>
        <w:tc>
          <w:tcPr>
            <w:tcW w:w="8640" w:type="dxa"/>
          </w:tcPr>
          <w:p w14:paraId="714CE22E" w14:textId="2E7F407E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This follows elections being held for both the House of Representatives and the full Senate</w:t>
            </w:r>
            <w:r w:rsidR="00D74F95">
              <w:rPr>
                <w:lang w:eastAsia="en-US"/>
              </w:rPr>
              <w:t xml:space="preserve"> (a double dissolution)</w:t>
            </w:r>
            <w:r>
              <w:rPr>
                <w:lang w:eastAsia="en-US"/>
              </w:rPr>
              <w:t>. Members of both Houses sit together to deliberate on and pass proposed laws.</w:t>
            </w:r>
          </w:p>
        </w:tc>
      </w:tr>
      <w:tr w:rsidR="00E007EF" w14:paraId="60C9F7D4" w14:textId="77777777" w:rsidTr="00104696">
        <w:tc>
          <w:tcPr>
            <w:tcW w:w="2122" w:type="dxa"/>
          </w:tcPr>
          <w:p w14:paraId="36ECFD35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Medibank</w:t>
            </w:r>
          </w:p>
        </w:tc>
        <w:tc>
          <w:tcPr>
            <w:tcW w:w="8640" w:type="dxa"/>
          </w:tcPr>
          <w:p w14:paraId="3CBAAEA0" w14:textId="207202B8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It is now known as Medicare. It was introduced by</w:t>
            </w:r>
            <w:r w:rsidR="00D74F95">
              <w:rPr>
                <w:lang w:eastAsia="en-US"/>
              </w:rPr>
              <w:t xml:space="preserve"> the Whitlam government in 1975 and is a system which provides free access to hospitals and other medical services.</w:t>
            </w:r>
          </w:p>
        </w:tc>
      </w:tr>
      <w:tr w:rsidR="00E007EF" w14:paraId="3E59945B" w14:textId="77777777" w:rsidTr="00104696">
        <w:tc>
          <w:tcPr>
            <w:tcW w:w="2122" w:type="dxa"/>
          </w:tcPr>
          <w:p w14:paraId="3F3579B3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Official history</w:t>
            </w:r>
          </w:p>
        </w:tc>
        <w:tc>
          <w:tcPr>
            <w:tcW w:w="8640" w:type="dxa"/>
          </w:tcPr>
          <w:p w14:paraId="018AA145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Histories that are produced or endorsed by a group or individual who features in that history.</w:t>
            </w:r>
          </w:p>
        </w:tc>
      </w:tr>
      <w:tr w:rsidR="00E007EF" w14:paraId="7113D833" w14:textId="77777777" w:rsidTr="00104696">
        <w:tc>
          <w:tcPr>
            <w:tcW w:w="2122" w:type="dxa"/>
          </w:tcPr>
          <w:p w14:paraId="0D9D3B0F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Popular history</w:t>
            </w:r>
          </w:p>
        </w:tc>
        <w:tc>
          <w:tcPr>
            <w:tcW w:w="8640" w:type="dxa"/>
          </w:tcPr>
          <w:p w14:paraId="63EF5EC7" w14:textId="1E3956E5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Histories that are produced by writers and journalists who do not necessarily have History training. Popular histories seek first to entertain by telling compelling, personality-driven narratives about the past for a wide audience. These histories are driven by audience interest.</w:t>
            </w:r>
            <w:r w:rsidR="00D74F95">
              <w:rPr>
                <w:lang w:eastAsia="en-US"/>
              </w:rPr>
              <w:t xml:space="preserve"> It is considered non-academic history as it was written by someone with a lack of History training. </w:t>
            </w:r>
          </w:p>
        </w:tc>
      </w:tr>
      <w:tr w:rsidR="00E007EF" w14:paraId="5CE9268F" w14:textId="77777777" w:rsidTr="00104696">
        <w:tc>
          <w:tcPr>
            <w:tcW w:w="2122" w:type="dxa"/>
          </w:tcPr>
          <w:p w14:paraId="215A098D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lastRenderedPageBreak/>
              <w:t>Prorogue</w:t>
            </w:r>
          </w:p>
        </w:tc>
        <w:tc>
          <w:tcPr>
            <w:tcW w:w="8640" w:type="dxa"/>
          </w:tcPr>
          <w:p w14:paraId="162D24CA" w14:textId="3661B3E4" w:rsidR="00E007EF" w:rsidRDefault="00E007EF" w:rsidP="00D74F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It is a proclamation made by the Governor-General</w:t>
            </w:r>
            <w:r w:rsidR="00D74F95">
              <w:rPr>
                <w:lang w:eastAsia="en-US"/>
              </w:rPr>
              <w:t xml:space="preserve"> that terminates the current session of Parliament, </w:t>
            </w:r>
            <w:r>
              <w:rPr>
                <w:lang w:eastAsia="en-US"/>
              </w:rPr>
              <w:t>one or both Houses of Parliament</w:t>
            </w:r>
            <w:r w:rsidR="00D74F95">
              <w:rPr>
                <w:lang w:eastAsia="en-US"/>
              </w:rPr>
              <w:t xml:space="preserve"> without dissolving it</w:t>
            </w:r>
            <w:r>
              <w:rPr>
                <w:lang w:eastAsia="en-US"/>
              </w:rPr>
              <w:t xml:space="preserve"> to enable fresh elections.</w:t>
            </w:r>
          </w:p>
        </w:tc>
      </w:tr>
      <w:tr w:rsidR="00E007EF" w14:paraId="0D59D173" w14:textId="77777777" w:rsidTr="00104696">
        <w:tc>
          <w:tcPr>
            <w:tcW w:w="2122" w:type="dxa"/>
          </w:tcPr>
          <w:p w14:paraId="7779193B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Reserve powers</w:t>
            </w:r>
          </w:p>
        </w:tc>
        <w:tc>
          <w:tcPr>
            <w:tcW w:w="8640" w:type="dxa"/>
          </w:tcPr>
          <w:p w14:paraId="7BC9F21A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These are ‘discretionary’ powers as opposed to ‘explicit’ powers which the Governor-General has. These powers can be exercised without Ministerial advice or contrary to Ministerial advice. They include the power to appoint and dismiss a Prime Minister.</w:t>
            </w:r>
          </w:p>
        </w:tc>
      </w:tr>
      <w:tr w:rsidR="00E007EF" w14:paraId="6E67E899" w14:textId="77777777" w:rsidTr="00104696">
        <w:tc>
          <w:tcPr>
            <w:tcW w:w="2122" w:type="dxa"/>
          </w:tcPr>
          <w:p w14:paraId="49C4E1F3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Revisionist</w:t>
            </w:r>
          </w:p>
        </w:tc>
        <w:tc>
          <w:tcPr>
            <w:tcW w:w="8640" w:type="dxa"/>
          </w:tcPr>
          <w:p w14:paraId="211CF175" w14:textId="67D5666B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second wave</w:t>
            </w:r>
            <w:r w:rsidR="00D74F95">
              <w:rPr>
                <w:lang w:eastAsia="en-US"/>
              </w:rPr>
              <w:t xml:space="preserve"> (re-interpretation)</w:t>
            </w:r>
            <w:r>
              <w:rPr>
                <w:lang w:eastAsia="en-US"/>
              </w:rPr>
              <w:t xml:space="preserve"> of histories of the Kennedy Presidency, produced from the 1990s. These histories often sought to break down the classic Camelot story of his Presidency and legacy.</w:t>
            </w:r>
          </w:p>
        </w:tc>
      </w:tr>
      <w:tr w:rsidR="00E007EF" w14:paraId="6DE57611" w14:textId="77777777" w:rsidTr="00104696">
        <w:tc>
          <w:tcPr>
            <w:tcW w:w="2122" w:type="dxa"/>
          </w:tcPr>
          <w:p w14:paraId="23532048" w14:textId="77777777" w:rsidR="00E007EF" w:rsidRDefault="00E007EF" w:rsidP="00527AF4">
            <w:pPr>
              <w:pStyle w:val="IOStabletext2017"/>
              <w:rPr>
                <w:lang w:eastAsia="en-US"/>
              </w:rPr>
            </w:pPr>
            <w:r w:rsidRPr="00E007EF">
              <w:rPr>
                <w:lang w:eastAsia="en-US"/>
              </w:rPr>
              <w:t>Supply</w:t>
            </w:r>
          </w:p>
        </w:tc>
        <w:tc>
          <w:tcPr>
            <w:tcW w:w="8640" w:type="dxa"/>
          </w:tcPr>
          <w:p w14:paraId="470A36CF" w14:textId="77777777" w:rsidR="00E007EF" w:rsidRDefault="00E007EF" w:rsidP="00E007E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These are Bills (Appropriation Bills) which are required to provide the government with the money to carry out its day to day business.</w:t>
            </w:r>
          </w:p>
        </w:tc>
      </w:tr>
    </w:tbl>
    <w:p w14:paraId="16EF6656" w14:textId="77777777" w:rsidR="009862E0" w:rsidRPr="009862E0" w:rsidRDefault="009862E0" w:rsidP="00104696">
      <w:pPr>
        <w:pStyle w:val="IOSunformattedspace2017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48FB" w14:textId="77777777" w:rsidR="00547B89" w:rsidRDefault="00547B89" w:rsidP="00F247F6">
      <w:r>
        <w:separator/>
      </w:r>
    </w:p>
    <w:p w14:paraId="152FB1D5" w14:textId="77777777" w:rsidR="00547B89" w:rsidRDefault="00547B89"/>
    <w:p w14:paraId="61C5FA8A" w14:textId="77777777" w:rsidR="00547B89" w:rsidRDefault="00547B89"/>
  </w:endnote>
  <w:endnote w:type="continuationSeparator" w:id="0">
    <w:p w14:paraId="66A97D64" w14:textId="77777777" w:rsidR="00547B89" w:rsidRDefault="00547B89" w:rsidP="00F247F6">
      <w:r>
        <w:continuationSeparator/>
      </w:r>
    </w:p>
    <w:p w14:paraId="0F3C56A0" w14:textId="77777777" w:rsidR="00547B89" w:rsidRDefault="00547B89"/>
    <w:p w14:paraId="18D3F4D2" w14:textId="77777777" w:rsidR="00547B89" w:rsidRDefault="00547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4D78C" w14:textId="6A92DF2C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26FD3">
      <w:rPr>
        <w:noProof/>
      </w:rPr>
      <w:t>2</w:t>
    </w:r>
    <w:r w:rsidRPr="004E338C">
      <w:fldChar w:fldCharType="end"/>
    </w:r>
    <w:r>
      <w:tab/>
    </w:r>
    <w:r>
      <w:tab/>
    </w:r>
    <w:r w:rsidR="003457E5">
      <w:t>Glossary of Terms – Gough Whitlam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E04F" w14:textId="2067ED01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26FD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FC7F" w14:textId="77777777" w:rsidR="00547B89" w:rsidRDefault="00547B89" w:rsidP="00F247F6">
      <w:r>
        <w:separator/>
      </w:r>
    </w:p>
    <w:p w14:paraId="39D25C71" w14:textId="77777777" w:rsidR="00547B89" w:rsidRDefault="00547B89"/>
    <w:p w14:paraId="56313FC1" w14:textId="77777777" w:rsidR="00547B89" w:rsidRDefault="00547B89"/>
  </w:footnote>
  <w:footnote w:type="continuationSeparator" w:id="0">
    <w:p w14:paraId="36816209" w14:textId="77777777" w:rsidR="00547B89" w:rsidRDefault="00547B89" w:rsidP="00F247F6">
      <w:r>
        <w:continuationSeparator/>
      </w:r>
    </w:p>
    <w:p w14:paraId="1C9AD175" w14:textId="77777777" w:rsidR="00547B89" w:rsidRDefault="00547B89"/>
    <w:p w14:paraId="7A623557" w14:textId="77777777" w:rsidR="00547B89" w:rsidRDefault="00547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27AF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76D1C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C4114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4696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067E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57E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AF4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47B89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0C2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C7289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D42DE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66FC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5728C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4B5E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74F95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07EF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26FD3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664119"/>
  <w15:docId w15:val="{E2859221-AD5B-451A-8580-53B628E2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2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7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89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89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8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89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457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E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457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E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4589-F903-47C8-BA7D-075DEFC5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terms – Gough Whitlam</vt:lpstr>
    </vt:vector>
  </TitlesOfParts>
  <Manager/>
  <Company>NSW Department of Education</Company>
  <LinksUpToDate>false</LinksUpToDate>
  <CharactersWithSpaces>3849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Y12 Glossary of terms – Gough Whitlam</dc:title>
  <dc:subject/>
  <dc:creator>NSW Department of Education</dc:creator>
  <cp:keywords/>
  <dc:description/>
  <cp:lastModifiedBy>Rowena Martin</cp:lastModifiedBy>
  <cp:revision>6</cp:revision>
  <cp:lastPrinted>2017-06-14T01:28:00Z</cp:lastPrinted>
  <dcterms:created xsi:type="dcterms:W3CDTF">2017-11-03T03:28:00Z</dcterms:created>
  <dcterms:modified xsi:type="dcterms:W3CDTF">2020-09-20T23:17:00Z</dcterms:modified>
  <cp:category/>
</cp:coreProperties>
</file>