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65728">
        <w:t>‘Our Pipes’ Henry Lawson – analysis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60"/>
        <w:gridCol w:w="3138"/>
        <w:gridCol w:w="3137"/>
        <w:gridCol w:w="3130"/>
      </w:tblGrid>
      <w:tr w:rsidR="00B65728" w:rsidTr="00492A38">
        <w:trPr>
          <w:cantSplit/>
          <w:tblHeader/>
        </w:trPr>
        <w:tc>
          <w:tcPr>
            <w:tcW w:w="3131" w:type="dxa"/>
          </w:tcPr>
          <w:p w:rsidR="00B65728" w:rsidRDefault="00B65728" w:rsidP="00B65728">
            <w:pPr>
              <w:pStyle w:val="DoEtableheading2018"/>
            </w:pPr>
            <w:r>
              <w:t>Idea about language, culture, identity and individuals</w:t>
            </w:r>
          </w:p>
        </w:tc>
        <w:tc>
          <w:tcPr>
            <w:tcW w:w="3160" w:type="dxa"/>
          </w:tcPr>
          <w:p w:rsidR="00B65728" w:rsidRDefault="00B65728" w:rsidP="00B65728">
            <w:pPr>
              <w:pStyle w:val="DoEtableheading2018"/>
            </w:pPr>
            <w:r>
              <w:t>Example (quote)</w:t>
            </w:r>
          </w:p>
        </w:tc>
        <w:tc>
          <w:tcPr>
            <w:tcW w:w="3138" w:type="dxa"/>
          </w:tcPr>
          <w:p w:rsidR="00B65728" w:rsidRDefault="00B65728" w:rsidP="00B65728">
            <w:pPr>
              <w:pStyle w:val="DoEtableheading2018"/>
            </w:pPr>
            <w:r>
              <w:t>Language feature, technique and comment</w:t>
            </w:r>
          </w:p>
        </w:tc>
        <w:tc>
          <w:tcPr>
            <w:tcW w:w="3137" w:type="dxa"/>
          </w:tcPr>
          <w:p w:rsidR="00B65728" w:rsidRDefault="00B65728" w:rsidP="00B65728">
            <w:pPr>
              <w:pStyle w:val="DoEtableheading2018"/>
            </w:pPr>
            <w:r>
              <w:t>Effect and impact (your analysis)</w:t>
            </w:r>
          </w:p>
        </w:tc>
        <w:tc>
          <w:tcPr>
            <w:tcW w:w="3130" w:type="dxa"/>
          </w:tcPr>
          <w:p w:rsidR="00B65728" w:rsidRDefault="00B65728" w:rsidP="00B65728">
            <w:pPr>
              <w:pStyle w:val="DoEtableheading2018"/>
            </w:pPr>
            <w:r>
              <w:t>Affirm, ignore, challenge, reveal and disrupt</w:t>
            </w:r>
          </w:p>
        </w:tc>
      </w:tr>
      <w:tr w:rsidR="00B65728" w:rsidTr="00492A38">
        <w:tc>
          <w:tcPr>
            <w:tcW w:w="3131" w:type="dxa"/>
          </w:tcPr>
          <w:p w:rsidR="00B65728" w:rsidRDefault="00B65728" w:rsidP="00B65728">
            <w:pPr>
              <w:pStyle w:val="DoEtabletext2018"/>
            </w:pPr>
            <w:r w:rsidRPr="00B65728">
              <w:t>Australian bush landscape shapes identity</w:t>
            </w:r>
          </w:p>
        </w:tc>
        <w:tc>
          <w:tcPr>
            <w:tcW w:w="3160" w:type="dxa"/>
          </w:tcPr>
          <w:p w:rsidR="007970D2" w:rsidRDefault="007970D2" w:rsidP="00B65728">
            <w:pPr>
              <w:pStyle w:val="DoEtabletext2018"/>
            </w:pPr>
            <w:r>
              <w:t>‘</w:t>
            </w:r>
            <w:r w:rsidRPr="007970D2">
              <w:t>fringe of mulga</w:t>
            </w:r>
            <w:r>
              <w:t>’</w:t>
            </w:r>
          </w:p>
          <w:p w:rsidR="007970D2" w:rsidRDefault="007970D2" w:rsidP="00B65728">
            <w:pPr>
              <w:pStyle w:val="DoEtabletext2018"/>
            </w:pPr>
            <w:r>
              <w:t>‘timber’ proper” which is ‘</w:t>
            </w:r>
            <w:r w:rsidRPr="007970D2">
              <w:t>very thick and very dark</w:t>
            </w:r>
            <w:r>
              <w:t>’</w:t>
            </w:r>
          </w:p>
          <w:p w:rsidR="007970D2" w:rsidRDefault="007970D2" w:rsidP="00B65728">
            <w:pPr>
              <w:pStyle w:val="DoEtabletext2018"/>
            </w:pPr>
            <w:r>
              <w:t>‘</w:t>
            </w:r>
            <w:r w:rsidRPr="007970D2">
              <w:t>The moon looked like a big new copper boiler set on the edge on the horizon of the plain.</w:t>
            </w:r>
            <w:r>
              <w:t>’</w:t>
            </w:r>
          </w:p>
        </w:tc>
        <w:tc>
          <w:tcPr>
            <w:tcW w:w="3138" w:type="dxa"/>
          </w:tcPr>
          <w:p w:rsidR="007970D2" w:rsidRDefault="007970D2" w:rsidP="007970D2">
            <w:pPr>
              <w:pStyle w:val="DoEtabletext2018"/>
            </w:pPr>
            <w:r>
              <w:t>Australian botanical jargon sets context</w:t>
            </w:r>
          </w:p>
          <w:p w:rsidR="007970D2" w:rsidRDefault="007970D2" w:rsidP="007970D2">
            <w:pPr>
              <w:pStyle w:val="DoEtabletext2018"/>
            </w:pPr>
            <w:r>
              <w:t>Visual imagery creates rugged scene</w:t>
            </w:r>
          </w:p>
          <w:p w:rsidR="00B65728" w:rsidRDefault="007970D2" w:rsidP="007970D2">
            <w:pPr>
              <w:pStyle w:val="DoEtabletext2018"/>
            </w:pPr>
            <w:r>
              <w:t>Simile using Australian vernacular</w:t>
            </w:r>
          </w:p>
        </w:tc>
        <w:tc>
          <w:tcPr>
            <w:tcW w:w="3137" w:type="dxa"/>
          </w:tcPr>
          <w:p w:rsidR="00B65728" w:rsidRDefault="007970D2" w:rsidP="00B65728">
            <w:pPr>
              <w:pStyle w:val="DoEtabletext2018"/>
            </w:pPr>
            <w:r w:rsidRPr="007970D2">
              <w:t>The visual imagery creates a bleak, harsh environment where the characters come to rest at the end of the day. The effects of the swagmen’s journey still resonate into the nigh time with little relief.</w:t>
            </w:r>
          </w:p>
        </w:tc>
        <w:tc>
          <w:tcPr>
            <w:tcW w:w="3130" w:type="dxa"/>
          </w:tcPr>
          <w:p w:rsidR="00B65728" w:rsidRDefault="00B65728" w:rsidP="00B65728">
            <w:pPr>
              <w:pStyle w:val="DoEtabletext2018"/>
            </w:pPr>
          </w:p>
        </w:tc>
      </w:tr>
      <w:tr w:rsidR="00B65728" w:rsidTr="00492A38">
        <w:tc>
          <w:tcPr>
            <w:tcW w:w="3131" w:type="dxa"/>
          </w:tcPr>
          <w:p w:rsidR="00B65728" w:rsidRDefault="00B65728" w:rsidP="00B65728">
            <w:pPr>
              <w:pStyle w:val="DoEtabletext2018"/>
            </w:pPr>
            <w:r w:rsidRPr="00B65728">
              <w:t>Cultural identity of Australian ‘swagman’</w:t>
            </w:r>
          </w:p>
        </w:tc>
        <w:tc>
          <w:tcPr>
            <w:tcW w:w="3160" w:type="dxa"/>
          </w:tcPr>
          <w:p w:rsidR="007970D2" w:rsidRDefault="007970D2" w:rsidP="007970D2">
            <w:pPr>
              <w:pStyle w:val="DoEtabletext2018"/>
            </w:pPr>
            <w:r>
              <w:t>‘</w:t>
            </w:r>
            <w:r>
              <w:t>We had tramped twenty-five miles on a dry stretch on a hot day – swagmen know what that means.’</w:t>
            </w:r>
          </w:p>
          <w:p w:rsidR="007970D2" w:rsidRDefault="007970D2" w:rsidP="007970D2">
            <w:pPr>
              <w:pStyle w:val="DoEtabletext2018"/>
            </w:pPr>
            <w:r>
              <w:t>‘</w:t>
            </w:r>
            <w:r>
              <w:t>….We knew that when we sat down we wouldn’t w</w:t>
            </w:r>
            <w:r>
              <w:t>ant to get up again in a hurry…’</w:t>
            </w:r>
          </w:p>
          <w:p w:rsidR="00B65728" w:rsidRDefault="007970D2" w:rsidP="007970D2">
            <w:pPr>
              <w:pStyle w:val="DoEtabletext2018"/>
            </w:pPr>
            <w:r>
              <w:t>‘</w:t>
            </w:r>
            <w:r>
              <w:t>Swagmen will understand.</w:t>
            </w:r>
            <w:r>
              <w:t>’</w:t>
            </w:r>
          </w:p>
        </w:tc>
        <w:tc>
          <w:tcPr>
            <w:tcW w:w="3138" w:type="dxa"/>
          </w:tcPr>
          <w:p w:rsidR="007970D2" w:rsidRDefault="007970D2" w:rsidP="007970D2">
            <w:pPr>
              <w:pStyle w:val="DoEtabletext2018"/>
            </w:pPr>
            <w:r>
              <w:t>Repetition of inclusive pronoun ‘we’ throughout second paragraph</w:t>
            </w:r>
          </w:p>
          <w:p w:rsidR="00B65728" w:rsidRDefault="007970D2" w:rsidP="007970D2">
            <w:pPr>
              <w:pStyle w:val="DoEtabletext2018"/>
            </w:pPr>
            <w:r>
              <w:t>Anaphora of the ‘knowing’ swagman</w:t>
            </w:r>
          </w:p>
        </w:tc>
        <w:tc>
          <w:tcPr>
            <w:tcW w:w="3137" w:type="dxa"/>
          </w:tcPr>
          <w:p w:rsidR="00B65728" w:rsidRDefault="007970D2" w:rsidP="00B65728">
            <w:pPr>
              <w:pStyle w:val="DoEtabletext2018"/>
            </w:pPr>
            <w:r w:rsidRPr="007970D2">
              <w:t>The tone suggests to the reader they will only understand this cultural connection if they too have experienced the bush lifestyle. It creates a knowing ‘nod’ that one can only truly connect with the reality of the bush lifestyle if th</w:t>
            </w:r>
            <w:r>
              <w:t>ey have been in this situation.</w:t>
            </w:r>
          </w:p>
        </w:tc>
        <w:tc>
          <w:tcPr>
            <w:tcW w:w="3130" w:type="dxa"/>
          </w:tcPr>
          <w:p w:rsidR="00B65728" w:rsidRDefault="00B65728" w:rsidP="00B65728">
            <w:pPr>
              <w:pStyle w:val="DoEtabletext2018"/>
            </w:pPr>
          </w:p>
        </w:tc>
      </w:tr>
      <w:tr w:rsidR="00B65728" w:rsidTr="00492A38">
        <w:tc>
          <w:tcPr>
            <w:tcW w:w="3131" w:type="dxa"/>
          </w:tcPr>
          <w:p w:rsidR="00B65728" w:rsidRDefault="007970D2" w:rsidP="00B65728">
            <w:pPr>
              <w:pStyle w:val="DoEtabletext2018"/>
            </w:pPr>
            <w:r w:rsidRPr="007970D2">
              <w:t>Identity through language</w:t>
            </w:r>
          </w:p>
        </w:tc>
        <w:tc>
          <w:tcPr>
            <w:tcW w:w="3160" w:type="dxa"/>
          </w:tcPr>
          <w:p w:rsidR="007970D2" w:rsidRDefault="007970D2" w:rsidP="007970D2">
            <w:pPr>
              <w:pStyle w:val="DoEtabletext2018"/>
            </w:pPr>
            <w:r>
              <w:t>‘billy boiled’</w:t>
            </w:r>
          </w:p>
          <w:p w:rsidR="007970D2" w:rsidRDefault="007970D2" w:rsidP="007970D2">
            <w:pPr>
              <w:pStyle w:val="DoEtabletext2018"/>
            </w:pPr>
            <w:r>
              <w:t>‘</w:t>
            </w:r>
            <w:proofErr w:type="gramStart"/>
            <w:r>
              <w:t>some</w:t>
            </w:r>
            <w:proofErr w:type="gramEnd"/>
            <w:r>
              <w:t xml:space="preserve"> leaves laid down for our</w:t>
            </w:r>
            <w:r>
              <w:t xml:space="preserve"> beds and the swags rolled out.’</w:t>
            </w:r>
          </w:p>
          <w:p w:rsidR="007970D2" w:rsidRDefault="007970D2" w:rsidP="007970D2">
            <w:pPr>
              <w:pStyle w:val="DoEtabletext2018"/>
            </w:pPr>
            <w:r>
              <w:t>‘</w:t>
            </w:r>
            <w:proofErr w:type="spellStart"/>
            <w:r>
              <w:t>johnny</w:t>
            </w:r>
            <w:proofErr w:type="spellEnd"/>
            <w:r>
              <w:t>-cakes’</w:t>
            </w:r>
          </w:p>
          <w:p w:rsidR="007970D2" w:rsidRDefault="007970D2" w:rsidP="007970D2">
            <w:pPr>
              <w:pStyle w:val="DoEtabletext2018"/>
            </w:pPr>
            <w:r>
              <w:t>‘tucker-bags’</w:t>
            </w:r>
          </w:p>
          <w:p w:rsidR="00B65728" w:rsidRDefault="00B65728" w:rsidP="00B65728">
            <w:pPr>
              <w:pStyle w:val="DoEtabletext2018"/>
            </w:pPr>
          </w:p>
        </w:tc>
        <w:tc>
          <w:tcPr>
            <w:tcW w:w="3138" w:type="dxa"/>
          </w:tcPr>
          <w:p w:rsidR="00B65728" w:rsidRDefault="007970D2" w:rsidP="00B65728">
            <w:pPr>
              <w:pStyle w:val="DoEtabletext2018"/>
            </w:pPr>
            <w:r w:rsidRPr="007970D2">
              <w:t>The third paragraph is littered with Australian idioms</w:t>
            </w:r>
          </w:p>
        </w:tc>
        <w:tc>
          <w:tcPr>
            <w:tcW w:w="3137" w:type="dxa"/>
          </w:tcPr>
          <w:p w:rsidR="00B65728" w:rsidRDefault="007970D2" w:rsidP="00B65728">
            <w:pPr>
              <w:pStyle w:val="DoEtabletext2018"/>
            </w:pPr>
            <w:r w:rsidRPr="007970D2">
              <w:t>Understanding what each term means helps strengthen the imagery of the Australian bush lifestyle, in particular the swagman’s experience.</w:t>
            </w:r>
          </w:p>
        </w:tc>
        <w:tc>
          <w:tcPr>
            <w:tcW w:w="3130" w:type="dxa"/>
          </w:tcPr>
          <w:p w:rsidR="00B65728" w:rsidRDefault="00B65728" w:rsidP="00B65728">
            <w:pPr>
              <w:pStyle w:val="DoEtabletext2018"/>
            </w:pPr>
          </w:p>
        </w:tc>
      </w:tr>
      <w:tr w:rsidR="007970D2" w:rsidTr="00492A38">
        <w:tc>
          <w:tcPr>
            <w:tcW w:w="3131" w:type="dxa"/>
          </w:tcPr>
          <w:p w:rsidR="007970D2" w:rsidRPr="007970D2" w:rsidRDefault="007970D2" w:rsidP="00B65728">
            <w:pPr>
              <w:pStyle w:val="DoEtabletext2018"/>
            </w:pPr>
            <w:r w:rsidRPr="007970D2">
              <w:lastRenderedPageBreak/>
              <w:t>Individual relationships – the masculine identity</w:t>
            </w:r>
          </w:p>
        </w:tc>
        <w:tc>
          <w:tcPr>
            <w:tcW w:w="3160" w:type="dxa"/>
          </w:tcPr>
          <w:p w:rsidR="007970D2" w:rsidRDefault="007970D2" w:rsidP="004F30E5">
            <w:pPr>
              <w:pStyle w:val="DoEtabletext2018"/>
              <w:spacing w:after="360"/>
            </w:pPr>
            <w:r>
              <w:t>“</w:t>
            </w:r>
            <w:r>
              <w:t xml:space="preserve">…our leg sinews, especially those of our calves, would ‘draw’ like </w:t>
            </w:r>
            <w:proofErr w:type="spellStart"/>
            <w:r>
              <w:t>redhot</w:t>
            </w:r>
            <w:proofErr w:type="spellEnd"/>
            <w:r>
              <w:t xml:space="preserve"> wires.”</w:t>
            </w:r>
          </w:p>
          <w:p w:rsidR="007970D2" w:rsidRDefault="007970D2" w:rsidP="004F30E5">
            <w:pPr>
              <w:pStyle w:val="DoEtabletext2018"/>
              <w:spacing w:after="360"/>
            </w:pPr>
            <w:r>
              <w:t>‘</w:t>
            </w:r>
            <w:r>
              <w:t>We gave our calves time to tone down a bit; then we lit up and began to answer each other. It</w:t>
            </w:r>
            <w:r>
              <w:t xml:space="preserve"> got to be pretty comfortable</w:t>
            </w:r>
            <w:proofErr w:type="gramStart"/>
            <w:r>
              <w:t>..’</w:t>
            </w:r>
            <w:proofErr w:type="gramEnd"/>
          </w:p>
          <w:p w:rsidR="007970D2" w:rsidRDefault="007970D2" w:rsidP="004F30E5">
            <w:pPr>
              <w:pStyle w:val="DoEtabletext2018"/>
              <w:spacing w:after="360"/>
            </w:pPr>
            <w:r>
              <w:t>‘</w:t>
            </w:r>
            <w:r>
              <w:t>We cursed society because we weren’t ric</w:t>
            </w:r>
            <w:r>
              <w:t>h men, and then we felt better’</w:t>
            </w:r>
          </w:p>
          <w:p w:rsidR="007970D2" w:rsidRDefault="007970D2" w:rsidP="007970D2">
            <w:pPr>
              <w:pStyle w:val="DoEtabletext2018"/>
            </w:pPr>
            <w:r>
              <w:t>‘</w:t>
            </w:r>
            <w:r>
              <w:t>…convers</w:t>
            </w:r>
            <w:r>
              <w:t>ation…ended in that of smoking.’</w:t>
            </w:r>
          </w:p>
          <w:p w:rsidR="007970D2" w:rsidRDefault="007970D2" w:rsidP="007970D2">
            <w:pPr>
              <w:pStyle w:val="DoEtabletext2018"/>
            </w:pPr>
            <w:r>
              <w:t>‘He reflected’</w:t>
            </w:r>
          </w:p>
        </w:tc>
        <w:tc>
          <w:tcPr>
            <w:tcW w:w="3138" w:type="dxa"/>
          </w:tcPr>
          <w:p w:rsidR="007970D2" w:rsidRDefault="007970D2" w:rsidP="004F30E5">
            <w:pPr>
              <w:pStyle w:val="DoEtabletext2018"/>
              <w:spacing w:after="960"/>
            </w:pPr>
            <w:r>
              <w:t>Simile and inclusive pronoun</w:t>
            </w:r>
          </w:p>
          <w:p w:rsidR="007970D2" w:rsidRDefault="007970D2" w:rsidP="004F30E5">
            <w:pPr>
              <w:pStyle w:val="DoEtabletext2018"/>
              <w:spacing w:after="840"/>
            </w:pPr>
            <w:r>
              <w:t xml:space="preserve">Inference of time passing before communicating. </w:t>
            </w:r>
          </w:p>
          <w:p w:rsidR="00A16497" w:rsidRDefault="007970D2" w:rsidP="00A16497">
            <w:pPr>
              <w:pStyle w:val="DoEtabletext2018"/>
              <w:spacing w:after="0"/>
            </w:pPr>
            <w:r>
              <w:t>Inclusive pronoun ‘we’</w:t>
            </w:r>
          </w:p>
          <w:p w:rsidR="007970D2" w:rsidRDefault="007970D2" w:rsidP="00A16497">
            <w:pPr>
              <w:pStyle w:val="DoEtabletext2018"/>
              <w:spacing w:after="360"/>
            </w:pPr>
            <w:r>
              <w:t>Cynical tone towards a society</w:t>
            </w:r>
            <w:r w:rsidR="00A16497">
              <w:t xml:space="preserve"> that shuns the poor ‘bush man’</w:t>
            </w:r>
          </w:p>
          <w:p w:rsidR="007970D2" w:rsidRPr="007970D2" w:rsidRDefault="007970D2" w:rsidP="007970D2">
            <w:pPr>
              <w:pStyle w:val="DoEtabletext2018"/>
            </w:pPr>
            <w:r>
              <w:t>Anaphora heightens his longing for past connections</w:t>
            </w:r>
          </w:p>
        </w:tc>
        <w:tc>
          <w:tcPr>
            <w:tcW w:w="3137" w:type="dxa"/>
          </w:tcPr>
          <w:p w:rsidR="00B67193" w:rsidRDefault="00B67193" w:rsidP="004F30E5">
            <w:pPr>
              <w:pStyle w:val="DoEtabletext2018"/>
              <w:spacing w:after="720"/>
            </w:pPr>
            <w:r>
              <w:t>Shared experience of pain and suffering</w:t>
            </w:r>
          </w:p>
          <w:p w:rsidR="00B67193" w:rsidRDefault="00B67193" w:rsidP="00B67193">
            <w:pPr>
              <w:pStyle w:val="DoEtabletext2018"/>
            </w:pPr>
            <w:r>
              <w:t>Implication that men need time before they can share in conversation. Reinforcing masculinity stereotype of little show of emotion</w:t>
            </w:r>
          </w:p>
          <w:p w:rsidR="00B67193" w:rsidRDefault="00B67193" w:rsidP="004F30E5">
            <w:pPr>
              <w:pStyle w:val="DoEtabletext2018"/>
              <w:spacing w:after="240"/>
            </w:pPr>
            <w:r>
              <w:t>Creates feeling of solitude for the individual placed in this situation</w:t>
            </w:r>
          </w:p>
          <w:p w:rsidR="007970D2" w:rsidRPr="007970D2" w:rsidRDefault="00B67193" w:rsidP="00B67193">
            <w:pPr>
              <w:pStyle w:val="DoEtabletext2018"/>
            </w:pPr>
            <w:r>
              <w:t>The continual reflection of a life long ago symbolises the changing world</w:t>
            </w:r>
          </w:p>
        </w:tc>
        <w:tc>
          <w:tcPr>
            <w:tcW w:w="3130" w:type="dxa"/>
          </w:tcPr>
          <w:p w:rsidR="007970D2" w:rsidRDefault="007970D2" w:rsidP="00B65728">
            <w:pPr>
              <w:pStyle w:val="DoEtabletext2018"/>
            </w:pPr>
          </w:p>
        </w:tc>
      </w:tr>
      <w:tr w:rsidR="007970D2" w:rsidTr="00492A38">
        <w:tc>
          <w:tcPr>
            <w:tcW w:w="3131" w:type="dxa"/>
          </w:tcPr>
          <w:p w:rsidR="007970D2" w:rsidRPr="007970D2" w:rsidRDefault="00D36E0A" w:rsidP="00B65728">
            <w:pPr>
              <w:pStyle w:val="DoEtabletext2018"/>
            </w:pPr>
            <w:r w:rsidRPr="00D36E0A">
              <w:t>Individual relationships – the feminine Identity</w:t>
            </w:r>
          </w:p>
        </w:tc>
        <w:tc>
          <w:tcPr>
            <w:tcW w:w="3160" w:type="dxa"/>
          </w:tcPr>
          <w:p w:rsidR="00D36E0A" w:rsidRDefault="00D36E0A" w:rsidP="00D36E0A">
            <w:pPr>
              <w:pStyle w:val="DoEtabletext2018"/>
              <w:spacing w:after="360"/>
            </w:pPr>
            <w:r>
              <w:t>‘Mother was at work out in the kitchen at the back, washing up the tea-things</w:t>
            </w:r>
            <w:proofErr w:type="gramStart"/>
            <w:r>
              <w:t>..’</w:t>
            </w:r>
            <w:proofErr w:type="gramEnd"/>
          </w:p>
          <w:p w:rsidR="007970D2" w:rsidRDefault="00D36E0A" w:rsidP="00D36E0A">
            <w:pPr>
              <w:pStyle w:val="DoEtabletext2018"/>
              <w:spacing w:after="360"/>
            </w:pPr>
            <w:r>
              <w:t>‘You’ve been smoking!’</w:t>
            </w:r>
          </w:p>
          <w:p w:rsidR="00D36E0A" w:rsidRDefault="00D36E0A" w:rsidP="00D36E0A">
            <w:pPr>
              <w:pStyle w:val="DoEtabletext2018"/>
            </w:pPr>
            <w:r>
              <w:t>‘Give me that pipe!’</w:t>
            </w:r>
            <w:r>
              <w:t xml:space="preserve"> she</w:t>
            </w:r>
            <w:r>
              <w:t xml:space="preserve"> said. I said I hadn’t got it. ‘Give – me – that – pipe!’</w:t>
            </w:r>
            <w:r>
              <w:t xml:space="preserve"> she said.’</w:t>
            </w:r>
          </w:p>
          <w:p w:rsidR="00D36E0A" w:rsidRDefault="00D36E0A" w:rsidP="00D36E0A">
            <w:pPr>
              <w:pStyle w:val="DoEtabletext2018"/>
            </w:pPr>
            <w:r>
              <w:t>‘</w:t>
            </w:r>
            <w:r>
              <w:t>I was having a smoke o</w:t>
            </w:r>
            <w:r>
              <w:t>utback when I heard her coming.’</w:t>
            </w:r>
          </w:p>
          <w:p w:rsidR="00D36E0A" w:rsidRDefault="00D36E0A" w:rsidP="00D36E0A">
            <w:pPr>
              <w:pStyle w:val="DoEtabletext2018"/>
            </w:pPr>
            <w:r>
              <w:t>‘</w:t>
            </w:r>
            <w:r>
              <w:t xml:space="preserve">I got out of her way quick, for </w:t>
            </w:r>
            <w:r>
              <w:t>I hadn’t time to look innocent…’</w:t>
            </w:r>
          </w:p>
          <w:p w:rsidR="00D36E0A" w:rsidRDefault="00D36E0A" w:rsidP="00D36E0A">
            <w:pPr>
              <w:pStyle w:val="DoEtabletext2018"/>
            </w:pPr>
            <w:r>
              <w:lastRenderedPageBreak/>
              <w:t>“…she got a whiff of it.”</w:t>
            </w:r>
          </w:p>
          <w:p w:rsidR="00D36E0A" w:rsidRDefault="00D36E0A" w:rsidP="00D36E0A">
            <w:pPr>
              <w:pStyle w:val="DoEtabletext2018"/>
            </w:pPr>
            <w:r>
              <w:t>‘</w:t>
            </w:r>
            <w:r>
              <w:t>She went s</w:t>
            </w:r>
            <w:r>
              <w:t>niffing round…’</w:t>
            </w:r>
          </w:p>
          <w:p w:rsidR="00D36E0A" w:rsidRDefault="00D36E0A" w:rsidP="00D36E0A">
            <w:pPr>
              <w:pStyle w:val="DoEtabletext2018"/>
            </w:pPr>
            <w:r>
              <w:t>‘She got the scent…’</w:t>
            </w:r>
          </w:p>
          <w:p w:rsidR="00D36E0A" w:rsidRDefault="00D36E0A" w:rsidP="007970D2">
            <w:pPr>
              <w:pStyle w:val="DoEtabletext2018"/>
            </w:pPr>
            <w:r>
              <w:t>‘</w:t>
            </w:r>
            <w:r>
              <w:t>…he was sort of pensioned off by mother and she kept him</w:t>
            </w:r>
            <w:r>
              <w:t xml:space="preserve"> pretty well inside his income.’</w:t>
            </w:r>
          </w:p>
        </w:tc>
        <w:tc>
          <w:tcPr>
            <w:tcW w:w="3138" w:type="dxa"/>
          </w:tcPr>
          <w:p w:rsidR="00D36E0A" w:rsidRDefault="00D36E0A" w:rsidP="00D36E0A">
            <w:pPr>
              <w:pStyle w:val="DoEtabletext2018"/>
            </w:pPr>
            <w:r>
              <w:lastRenderedPageBreak/>
              <w:t>Positional representation first female character is away from main action partaking in stereotypical feminine duties</w:t>
            </w:r>
          </w:p>
          <w:p w:rsidR="007970D2" w:rsidRDefault="00D36E0A" w:rsidP="00D36E0A">
            <w:pPr>
              <w:pStyle w:val="DoEtabletext2018"/>
              <w:spacing w:after="360"/>
            </w:pPr>
            <w:r>
              <w:t>Accusatory tone</w:t>
            </w:r>
          </w:p>
          <w:p w:rsidR="00D36E0A" w:rsidRDefault="00D36E0A" w:rsidP="00D36E0A">
            <w:pPr>
              <w:pStyle w:val="DoEtabletext2018"/>
            </w:pPr>
            <w:r>
              <w:t xml:space="preserve">Heated exchanged conveyed through </w:t>
            </w:r>
            <w:proofErr w:type="spellStart"/>
            <w:r>
              <w:t>em</w:t>
            </w:r>
            <w:proofErr w:type="spellEnd"/>
            <w:r>
              <w:t xml:space="preserve"> dash, italics and punctuation</w:t>
            </w:r>
          </w:p>
          <w:p w:rsidR="00D36E0A" w:rsidRDefault="00D36E0A" w:rsidP="00D36E0A">
            <w:pPr>
              <w:pStyle w:val="DoEtabletext2018"/>
            </w:pPr>
            <w:r>
              <w:t>First person perspective</w:t>
            </w:r>
          </w:p>
          <w:p w:rsidR="00D36E0A" w:rsidRDefault="00D36E0A" w:rsidP="00D36E0A">
            <w:pPr>
              <w:pStyle w:val="DoEtabletext2018"/>
              <w:spacing w:after="600"/>
            </w:pPr>
            <w:r>
              <w:t>Suspense</w:t>
            </w:r>
          </w:p>
          <w:p w:rsidR="00D36E0A" w:rsidRDefault="00D36E0A" w:rsidP="00D36E0A">
            <w:pPr>
              <w:pStyle w:val="DoEtabletext2018"/>
            </w:pPr>
            <w:r>
              <w:lastRenderedPageBreak/>
              <w:t>Olfactory imagery</w:t>
            </w:r>
          </w:p>
          <w:p w:rsidR="00D36E0A" w:rsidRDefault="00D36E0A" w:rsidP="00D36E0A">
            <w:pPr>
              <w:pStyle w:val="DoEtabletext2018"/>
              <w:spacing w:after="120"/>
            </w:pPr>
            <w:r>
              <w:t>Likens character to a bloodhound for comic affect</w:t>
            </w:r>
          </w:p>
          <w:p w:rsidR="00D36E0A" w:rsidRPr="007970D2" w:rsidRDefault="00D36E0A" w:rsidP="00D36E0A">
            <w:pPr>
              <w:pStyle w:val="DoEtabletext2018"/>
            </w:pPr>
            <w:r>
              <w:t>Colloquial language and euphemism</w:t>
            </w:r>
          </w:p>
        </w:tc>
        <w:tc>
          <w:tcPr>
            <w:tcW w:w="3137" w:type="dxa"/>
          </w:tcPr>
          <w:p w:rsidR="00D36E0A" w:rsidRDefault="00D36E0A" w:rsidP="00D36E0A">
            <w:pPr>
              <w:pStyle w:val="DoEtabletext2018"/>
            </w:pPr>
            <w:r>
              <w:lastRenderedPageBreak/>
              <w:t xml:space="preserve">Female voice represented in a periphery position suggests their role is removed from masculine activity. </w:t>
            </w:r>
          </w:p>
          <w:p w:rsidR="007970D2" w:rsidRDefault="00D36E0A" w:rsidP="00D36E0A">
            <w:pPr>
              <w:pStyle w:val="DoEtabletext2018"/>
            </w:pPr>
            <w:r>
              <w:t>Female voice is one of authority and control.</w:t>
            </w:r>
          </w:p>
          <w:p w:rsidR="00D36E0A" w:rsidRDefault="00D36E0A" w:rsidP="00D36E0A">
            <w:pPr>
              <w:pStyle w:val="DoEtabletext2018"/>
            </w:pPr>
            <w:r>
              <w:t>Forceful demand and angry tone convey feminine voice as the enforcer of the rules.</w:t>
            </w:r>
          </w:p>
          <w:p w:rsidR="00D36E0A" w:rsidRDefault="00D36E0A" w:rsidP="00D36E0A">
            <w:pPr>
              <w:pStyle w:val="DoEtabletext2018"/>
            </w:pPr>
            <w:r>
              <w:t>A man’s response to the matriarch is to fear their reprimand, deceive and/or avoid them</w:t>
            </w:r>
          </w:p>
          <w:p w:rsidR="00D36E0A" w:rsidRDefault="00D36E0A" w:rsidP="00D36E0A">
            <w:pPr>
              <w:pStyle w:val="DoEtabletext2018"/>
            </w:pPr>
          </w:p>
          <w:p w:rsidR="00D36E0A" w:rsidRDefault="00D36E0A" w:rsidP="00D36E0A">
            <w:pPr>
              <w:pStyle w:val="DoEtabletext2018"/>
            </w:pPr>
            <w:r>
              <w:t>The determination to reprimand the son provides a lack of understanding for the pleasure such an activity provides. Gender roles are divided as there is a lack of understanding. The mother’s reaction to the son’s smoking habit is one of disgust whereas the male finds pleasure in partaking in the forbidden</w:t>
            </w:r>
          </w:p>
          <w:p w:rsidR="00D36E0A" w:rsidRPr="007970D2" w:rsidRDefault="00D36E0A" w:rsidP="00D36E0A">
            <w:pPr>
              <w:pStyle w:val="DoEtabletext2018"/>
            </w:pPr>
            <w:r>
              <w:t>Matriarch dominates financial affairs of the family, likens to the stereotype of tightly controlling income.</w:t>
            </w:r>
          </w:p>
        </w:tc>
        <w:tc>
          <w:tcPr>
            <w:tcW w:w="3130" w:type="dxa"/>
          </w:tcPr>
          <w:p w:rsidR="007970D2" w:rsidRDefault="007970D2" w:rsidP="00B65728">
            <w:pPr>
              <w:pStyle w:val="DoEtabletext2018"/>
            </w:pPr>
          </w:p>
        </w:tc>
      </w:tr>
      <w:tr w:rsidR="007970D2" w:rsidTr="00492A38">
        <w:tc>
          <w:tcPr>
            <w:tcW w:w="3131" w:type="dxa"/>
          </w:tcPr>
          <w:p w:rsidR="007970D2" w:rsidRPr="007970D2" w:rsidRDefault="00492A38" w:rsidP="00B65728">
            <w:pPr>
              <w:pStyle w:val="DoEtabletext2018"/>
            </w:pPr>
            <w:r w:rsidRPr="00492A38">
              <w:t>Cultural context of smoking</w:t>
            </w:r>
          </w:p>
        </w:tc>
        <w:tc>
          <w:tcPr>
            <w:tcW w:w="3160" w:type="dxa"/>
          </w:tcPr>
          <w:p w:rsidR="00492A38" w:rsidRDefault="00492A38" w:rsidP="00492A38">
            <w:pPr>
              <w:pStyle w:val="DoEtabletext2018"/>
            </w:pPr>
            <w:r>
              <w:t>‘</w:t>
            </w:r>
            <w:r>
              <w:t xml:space="preserve">We gave our calves time to tone down a bit; then we lit up </w:t>
            </w:r>
            <w:r>
              <w:t>and began to answer each other.’</w:t>
            </w:r>
          </w:p>
          <w:p w:rsidR="00492A38" w:rsidRDefault="00492A38" w:rsidP="00492A38">
            <w:pPr>
              <w:pStyle w:val="DoEtabletext2018"/>
            </w:pPr>
            <w:r>
              <w:t>‘</w:t>
            </w:r>
            <w:r>
              <w:t>I started smoking first when I was about fourteen or fifteen’</w:t>
            </w:r>
          </w:p>
          <w:p w:rsidR="00492A38" w:rsidRDefault="00492A38" w:rsidP="00492A38">
            <w:pPr>
              <w:pStyle w:val="DoEtabletext2018"/>
            </w:pPr>
            <w:r>
              <w:t>‘clay pipe and nigger-head tobacco’</w:t>
            </w:r>
          </w:p>
          <w:p w:rsidR="00492A38" w:rsidRDefault="00492A38" w:rsidP="00492A38">
            <w:pPr>
              <w:pStyle w:val="DoEtabletext2018"/>
            </w:pPr>
            <w:r>
              <w:t>‘such great admiration for Jim’</w:t>
            </w:r>
          </w:p>
          <w:p w:rsidR="00492A38" w:rsidRDefault="00492A38" w:rsidP="00492A38">
            <w:pPr>
              <w:pStyle w:val="DoEtabletext2018"/>
            </w:pPr>
            <w:r>
              <w:t>‘</w:t>
            </w:r>
            <w:r>
              <w:t>And what did your old man do when he f</w:t>
            </w:r>
            <w:r>
              <w:t>ound out that you were smoking?’</w:t>
            </w:r>
          </w:p>
          <w:p w:rsidR="00492A38" w:rsidRDefault="00492A38" w:rsidP="00492A38">
            <w:pPr>
              <w:pStyle w:val="DoEtabletext2018"/>
            </w:pPr>
            <w:r>
              <w:t>‘</w:t>
            </w:r>
            <w:r>
              <w:t>…he seemed to sort of brighten up – liven up – when h</w:t>
            </w:r>
            <w:r>
              <w:t>e found out that I was smoking.</w:t>
            </w:r>
          </w:p>
          <w:p w:rsidR="007970D2" w:rsidRDefault="00492A38" w:rsidP="00492A38">
            <w:pPr>
              <w:pStyle w:val="DoEtabletext2018"/>
            </w:pPr>
            <w:r>
              <w:lastRenderedPageBreak/>
              <w:t>‘</w:t>
            </w:r>
            <w:r>
              <w:t>Ah! Many a solemn, thoughtful old smoke we had together on the quiet – the old man and me.</w:t>
            </w:r>
            <w:r>
              <w:t>’</w:t>
            </w:r>
          </w:p>
        </w:tc>
        <w:tc>
          <w:tcPr>
            <w:tcW w:w="3138" w:type="dxa"/>
          </w:tcPr>
          <w:p w:rsidR="00492A38" w:rsidRDefault="00492A38" w:rsidP="00492A38">
            <w:pPr>
              <w:pStyle w:val="DoEtabletext2018"/>
            </w:pPr>
            <w:r>
              <w:lastRenderedPageBreak/>
              <w:t>Colloquial expression for smoking also a pun</w:t>
            </w:r>
          </w:p>
          <w:p w:rsidR="00492A38" w:rsidRDefault="00492A38" w:rsidP="00492A38">
            <w:pPr>
              <w:pStyle w:val="DoEtabletext2018"/>
            </w:pPr>
            <w:r>
              <w:t>Personal anecdote</w:t>
            </w:r>
          </w:p>
          <w:p w:rsidR="00492A38" w:rsidRDefault="00492A38" w:rsidP="00492A38">
            <w:pPr>
              <w:pStyle w:val="DoEtabletext2018"/>
            </w:pPr>
            <w:r>
              <w:t>Visual imagery of his first pipe</w:t>
            </w:r>
          </w:p>
          <w:p w:rsidR="00492A38" w:rsidRDefault="00492A38" w:rsidP="00492A38">
            <w:pPr>
              <w:pStyle w:val="DoEtabletext2018"/>
            </w:pPr>
            <w:r>
              <w:t>Positive emotive language</w:t>
            </w:r>
          </w:p>
          <w:p w:rsidR="00492A38" w:rsidRDefault="00492A38" w:rsidP="00492A38">
            <w:pPr>
              <w:pStyle w:val="DoEtabletext2018"/>
            </w:pPr>
            <w:r>
              <w:t>Colloquial expression for parents</w:t>
            </w:r>
          </w:p>
          <w:p w:rsidR="00492A38" w:rsidRDefault="00492A38" w:rsidP="00492A38">
            <w:pPr>
              <w:pStyle w:val="DoEtabletext2018"/>
            </w:pPr>
            <w:r>
              <w:t>Positive emotive language</w:t>
            </w:r>
          </w:p>
          <w:p w:rsidR="00492A38" w:rsidRDefault="00492A38" w:rsidP="00492A38">
            <w:pPr>
              <w:pStyle w:val="DoEtabletext2018"/>
            </w:pPr>
            <w:r>
              <w:t>Colloquial language</w:t>
            </w:r>
          </w:p>
          <w:p w:rsidR="007970D2" w:rsidRPr="007970D2" w:rsidRDefault="00492A38" w:rsidP="00492A38">
            <w:pPr>
              <w:pStyle w:val="DoEtabletext2018"/>
            </w:pPr>
            <w:proofErr w:type="spellStart"/>
            <w:r>
              <w:t>em</w:t>
            </w:r>
            <w:proofErr w:type="spellEnd"/>
            <w:r>
              <w:t xml:space="preserve"> dash and punctuation for emphasis of the fondness of the memory</w:t>
            </w:r>
          </w:p>
        </w:tc>
        <w:tc>
          <w:tcPr>
            <w:tcW w:w="3137" w:type="dxa"/>
          </w:tcPr>
          <w:p w:rsidR="00492A38" w:rsidRDefault="00492A38" w:rsidP="00492A38">
            <w:pPr>
              <w:pStyle w:val="DoEtabletext2018"/>
            </w:pPr>
            <w:r>
              <w:t xml:space="preserve">The act of smoking provides a common activity for the men to share, relax and unwind </w:t>
            </w:r>
          </w:p>
          <w:p w:rsidR="00492A38" w:rsidRDefault="00492A38" w:rsidP="00492A38">
            <w:pPr>
              <w:pStyle w:val="DoEtabletext2018"/>
            </w:pPr>
            <w:r>
              <w:t>Long engrained in personal context</w:t>
            </w:r>
          </w:p>
          <w:p w:rsidR="00492A38" w:rsidRDefault="00492A38" w:rsidP="00492A38">
            <w:pPr>
              <w:pStyle w:val="DoEtabletext2018"/>
            </w:pPr>
            <w:r>
              <w:t>Creates connotation of a special experience in his youth – a coming of age ritual</w:t>
            </w:r>
          </w:p>
          <w:p w:rsidR="00492A38" w:rsidRDefault="00492A38" w:rsidP="00492A38">
            <w:pPr>
              <w:pStyle w:val="DoEtabletext2018"/>
            </w:pPr>
            <w:r>
              <w:t>Idolising adults who engage in the activities we long to partake in – sense of worth, growing up, maturing</w:t>
            </w:r>
          </w:p>
          <w:p w:rsidR="00492A38" w:rsidRDefault="00492A38" w:rsidP="00492A38">
            <w:pPr>
              <w:pStyle w:val="DoEtabletext2018"/>
            </w:pPr>
            <w:r>
              <w:t xml:space="preserve">The ritual of smoking is one of collaborating – the male </w:t>
            </w:r>
            <w:r>
              <w:lastRenderedPageBreak/>
              <w:t xml:space="preserve">characters use this activity to connect </w:t>
            </w:r>
          </w:p>
          <w:p w:rsidR="007970D2" w:rsidRPr="007970D2" w:rsidRDefault="00492A38" w:rsidP="00492A38">
            <w:pPr>
              <w:pStyle w:val="DoEtabletext2018"/>
            </w:pPr>
            <w:r>
              <w:t>Spiritual, almost sacred connection between father and son – implication of ‘men’s business’</w:t>
            </w:r>
          </w:p>
        </w:tc>
        <w:tc>
          <w:tcPr>
            <w:tcW w:w="3130" w:type="dxa"/>
          </w:tcPr>
          <w:p w:rsidR="007970D2" w:rsidRDefault="007970D2" w:rsidP="00B65728">
            <w:pPr>
              <w:pStyle w:val="DoEtabletext2018"/>
            </w:pPr>
          </w:p>
        </w:tc>
      </w:tr>
    </w:tbl>
    <w:p w:rsidR="00147F57" w:rsidRPr="0084745C" w:rsidRDefault="00147F57" w:rsidP="00C01E03">
      <w:pPr>
        <w:pStyle w:val="DoEbodytext2018"/>
        <w:rPr>
          <w:lang w:eastAsia="en-US"/>
        </w:rPr>
      </w:pPr>
    </w:p>
    <w:sectPr w:rsidR="00147F57" w:rsidRPr="0084745C" w:rsidSect="00A13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28" w:rsidRDefault="00B65728" w:rsidP="00F247F6">
      <w:r>
        <w:separator/>
      </w:r>
    </w:p>
    <w:p w:rsidR="00B65728" w:rsidRDefault="00B65728"/>
    <w:p w:rsidR="00B65728" w:rsidRDefault="00B65728"/>
    <w:p w:rsidR="00B65728" w:rsidRDefault="00B65728"/>
  </w:endnote>
  <w:endnote w:type="continuationSeparator" w:id="0">
    <w:p w:rsidR="00B65728" w:rsidRDefault="00B65728" w:rsidP="00F247F6">
      <w:r>
        <w:continuationSeparator/>
      </w:r>
    </w:p>
    <w:p w:rsidR="00B65728" w:rsidRDefault="00B65728"/>
    <w:p w:rsidR="00B65728" w:rsidRDefault="00B65728"/>
    <w:p w:rsidR="00B65728" w:rsidRDefault="00B65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6958">
      <w:rPr>
        <w:noProof/>
      </w:rPr>
      <w:t>2</w:t>
    </w:r>
    <w:r w:rsidRPr="004E338C">
      <w:fldChar w:fldCharType="end"/>
    </w:r>
    <w:r>
      <w:tab/>
    </w:r>
    <w:r>
      <w:tab/>
    </w:r>
    <w:r w:rsidR="00492A38">
      <w:t>‘Our Pipes’ Henry Lawson – analysis 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492A38">
      <w:t xml:space="preserve">November </w:t>
    </w:r>
    <w:r w:rsidR="00492A38">
      <w:t>2018</w:t>
    </w:r>
    <w:bookmarkStart w:id="0" w:name="_GoBack"/>
    <w:bookmarkEnd w:id="0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6958">
      <w:rPr>
        <w:noProof/>
      </w:rPr>
      <w:t>3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38" w:rsidRDefault="00492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28" w:rsidRDefault="00B65728" w:rsidP="00F247F6">
      <w:r>
        <w:separator/>
      </w:r>
    </w:p>
    <w:p w:rsidR="00B65728" w:rsidRDefault="00B65728"/>
    <w:p w:rsidR="00B65728" w:rsidRDefault="00B65728"/>
    <w:p w:rsidR="00B65728" w:rsidRDefault="00B65728"/>
  </w:footnote>
  <w:footnote w:type="continuationSeparator" w:id="0">
    <w:p w:rsidR="00B65728" w:rsidRDefault="00B65728" w:rsidP="00F247F6">
      <w:r>
        <w:continuationSeparator/>
      </w:r>
    </w:p>
    <w:p w:rsidR="00B65728" w:rsidRDefault="00B65728"/>
    <w:p w:rsidR="00B65728" w:rsidRDefault="00B65728"/>
    <w:p w:rsidR="00B65728" w:rsidRDefault="00B65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38" w:rsidRDefault="00492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38" w:rsidRDefault="00492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38" w:rsidRDefault="00492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28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A38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0E5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970D2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497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5728"/>
    <w:rsid w:val="00B6633C"/>
    <w:rsid w:val="00B67193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36E0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A6958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C2817A53-FC43-46A0-A413-3B8BB1A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B6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A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A3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92A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A3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8BCE-D002-4724-B501-44F0116B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26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5499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9b</dc:title>
  <dc:subject/>
  <dc:creator>Michiko Ishiguro</dc:creator>
  <cp:keywords/>
  <dc:description/>
  <cp:lastModifiedBy>Michiko Ishiguro</cp:lastModifiedBy>
  <cp:revision>7</cp:revision>
  <cp:lastPrinted>2017-12-18T23:04:00Z</cp:lastPrinted>
  <dcterms:created xsi:type="dcterms:W3CDTF">2018-11-26T03:58:00Z</dcterms:created>
  <dcterms:modified xsi:type="dcterms:W3CDTF">2018-11-26T04:31:00Z</dcterms:modified>
  <cp:category/>
</cp:coreProperties>
</file>