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4F534" w14:textId="77777777" w:rsidR="000B414C" w:rsidRDefault="001C0131" w:rsidP="00840A44">
      <w:pPr>
        <w:pStyle w:val="DoEdocumenttitle2018"/>
      </w:pPr>
      <w:r>
        <w:rPr>
          <w:noProof/>
          <w:lang w:eastAsia="en-AU"/>
        </w:rPr>
        <w:drawing>
          <wp:inline distT="0" distB="0" distL="0" distR="0" wp14:anchorId="30B3114A" wp14:editId="60AB2417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354F8C">
        <w:t>Sample examination materials</w:t>
      </w:r>
    </w:p>
    <w:p w14:paraId="6B0F8C2D" w14:textId="77777777" w:rsidR="00354F8C" w:rsidRDefault="00354F8C" w:rsidP="00354F8C">
      <w:pPr>
        <w:pStyle w:val="DoEheading22018"/>
      </w:pPr>
      <w:r>
        <w:t>English as an additional language or dialect (EAL/D) – paper 1</w:t>
      </w:r>
    </w:p>
    <w:p w14:paraId="4E8194B4" w14:textId="77777777" w:rsidR="00CF0EA8" w:rsidRDefault="00354F8C" w:rsidP="00354F8C">
      <w:pPr>
        <w:pStyle w:val="DoEheading22018"/>
      </w:pPr>
      <w:r>
        <w:t>Sample questions marking guidelines</w:t>
      </w:r>
    </w:p>
    <w:p w14:paraId="5C32AF0E" w14:textId="77777777" w:rsidR="00354F8C" w:rsidRDefault="00354F8C" w:rsidP="00354F8C">
      <w:pPr>
        <w:pStyle w:val="DoEheading32018"/>
      </w:pPr>
      <w:r>
        <w:t xml:space="preserve">Section </w:t>
      </w:r>
      <w:r w:rsidR="00B40427">
        <w:t>1</w:t>
      </w:r>
      <w:r>
        <w:t xml:space="preserve"> – module A – Texts and Human Experiences</w:t>
      </w:r>
    </w:p>
    <w:p w14:paraId="1F729AFB" w14:textId="77777777" w:rsidR="00354F8C" w:rsidRDefault="00354F8C" w:rsidP="000F2E4D">
      <w:pPr>
        <w:pStyle w:val="DoEheading32018"/>
      </w:pPr>
      <w:r>
        <w:t>Part A</w:t>
      </w:r>
    </w:p>
    <w:p w14:paraId="0AB0626F" w14:textId="77777777" w:rsidR="00354F8C" w:rsidRDefault="00354F8C" w:rsidP="00354F8C">
      <w:pPr>
        <w:pStyle w:val="DoEheading42018"/>
      </w:pPr>
      <w:r>
        <w:t>Question 1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is the marking criteria for the assessment tasks. Examines the marks that can be received based on the level of work completed by the student. &#10;"/>
      </w:tblPr>
      <w:tblGrid>
        <w:gridCol w:w="9910"/>
        <w:gridCol w:w="852"/>
      </w:tblGrid>
      <w:tr w:rsidR="00354F8C" w14:paraId="136266E0" w14:textId="77777777" w:rsidTr="000D72B6">
        <w:trPr>
          <w:cantSplit/>
          <w:tblHeader/>
        </w:trPr>
        <w:tc>
          <w:tcPr>
            <w:tcW w:w="10060" w:type="dxa"/>
          </w:tcPr>
          <w:p w14:paraId="2BBCE83C" w14:textId="77777777" w:rsidR="00354F8C" w:rsidRDefault="00354F8C" w:rsidP="00354F8C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Criteria</w:t>
            </w:r>
          </w:p>
        </w:tc>
        <w:tc>
          <w:tcPr>
            <w:tcW w:w="702" w:type="dxa"/>
          </w:tcPr>
          <w:p w14:paraId="09260A36" w14:textId="77777777" w:rsidR="00354F8C" w:rsidRDefault="00354F8C" w:rsidP="00354F8C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Marks</w:t>
            </w:r>
          </w:p>
        </w:tc>
      </w:tr>
      <w:tr w:rsidR="00354F8C" w14:paraId="155E1C3E" w14:textId="77777777" w:rsidTr="00354F8C">
        <w:tc>
          <w:tcPr>
            <w:tcW w:w="10060" w:type="dxa"/>
          </w:tcPr>
          <w:p w14:paraId="41116E20" w14:textId="77777777" w:rsidR="00354F8C" w:rsidRDefault="00354F8C" w:rsidP="00354F8C">
            <w:pPr>
              <w:pStyle w:val="DoEtablelist1bullet2018"/>
              <w:rPr>
                <w:lang w:eastAsia="en-US"/>
              </w:rPr>
            </w:pPr>
            <w:r w:rsidRPr="00354F8C">
              <w:rPr>
                <w:lang w:eastAsia="en-US"/>
              </w:rPr>
              <w:t>Provides an effective explanation</w:t>
            </w:r>
            <w:r w:rsidR="00C42475">
              <w:rPr>
                <w:lang w:eastAsia="en-US"/>
              </w:rPr>
              <w:t xml:space="preserve"> of the paradox highlighted in t</w:t>
            </w:r>
            <w:r w:rsidRPr="00354F8C">
              <w:rPr>
                <w:lang w:eastAsia="en-US"/>
              </w:rPr>
              <w:t>ext 1</w:t>
            </w:r>
          </w:p>
        </w:tc>
        <w:tc>
          <w:tcPr>
            <w:tcW w:w="702" w:type="dxa"/>
          </w:tcPr>
          <w:p w14:paraId="54BA97CB" w14:textId="77777777" w:rsidR="00354F8C" w:rsidRDefault="00354F8C" w:rsidP="00B869A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54F8C" w14:paraId="6ED0E2C4" w14:textId="77777777" w:rsidTr="00354F8C">
        <w:tc>
          <w:tcPr>
            <w:tcW w:w="10060" w:type="dxa"/>
          </w:tcPr>
          <w:p w14:paraId="566E33AA" w14:textId="77777777" w:rsidR="00354F8C" w:rsidRDefault="00354F8C" w:rsidP="00354F8C">
            <w:pPr>
              <w:pStyle w:val="DoEtablelist1bullet2018"/>
              <w:rPr>
                <w:lang w:eastAsia="en-US"/>
              </w:rPr>
            </w:pPr>
            <w:r w:rsidRPr="00354F8C">
              <w:rPr>
                <w:lang w:eastAsia="en-US"/>
              </w:rPr>
              <w:t>Presents a general description of the paradox</w:t>
            </w:r>
          </w:p>
        </w:tc>
        <w:tc>
          <w:tcPr>
            <w:tcW w:w="702" w:type="dxa"/>
          </w:tcPr>
          <w:p w14:paraId="5CC0E2FD" w14:textId="77777777" w:rsidR="00354F8C" w:rsidRDefault="00354F8C" w:rsidP="00B869A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14:paraId="5E9877C1" w14:textId="77777777" w:rsidR="00354F8C" w:rsidRDefault="00C42475" w:rsidP="00C42475">
      <w:pPr>
        <w:pStyle w:val="DoEheading52018"/>
      </w:pPr>
      <w:r>
        <w:t>Sample answer</w:t>
      </w:r>
    </w:p>
    <w:p w14:paraId="1A371F60" w14:textId="77777777" w:rsidR="00C42475" w:rsidRDefault="00C42475" w:rsidP="00C42475">
      <w:pPr>
        <w:pStyle w:val="DoEbodytext2018"/>
        <w:rPr>
          <w:lang w:eastAsia="en-US"/>
        </w:rPr>
      </w:pPr>
      <w:r w:rsidRPr="00C42475">
        <w:rPr>
          <w:lang w:eastAsia="en-US"/>
        </w:rPr>
        <w:t>Text 1 depicts a young child, seemingly living in poverty with the rhetorical question ‘what if the person with the potential to cure canc</w:t>
      </w:r>
      <w:r>
        <w:rPr>
          <w:lang w:eastAsia="en-US"/>
        </w:rPr>
        <w:t xml:space="preserve">er can’t afford an education’. </w:t>
      </w:r>
      <w:r w:rsidRPr="00C42475">
        <w:rPr>
          <w:lang w:eastAsia="en-US"/>
        </w:rPr>
        <w:t>This is a contradictory statement, a paradox, because while the child may have the ability to cure cancer, they cannot because t</w:t>
      </w:r>
      <w:r>
        <w:rPr>
          <w:lang w:eastAsia="en-US"/>
        </w:rPr>
        <w:t>hey cannot afford an education.</w:t>
      </w:r>
      <w:r w:rsidRPr="00C42475">
        <w:rPr>
          <w:lang w:eastAsia="en-US"/>
        </w:rPr>
        <w:t xml:space="preserve"> The contradiction may prove well founded as children living in poverty may have the capacity to do great things but are limited by their circumstance.</w:t>
      </w:r>
    </w:p>
    <w:p w14:paraId="4FBB6DCE" w14:textId="77777777" w:rsidR="00C42475" w:rsidRDefault="00C42475">
      <w:pPr>
        <w:spacing w:before="0" w:line="240" w:lineRule="auto"/>
        <w:rPr>
          <w:lang w:eastAsia="en-US"/>
        </w:rPr>
      </w:pPr>
      <w:r>
        <w:rPr>
          <w:lang w:eastAsia="en-US"/>
        </w:rPr>
        <w:br w:type="page"/>
      </w:r>
    </w:p>
    <w:p w14:paraId="6470600F" w14:textId="77777777" w:rsidR="00C42475" w:rsidRDefault="00C42475" w:rsidP="00C42475">
      <w:pPr>
        <w:pStyle w:val="DoEheading42018"/>
      </w:pPr>
      <w:r>
        <w:lastRenderedPageBreak/>
        <w:t>Question 2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is the marking criteria for the assessment tasks. Examines the marks that can be received based on the level of work completed by the student. (marking criteria)&#10;"/>
      </w:tblPr>
      <w:tblGrid>
        <w:gridCol w:w="9910"/>
        <w:gridCol w:w="852"/>
      </w:tblGrid>
      <w:tr w:rsidR="00C42475" w14:paraId="730122E8" w14:textId="77777777" w:rsidTr="00C42475">
        <w:trPr>
          <w:cantSplit/>
          <w:tblHeader/>
        </w:trPr>
        <w:tc>
          <w:tcPr>
            <w:tcW w:w="9910" w:type="dxa"/>
          </w:tcPr>
          <w:p w14:paraId="462212B0" w14:textId="77777777" w:rsidR="00C42475" w:rsidRDefault="00C42475" w:rsidP="00C42475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Criteria</w:t>
            </w:r>
          </w:p>
        </w:tc>
        <w:tc>
          <w:tcPr>
            <w:tcW w:w="852" w:type="dxa"/>
          </w:tcPr>
          <w:p w14:paraId="2433D1B7" w14:textId="77777777" w:rsidR="00C42475" w:rsidRDefault="00C42475" w:rsidP="00C42475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Marks</w:t>
            </w:r>
          </w:p>
        </w:tc>
      </w:tr>
      <w:tr w:rsidR="00C42475" w14:paraId="579B8FAA" w14:textId="77777777" w:rsidTr="00C42475">
        <w:tc>
          <w:tcPr>
            <w:tcW w:w="9918" w:type="dxa"/>
          </w:tcPr>
          <w:p w14:paraId="0DA51EC9" w14:textId="77777777" w:rsidR="00C42475" w:rsidRPr="00CC1B1D" w:rsidRDefault="00C42475" w:rsidP="00C42475">
            <w:pPr>
              <w:pStyle w:val="DoEtablelist1bullet2018"/>
            </w:pPr>
            <w:r w:rsidRPr="00CC1B1D">
              <w:t>Effectively compares the</w:t>
            </w:r>
            <w:r>
              <w:t xml:space="preserve"> representations of poverty in text 1 and t</w:t>
            </w:r>
            <w:r w:rsidRPr="00CC1B1D">
              <w:t>ext 2 with textual evidence</w:t>
            </w:r>
          </w:p>
        </w:tc>
        <w:tc>
          <w:tcPr>
            <w:tcW w:w="844" w:type="dxa"/>
          </w:tcPr>
          <w:p w14:paraId="129ACC48" w14:textId="77777777" w:rsidR="00C42475" w:rsidRDefault="00C42475" w:rsidP="00B869A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C42475" w14:paraId="1E1E20CC" w14:textId="77777777" w:rsidTr="00C42475">
        <w:tc>
          <w:tcPr>
            <w:tcW w:w="9910" w:type="dxa"/>
          </w:tcPr>
          <w:p w14:paraId="05E35EBA" w14:textId="77777777" w:rsidR="00C42475" w:rsidRDefault="00C42475" w:rsidP="00C42475">
            <w:pPr>
              <w:pStyle w:val="DoEtablelist1bullet2018"/>
              <w:rPr>
                <w:lang w:eastAsia="en-US"/>
              </w:rPr>
            </w:pPr>
            <w:r w:rsidRPr="00C42475">
              <w:rPr>
                <w:lang w:eastAsia="en-US"/>
              </w:rPr>
              <w:t>Explains th</w:t>
            </w:r>
            <w:r>
              <w:rPr>
                <w:lang w:eastAsia="en-US"/>
              </w:rPr>
              <w:t>e representation of poverty in text 1 or t</w:t>
            </w:r>
            <w:r w:rsidRPr="00C42475">
              <w:rPr>
                <w:lang w:eastAsia="en-US"/>
              </w:rPr>
              <w:t>ext 2 with some textual evidence</w:t>
            </w:r>
          </w:p>
        </w:tc>
        <w:tc>
          <w:tcPr>
            <w:tcW w:w="852" w:type="dxa"/>
          </w:tcPr>
          <w:p w14:paraId="7EB5C39C" w14:textId="77777777" w:rsidR="00C42475" w:rsidRDefault="00C42475" w:rsidP="00B869A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C42475" w14:paraId="0C813E6B" w14:textId="77777777" w:rsidTr="00C42475">
        <w:tc>
          <w:tcPr>
            <w:tcW w:w="9910" w:type="dxa"/>
          </w:tcPr>
          <w:p w14:paraId="04DD05F5" w14:textId="77777777" w:rsidR="00C42475" w:rsidRDefault="00C42475" w:rsidP="00C42475">
            <w:pPr>
              <w:pStyle w:val="DoEtablelist1bullet2018"/>
              <w:rPr>
                <w:lang w:eastAsia="en-US"/>
              </w:rPr>
            </w:pPr>
            <w:r w:rsidRPr="00C42475">
              <w:rPr>
                <w:lang w:eastAsia="en-US"/>
              </w:rPr>
              <w:t>•</w:t>
            </w:r>
            <w:r w:rsidRPr="00C42475">
              <w:rPr>
                <w:lang w:eastAsia="en-US"/>
              </w:rPr>
              <w:tab/>
              <w:t>Identifies a general idea about poverty in one of the tex</w:t>
            </w:r>
            <w:r>
              <w:rPr>
                <w:lang w:eastAsia="en-US"/>
              </w:rPr>
              <w:t>ts with a general reference to text 1 or t</w:t>
            </w:r>
            <w:r w:rsidRPr="00C42475">
              <w:rPr>
                <w:lang w:eastAsia="en-US"/>
              </w:rPr>
              <w:t>ext 2, unsupported by textual evidence</w:t>
            </w:r>
          </w:p>
        </w:tc>
        <w:tc>
          <w:tcPr>
            <w:tcW w:w="852" w:type="dxa"/>
          </w:tcPr>
          <w:p w14:paraId="2E3A454C" w14:textId="77777777" w:rsidR="00C42475" w:rsidRDefault="00C42475" w:rsidP="00B869A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14:paraId="55443F20" w14:textId="77777777" w:rsidR="00C42475" w:rsidRDefault="00C42475" w:rsidP="00C42475">
      <w:pPr>
        <w:pStyle w:val="DoEheading52018"/>
      </w:pPr>
      <w:r>
        <w:t>Sample answer</w:t>
      </w:r>
    </w:p>
    <w:p w14:paraId="36368791" w14:textId="77777777" w:rsidR="00C42475" w:rsidRDefault="00C42475" w:rsidP="00C42475">
      <w:pPr>
        <w:pStyle w:val="DoEbodytext2018"/>
        <w:spacing w:after="2040"/>
        <w:rPr>
          <w:lang w:eastAsia="en-US"/>
        </w:rPr>
      </w:pPr>
      <w:r>
        <w:rPr>
          <w:lang w:eastAsia="en-US"/>
        </w:rPr>
        <w:t>In t</w:t>
      </w:r>
      <w:r w:rsidRPr="00C42475">
        <w:rPr>
          <w:lang w:eastAsia="en-US"/>
        </w:rPr>
        <w:t>ext 1, poverty is represented as a limiting ci</w:t>
      </w:r>
      <w:r>
        <w:rPr>
          <w:lang w:eastAsia="en-US"/>
        </w:rPr>
        <w:t xml:space="preserve">rcumstance to one’s potential. </w:t>
      </w:r>
      <w:r w:rsidRPr="00C42475">
        <w:rPr>
          <w:lang w:eastAsia="en-US"/>
        </w:rPr>
        <w:t>The composer has used juxtaposition of the salient image with half the face of a child and the other half X-ray of DNA to highlight the possibility that</w:t>
      </w:r>
      <w:r>
        <w:rPr>
          <w:lang w:eastAsia="en-US"/>
        </w:rPr>
        <w:t xml:space="preserve"> children living in Belize have</w:t>
      </w:r>
      <w:r w:rsidRPr="00C42475">
        <w:rPr>
          <w:lang w:eastAsia="en-US"/>
        </w:rPr>
        <w:t xml:space="preserve"> knowled</w:t>
      </w:r>
      <w:r>
        <w:rPr>
          <w:lang w:eastAsia="en-US"/>
        </w:rPr>
        <w:t>ge of science. Similarly, t</w:t>
      </w:r>
      <w:r w:rsidRPr="00C42475">
        <w:rPr>
          <w:lang w:eastAsia="en-US"/>
        </w:rPr>
        <w:t>ext 2 demonstrates the marginalising impact of poverty, making indivi</w:t>
      </w:r>
      <w:r>
        <w:rPr>
          <w:lang w:eastAsia="en-US"/>
        </w:rPr>
        <w:t xml:space="preserve">duals feel alone and isolated. </w:t>
      </w:r>
      <w:r w:rsidRPr="00C42475">
        <w:rPr>
          <w:lang w:eastAsia="en-US"/>
        </w:rPr>
        <w:t>This representation of poverty is expressed through a metaphor, ‘climb</w:t>
      </w:r>
      <w:r>
        <w:rPr>
          <w:lang w:eastAsia="en-US"/>
        </w:rPr>
        <w:t>ing the long stairs of exile’. Both text 1 and t</w:t>
      </w:r>
      <w:r w:rsidRPr="00C42475">
        <w:rPr>
          <w:lang w:eastAsia="en-US"/>
        </w:rPr>
        <w:t>ext 2 convey a negative representation of poverty.</w:t>
      </w:r>
    </w:p>
    <w:p w14:paraId="64FB9074" w14:textId="77777777" w:rsidR="00C42475" w:rsidRDefault="00C42475" w:rsidP="00C42475">
      <w:pPr>
        <w:pStyle w:val="DoEheading42018"/>
      </w:pPr>
      <w:r>
        <w:t>Questions 3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is the marking criteria for the assessment tasks. Examines the marks that can be received based on the level of work completed by the student. (marking criteria)"/>
      </w:tblPr>
      <w:tblGrid>
        <w:gridCol w:w="9910"/>
        <w:gridCol w:w="852"/>
      </w:tblGrid>
      <w:tr w:rsidR="00C42475" w14:paraId="7697806B" w14:textId="77777777" w:rsidTr="00B869A1">
        <w:trPr>
          <w:cantSplit/>
          <w:tblHeader/>
        </w:trPr>
        <w:tc>
          <w:tcPr>
            <w:tcW w:w="9910" w:type="dxa"/>
          </w:tcPr>
          <w:p w14:paraId="21E1969F" w14:textId="77777777" w:rsidR="00C42475" w:rsidRDefault="00C42475" w:rsidP="00C42475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Criteria</w:t>
            </w:r>
          </w:p>
        </w:tc>
        <w:tc>
          <w:tcPr>
            <w:tcW w:w="852" w:type="dxa"/>
          </w:tcPr>
          <w:p w14:paraId="665C1B7D" w14:textId="77777777" w:rsidR="00C42475" w:rsidRDefault="00C42475" w:rsidP="00C42475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Marks</w:t>
            </w:r>
          </w:p>
        </w:tc>
      </w:tr>
      <w:tr w:rsidR="00B869A1" w14:paraId="664FBCD4" w14:textId="77777777" w:rsidTr="00C42475">
        <w:tc>
          <w:tcPr>
            <w:tcW w:w="9918" w:type="dxa"/>
          </w:tcPr>
          <w:p w14:paraId="2D268C4C" w14:textId="77777777" w:rsidR="00B869A1" w:rsidRPr="00B869A1" w:rsidRDefault="00B869A1" w:rsidP="00B869A1">
            <w:pPr>
              <w:pStyle w:val="DoEtablelist1bullet2018"/>
            </w:pPr>
            <w:r w:rsidRPr="00B869A1">
              <w:t>Provides an effective explanation how language</w:t>
            </w:r>
            <w:r>
              <w:t xml:space="preserve"> creates a sense of empathy in t</w:t>
            </w:r>
            <w:r w:rsidRPr="00B869A1">
              <w:t>ext 2 with an example</w:t>
            </w:r>
          </w:p>
        </w:tc>
        <w:tc>
          <w:tcPr>
            <w:tcW w:w="844" w:type="dxa"/>
          </w:tcPr>
          <w:p w14:paraId="3AE10A2A" w14:textId="77777777" w:rsidR="00B869A1" w:rsidRDefault="00B869A1" w:rsidP="00B869A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869A1" w14:paraId="2B0BBB50" w14:textId="77777777" w:rsidTr="00B869A1">
        <w:tc>
          <w:tcPr>
            <w:tcW w:w="9910" w:type="dxa"/>
          </w:tcPr>
          <w:p w14:paraId="1C0C0D79" w14:textId="77777777" w:rsidR="00B869A1" w:rsidRDefault="00B869A1" w:rsidP="00B869A1">
            <w:pPr>
              <w:pStyle w:val="DoEtablelist1bullet2018"/>
              <w:rPr>
                <w:lang w:eastAsia="en-US"/>
              </w:rPr>
            </w:pPr>
            <w:r w:rsidRPr="00B869A1">
              <w:rPr>
                <w:lang w:eastAsia="en-US"/>
              </w:rPr>
              <w:t>•</w:t>
            </w:r>
            <w:r w:rsidRPr="00B869A1">
              <w:rPr>
                <w:lang w:eastAsia="en-US"/>
              </w:rPr>
              <w:tab/>
              <w:t>Provides a gen</w:t>
            </w:r>
            <w:r>
              <w:rPr>
                <w:lang w:eastAsia="en-US"/>
              </w:rPr>
              <w:t>eral explanation of empathy in t</w:t>
            </w:r>
            <w:r w:rsidRPr="00B869A1">
              <w:rPr>
                <w:lang w:eastAsia="en-US"/>
              </w:rPr>
              <w:t xml:space="preserve">ext 2 or </w:t>
            </w:r>
            <w:r>
              <w:rPr>
                <w:lang w:eastAsia="en-US"/>
              </w:rPr>
              <w:t>gives an example of empathy in t</w:t>
            </w:r>
            <w:r w:rsidRPr="00B869A1">
              <w:rPr>
                <w:lang w:eastAsia="en-US"/>
              </w:rPr>
              <w:t>ext 2</w:t>
            </w:r>
          </w:p>
        </w:tc>
        <w:tc>
          <w:tcPr>
            <w:tcW w:w="852" w:type="dxa"/>
          </w:tcPr>
          <w:p w14:paraId="156DA97C" w14:textId="77777777" w:rsidR="00B869A1" w:rsidRDefault="00B869A1" w:rsidP="00B869A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14:paraId="7C1DA78D" w14:textId="77777777" w:rsidR="00C42475" w:rsidRDefault="00B869A1" w:rsidP="00B869A1">
      <w:pPr>
        <w:pStyle w:val="DoEheading52018"/>
      </w:pPr>
      <w:r>
        <w:t>Sample answer</w:t>
      </w:r>
    </w:p>
    <w:p w14:paraId="18B1D4F8" w14:textId="77777777" w:rsidR="00B869A1" w:rsidRDefault="00B869A1" w:rsidP="00B869A1">
      <w:pPr>
        <w:pStyle w:val="DoEbodytext2018"/>
        <w:rPr>
          <w:lang w:eastAsia="en-US"/>
        </w:rPr>
      </w:pPr>
      <w:r w:rsidRPr="00B869A1">
        <w:rPr>
          <w:lang w:eastAsia="en-US"/>
        </w:rPr>
        <w:t>The ability to understand and share the feeling</w:t>
      </w:r>
      <w:r>
        <w:rPr>
          <w:lang w:eastAsia="en-US"/>
        </w:rPr>
        <w:t>s of another is represented in t</w:t>
      </w:r>
      <w:r w:rsidRPr="00B869A1">
        <w:rPr>
          <w:lang w:eastAsia="en-US"/>
        </w:rPr>
        <w:t>ext 2</w:t>
      </w:r>
      <w:r>
        <w:rPr>
          <w:lang w:eastAsia="en-US"/>
        </w:rPr>
        <w:t xml:space="preserve"> through rhetorical questions. </w:t>
      </w:r>
      <w:r w:rsidRPr="00B869A1">
        <w:rPr>
          <w:lang w:eastAsia="en-US"/>
        </w:rPr>
        <w:t>The persona forces the reader to question their sense of humanity through the lines ‘how ex</w:t>
      </w:r>
      <w:r>
        <w:rPr>
          <w:lang w:eastAsia="en-US"/>
        </w:rPr>
        <w:t xml:space="preserve">orcize, how purify, how bless. </w:t>
      </w:r>
      <w:r w:rsidRPr="00B869A1">
        <w:rPr>
          <w:lang w:eastAsia="en-US"/>
        </w:rPr>
        <w:t>This f</w:t>
      </w:r>
      <w:r>
        <w:rPr>
          <w:lang w:eastAsia="en-US"/>
        </w:rPr>
        <w:t xml:space="preserve">earful universal loneliness?’ </w:t>
      </w:r>
      <w:r w:rsidRPr="00B869A1">
        <w:rPr>
          <w:lang w:eastAsia="en-US"/>
        </w:rPr>
        <w:t>In referencing the universal feeling of loneliness, the audience questions how to process the emotion, much like the persona.</w:t>
      </w:r>
    </w:p>
    <w:p w14:paraId="7943F499" w14:textId="77777777" w:rsidR="00B869A1" w:rsidRDefault="00B869A1">
      <w:pPr>
        <w:spacing w:before="0" w:line="240" w:lineRule="auto"/>
        <w:rPr>
          <w:lang w:eastAsia="en-US"/>
        </w:rPr>
      </w:pPr>
      <w:r>
        <w:rPr>
          <w:lang w:eastAsia="en-US"/>
        </w:rPr>
        <w:br w:type="page"/>
      </w:r>
    </w:p>
    <w:p w14:paraId="3F0B8EDD" w14:textId="77777777" w:rsidR="00B869A1" w:rsidRDefault="00B869A1" w:rsidP="00B869A1">
      <w:pPr>
        <w:pStyle w:val="DoEheading42018"/>
      </w:pPr>
      <w:r>
        <w:lastRenderedPageBreak/>
        <w:t>Question 4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is the marking criteria for the assessment tasks. Examines the marks that can be received based on the level of work completed by the student. (marking criteria)&#10;"/>
      </w:tblPr>
      <w:tblGrid>
        <w:gridCol w:w="9910"/>
        <w:gridCol w:w="852"/>
      </w:tblGrid>
      <w:tr w:rsidR="00B869A1" w14:paraId="2F56E49F" w14:textId="77777777" w:rsidTr="00B869A1">
        <w:trPr>
          <w:cantSplit/>
          <w:tblHeader/>
        </w:trPr>
        <w:tc>
          <w:tcPr>
            <w:tcW w:w="9918" w:type="dxa"/>
          </w:tcPr>
          <w:p w14:paraId="397482BC" w14:textId="77777777" w:rsidR="00B869A1" w:rsidRDefault="00B869A1" w:rsidP="00B869A1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Criteria</w:t>
            </w:r>
          </w:p>
        </w:tc>
        <w:tc>
          <w:tcPr>
            <w:tcW w:w="844" w:type="dxa"/>
          </w:tcPr>
          <w:p w14:paraId="45C846F4" w14:textId="77777777" w:rsidR="00B869A1" w:rsidRDefault="00B869A1" w:rsidP="00B869A1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Marks</w:t>
            </w:r>
          </w:p>
        </w:tc>
      </w:tr>
      <w:tr w:rsidR="00B869A1" w14:paraId="63AB4ED9" w14:textId="77777777" w:rsidTr="00B869A1">
        <w:tc>
          <w:tcPr>
            <w:tcW w:w="9918" w:type="dxa"/>
          </w:tcPr>
          <w:p w14:paraId="338D6368" w14:textId="77777777" w:rsidR="00B869A1" w:rsidRDefault="00B869A1" w:rsidP="00B869A1">
            <w:pPr>
              <w:pStyle w:val="DoEtablelist1bullet2018"/>
              <w:rPr>
                <w:lang w:eastAsia="en-US"/>
              </w:rPr>
            </w:pPr>
            <w:r w:rsidRPr="00B869A1">
              <w:rPr>
                <w:lang w:eastAsia="en-US"/>
              </w:rPr>
              <w:t>•</w:t>
            </w:r>
            <w:r w:rsidRPr="00B869A1">
              <w:rPr>
                <w:lang w:eastAsia="en-US"/>
              </w:rPr>
              <w:tab/>
              <w:t>Provides an effective explanation of what Mark Grose’s comments reveals about Indigenous Australian health, including textual evidence</w:t>
            </w:r>
          </w:p>
        </w:tc>
        <w:tc>
          <w:tcPr>
            <w:tcW w:w="844" w:type="dxa"/>
          </w:tcPr>
          <w:p w14:paraId="522B56BC" w14:textId="77777777" w:rsidR="00B869A1" w:rsidRDefault="00B869A1" w:rsidP="00B869A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869A1" w14:paraId="3A3AB548" w14:textId="77777777" w:rsidTr="00B869A1">
        <w:tc>
          <w:tcPr>
            <w:tcW w:w="9918" w:type="dxa"/>
          </w:tcPr>
          <w:p w14:paraId="3DFCD1E5" w14:textId="77777777" w:rsidR="00B869A1" w:rsidRDefault="00B869A1" w:rsidP="00B869A1">
            <w:pPr>
              <w:pStyle w:val="DoEtablelist1bullet2018"/>
              <w:rPr>
                <w:lang w:eastAsia="en-US"/>
              </w:rPr>
            </w:pPr>
            <w:r w:rsidRPr="00B869A1">
              <w:rPr>
                <w:lang w:eastAsia="en-US"/>
              </w:rPr>
              <w:t>•</w:t>
            </w:r>
            <w:r w:rsidRPr="00B869A1">
              <w:rPr>
                <w:lang w:eastAsia="en-US"/>
              </w:rPr>
              <w:tab/>
              <w:t>Provides an explanation of Mark Grose’s comments related to Indigenous Australian health or gives textual evidence with a general explanation</w:t>
            </w:r>
          </w:p>
        </w:tc>
        <w:tc>
          <w:tcPr>
            <w:tcW w:w="844" w:type="dxa"/>
          </w:tcPr>
          <w:p w14:paraId="270D09B9" w14:textId="77777777" w:rsidR="00B869A1" w:rsidRDefault="00B869A1" w:rsidP="00B869A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869A1" w14:paraId="19AF75D4" w14:textId="77777777" w:rsidTr="00B869A1">
        <w:tc>
          <w:tcPr>
            <w:tcW w:w="9918" w:type="dxa"/>
          </w:tcPr>
          <w:p w14:paraId="79495209" w14:textId="77777777" w:rsidR="00B869A1" w:rsidRDefault="00B869A1" w:rsidP="00B869A1">
            <w:pPr>
              <w:pStyle w:val="DoEtablelist1bullet2018"/>
              <w:rPr>
                <w:lang w:eastAsia="en-US"/>
              </w:rPr>
            </w:pPr>
            <w:r w:rsidRPr="00B869A1">
              <w:rPr>
                <w:lang w:eastAsia="en-US"/>
              </w:rPr>
              <w:t>•</w:t>
            </w:r>
            <w:r w:rsidRPr="00B869A1">
              <w:rPr>
                <w:lang w:eastAsia="en-US"/>
              </w:rPr>
              <w:tab/>
              <w:t>Identifies relevant point about the text or gives some textual evidence</w:t>
            </w:r>
          </w:p>
        </w:tc>
        <w:tc>
          <w:tcPr>
            <w:tcW w:w="844" w:type="dxa"/>
          </w:tcPr>
          <w:p w14:paraId="0CDD1D08" w14:textId="77777777" w:rsidR="00B869A1" w:rsidRDefault="00B869A1" w:rsidP="00B869A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14:paraId="7B480926" w14:textId="77777777" w:rsidR="00B869A1" w:rsidRDefault="00B869A1" w:rsidP="00B869A1">
      <w:pPr>
        <w:pStyle w:val="DoEheading52018"/>
      </w:pPr>
      <w:r>
        <w:t>Sample answer</w:t>
      </w:r>
    </w:p>
    <w:p w14:paraId="1593ED6B" w14:textId="77777777" w:rsidR="00B869A1" w:rsidRDefault="00B869A1" w:rsidP="00B869A1">
      <w:pPr>
        <w:pStyle w:val="DoEbodytext2018"/>
        <w:rPr>
          <w:lang w:eastAsia="en-US"/>
        </w:rPr>
      </w:pPr>
      <w:r>
        <w:rPr>
          <w:lang w:eastAsia="en-US"/>
        </w:rPr>
        <w:t>Mark Grose’s comments in t</w:t>
      </w:r>
      <w:r w:rsidRPr="00B869A1">
        <w:rPr>
          <w:lang w:eastAsia="en-US"/>
        </w:rPr>
        <w:t xml:space="preserve">ext 3 about </w:t>
      </w:r>
      <w:proofErr w:type="spellStart"/>
      <w:r w:rsidRPr="00B869A1">
        <w:rPr>
          <w:lang w:eastAsia="en-US"/>
        </w:rPr>
        <w:t>Gurrumul’s</w:t>
      </w:r>
      <w:proofErr w:type="spellEnd"/>
      <w:r w:rsidRPr="00B869A1">
        <w:rPr>
          <w:lang w:eastAsia="en-US"/>
        </w:rPr>
        <w:t xml:space="preserve"> death reveal that there is still inequality between the health of Indigenous Australians a</w:t>
      </w:r>
      <w:r>
        <w:rPr>
          <w:lang w:eastAsia="en-US"/>
        </w:rPr>
        <w:t xml:space="preserve">nd non-indigenous Australians. </w:t>
      </w:r>
      <w:r w:rsidRPr="00B869A1">
        <w:rPr>
          <w:lang w:eastAsia="en-US"/>
        </w:rPr>
        <w:t>With regard t</w:t>
      </w:r>
      <w:r>
        <w:rPr>
          <w:lang w:eastAsia="en-US"/>
        </w:rPr>
        <w:t>o this inequality, Grose noted ‘</w:t>
      </w:r>
      <w:r w:rsidRPr="00B869A1">
        <w:rPr>
          <w:lang w:eastAsia="en-US"/>
        </w:rPr>
        <w:t>there is a continui</w:t>
      </w:r>
      <w:r>
        <w:rPr>
          <w:lang w:eastAsia="en-US"/>
        </w:rPr>
        <w:t xml:space="preserve">ng gap that needs to be closed.’ </w:t>
      </w:r>
      <w:r w:rsidRPr="00B869A1">
        <w:rPr>
          <w:lang w:eastAsia="en-US"/>
        </w:rPr>
        <w:t>His comments reveal that non-Indigenous people, who have a higher life expectancy t</w:t>
      </w:r>
      <w:r>
        <w:rPr>
          <w:lang w:eastAsia="en-US"/>
        </w:rPr>
        <w:t>hat Indigenous people, need to ‘</w:t>
      </w:r>
      <w:r w:rsidRPr="00B869A1">
        <w:rPr>
          <w:lang w:eastAsia="en-US"/>
        </w:rPr>
        <w:t>take some responsibility to help work towards better ou</w:t>
      </w:r>
      <w:r>
        <w:rPr>
          <w:lang w:eastAsia="en-US"/>
        </w:rPr>
        <w:t>tcomes for Aboriginal people.’</w:t>
      </w:r>
    </w:p>
    <w:p w14:paraId="6707EA06" w14:textId="77777777" w:rsidR="00B869A1" w:rsidRDefault="00B869A1">
      <w:pPr>
        <w:spacing w:before="0" w:line="240" w:lineRule="auto"/>
        <w:rPr>
          <w:lang w:eastAsia="en-US"/>
        </w:rPr>
      </w:pPr>
      <w:r>
        <w:rPr>
          <w:lang w:eastAsia="en-US"/>
        </w:rPr>
        <w:br w:type="page"/>
      </w:r>
    </w:p>
    <w:p w14:paraId="35A9E550" w14:textId="77777777" w:rsidR="00B869A1" w:rsidRDefault="00B869A1" w:rsidP="00B869A1">
      <w:pPr>
        <w:pStyle w:val="DoEheading42018"/>
      </w:pPr>
      <w:r>
        <w:lastRenderedPageBreak/>
        <w:t>Question 5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is the marking criteria for the assessment tasks. Examines the marks that can be received based on the level of work completed by the student. (marking criteria)&#10;"/>
      </w:tblPr>
      <w:tblGrid>
        <w:gridCol w:w="9910"/>
        <w:gridCol w:w="852"/>
      </w:tblGrid>
      <w:tr w:rsidR="00B869A1" w14:paraId="39987D34" w14:textId="77777777" w:rsidTr="000D72B6">
        <w:trPr>
          <w:cantSplit/>
          <w:tblHeader/>
        </w:trPr>
        <w:tc>
          <w:tcPr>
            <w:tcW w:w="9918" w:type="dxa"/>
          </w:tcPr>
          <w:p w14:paraId="51CEEE93" w14:textId="77777777" w:rsidR="00B869A1" w:rsidRDefault="00B869A1" w:rsidP="00B869A1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Criteria</w:t>
            </w:r>
          </w:p>
        </w:tc>
        <w:tc>
          <w:tcPr>
            <w:tcW w:w="844" w:type="dxa"/>
          </w:tcPr>
          <w:p w14:paraId="0AA3664E" w14:textId="77777777" w:rsidR="00B869A1" w:rsidRDefault="00B869A1" w:rsidP="00B869A1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Marks</w:t>
            </w:r>
          </w:p>
        </w:tc>
      </w:tr>
      <w:tr w:rsidR="00B869A1" w14:paraId="4B29CC59" w14:textId="77777777" w:rsidTr="00B869A1">
        <w:tc>
          <w:tcPr>
            <w:tcW w:w="9918" w:type="dxa"/>
          </w:tcPr>
          <w:p w14:paraId="2A07F694" w14:textId="77777777" w:rsidR="00B869A1" w:rsidRDefault="00B869A1" w:rsidP="00B869A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 xml:space="preserve">Effectively explains what text 4 reveals about human behaviour </w:t>
            </w:r>
          </w:p>
          <w:p w14:paraId="0E8B5892" w14:textId="77777777" w:rsidR="00B869A1" w:rsidRDefault="00B869A1" w:rsidP="00B869A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 xml:space="preserve">Explains how the responder is invited to see the world differently through the eyes of the persona </w:t>
            </w:r>
          </w:p>
          <w:p w14:paraId="12D1937C" w14:textId="77777777" w:rsidR="00B869A1" w:rsidRDefault="00B869A1" w:rsidP="00B869A1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Gives textual evidence to coherently and fluently support the response</w:t>
            </w:r>
          </w:p>
        </w:tc>
        <w:tc>
          <w:tcPr>
            <w:tcW w:w="844" w:type="dxa"/>
          </w:tcPr>
          <w:p w14:paraId="0D13C99A" w14:textId="77777777" w:rsidR="00B869A1" w:rsidRDefault="00B869A1" w:rsidP="00B869A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B869A1" w14:paraId="3A2F423C" w14:textId="77777777" w:rsidTr="00B869A1">
        <w:tc>
          <w:tcPr>
            <w:tcW w:w="9918" w:type="dxa"/>
          </w:tcPr>
          <w:p w14:paraId="1D913D0A" w14:textId="77777777" w:rsidR="000F2E4D" w:rsidRDefault="000F2E4D" w:rsidP="000F2E4D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Competently explains what text 4 reveals about human behaviour</w:t>
            </w:r>
          </w:p>
          <w:p w14:paraId="67DF5FC7" w14:textId="77777777" w:rsidR="000F2E4D" w:rsidRDefault="000F2E4D" w:rsidP="000F2E4D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Explains how the responder is invited to see the world differently through the eyes of the persona</w:t>
            </w:r>
          </w:p>
          <w:p w14:paraId="7F6A4981" w14:textId="77777777" w:rsidR="00B869A1" w:rsidRDefault="000F2E4D" w:rsidP="000F2E4D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Gives some textual evidence support the response</w:t>
            </w:r>
          </w:p>
        </w:tc>
        <w:tc>
          <w:tcPr>
            <w:tcW w:w="844" w:type="dxa"/>
          </w:tcPr>
          <w:p w14:paraId="2B92CF81" w14:textId="77777777" w:rsidR="00B869A1" w:rsidRDefault="00B869A1" w:rsidP="00B869A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B869A1" w14:paraId="5B8BD3F0" w14:textId="77777777" w:rsidTr="00B869A1">
        <w:tc>
          <w:tcPr>
            <w:tcW w:w="9918" w:type="dxa"/>
          </w:tcPr>
          <w:p w14:paraId="420CBE61" w14:textId="77777777" w:rsidR="000F2E4D" w:rsidRDefault="000F2E4D" w:rsidP="000F2E4D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Explains what text 4 reveals about human behaviour and either:</w:t>
            </w:r>
          </w:p>
          <w:p w14:paraId="7DF06D1F" w14:textId="77777777" w:rsidR="000F2E4D" w:rsidRDefault="000F2E4D" w:rsidP="000F2E4D">
            <w:pPr>
              <w:pStyle w:val="DoEtablelist2bullet2018"/>
              <w:rPr>
                <w:lang w:eastAsia="en-US"/>
              </w:rPr>
            </w:pPr>
            <w:r>
              <w:rPr>
                <w:lang w:eastAsia="en-US"/>
              </w:rPr>
              <w:t xml:space="preserve">explains how the responder is invited to see the world differently through the eyes of the persona or </w:t>
            </w:r>
          </w:p>
          <w:p w14:paraId="0B972EF5" w14:textId="77777777" w:rsidR="00B869A1" w:rsidRDefault="000F2E4D" w:rsidP="000F2E4D">
            <w:pPr>
              <w:pStyle w:val="DoEtablelist2bullet2018"/>
              <w:rPr>
                <w:lang w:eastAsia="en-US"/>
              </w:rPr>
            </w:pPr>
            <w:r>
              <w:rPr>
                <w:lang w:eastAsia="en-US"/>
              </w:rPr>
              <w:t>gives textual evidence to support the response</w:t>
            </w:r>
          </w:p>
        </w:tc>
        <w:tc>
          <w:tcPr>
            <w:tcW w:w="844" w:type="dxa"/>
          </w:tcPr>
          <w:p w14:paraId="41F127AC" w14:textId="77777777" w:rsidR="00B869A1" w:rsidRDefault="00B869A1" w:rsidP="00B869A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869A1" w14:paraId="726471E4" w14:textId="77777777" w:rsidTr="00B869A1">
        <w:tc>
          <w:tcPr>
            <w:tcW w:w="9918" w:type="dxa"/>
          </w:tcPr>
          <w:p w14:paraId="1E4E91F4" w14:textId="77777777" w:rsidR="000F2E4D" w:rsidRDefault="000F2E4D" w:rsidP="000F2E4D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 xml:space="preserve">Explains what text 4 reveals about human behaviour or </w:t>
            </w:r>
          </w:p>
          <w:p w14:paraId="47420978" w14:textId="77777777" w:rsidR="00B869A1" w:rsidRDefault="000F2E4D" w:rsidP="000F2E4D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Explains how the responder is invited to see the world differently or gives some general textual evidence</w:t>
            </w:r>
          </w:p>
        </w:tc>
        <w:tc>
          <w:tcPr>
            <w:tcW w:w="844" w:type="dxa"/>
          </w:tcPr>
          <w:p w14:paraId="4B72138A" w14:textId="77777777" w:rsidR="00B869A1" w:rsidRDefault="00B869A1" w:rsidP="00B869A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869A1" w14:paraId="2CB4063E" w14:textId="77777777" w:rsidTr="00B869A1">
        <w:tc>
          <w:tcPr>
            <w:tcW w:w="9918" w:type="dxa"/>
          </w:tcPr>
          <w:p w14:paraId="12723317" w14:textId="77777777" w:rsidR="00B869A1" w:rsidRDefault="000F2E4D" w:rsidP="000F2E4D">
            <w:pPr>
              <w:pStyle w:val="DoEtablelist1bullet2018"/>
              <w:rPr>
                <w:lang w:eastAsia="en-US"/>
              </w:rPr>
            </w:pPr>
            <w:r w:rsidRPr="000F2E4D">
              <w:rPr>
                <w:lang w:eastAsia="en-US"/>
              </w:rPr>
              <w:t>•</w:t>
            </w:r>
            <w:r w:rsidRPr="000F2E4D">
              <w:rPr>
                <w:lang w:eastAsia="en-US"/>
              </w:rPr>
              <w:tab/>
              <w:t>Provides a relevant point about the text</w:t>
            </w:r>
          </w:p>
        </w:tc>
        <w:tc>
          <w:tcPr>
            <w:tcW w:w="844" w:type="dxa"/>
          </w:tcPr>
          <w:p w14:paraId="421EA530" w14:textId="77777777" w:rsidR="00B869A1" w:rsidRDefault="00B869A1" w:rsidP="00B869A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14:paraId="11605045" w14:textId="77777777" w:rsidR="00B869A1" w:rsidRDefault="000F2E4D" w:rsidP="000F2E4D">
      <w:pPr>
        <w:pStyle w:val="DoEbodytext2018"/>
      </w:pPr>
      <w:r>
        <w:t>Question 5 (5 marks)</w:t>
      </w:r>
    </w:p>
    <w:p w14:paraId="36F40F14" w14:textId="77777777" w:rsidR="000F2E4D" w:rsidRDefault="000F2E4D" w:rsidP="000F2E4D">
      <w:pPr>
        <w:pStyle w:val="DoEheading52018"/>
      </w:pPr>
      <w:r>
        <w:t>Sample answer</w:t>
      </w:r>
    </w:p>
    <w:p w14:paraId="4BF34BF4" w14:textId="77777777" w:rsidR="000F2E4D" w:rsidRPr="000F2E4D" w:rsidRDefault="000F2E4D" w:rsidP="000F2E4D">
      <w:pPr>
        <w:pStyle w:val="DoEbodytext2018"/>
        <w:rPr>
          <w:lang w:eastAsia="en-US"/>
        </w:rPr>
      </w:pPr>
      <w:r w:rsidRPr="000F2E4D">
        <w:rPr>
          <w:lang w:eastAsia="en-US"/>
        </w:rPr>
        <w:t>Text 4 reveals that the nature of human behaviour is one of responsibility oft</w:t>
      </w:r>
      <w:r>
        <w:rPr>
          <w:lang w:eastAsia="en-US"/>
        </w:rPr>
        <w:t xml:space="preserve">en governed by fear. </w:t>
      </w:r>
      <w:r w:rsidRPr="000F2E4D">
        <w:rPr>
          <w:lang w:eastAsia="en-US"/>
        </w:rPr>
        <w:t>Humans have a duty to their children, much like the persona has to the look after the child; but are often fearful abou</w:t>
      </w:r>
      <w:r>
        <w:rPr>
          <w:lang w:eastAsia="en-US"/>
        </w:rPr>
        <w:t>t the potential of the unknown.</w:t>
      </w:r>
      <w:r w:rsidRPr="000F2E4D">
        <w:rPr>
          <w:lang w:eastAsia="en-US"/>
        </w:rPr>
        <w:t xml:space="preserve"> As the persona awakens in the woods, he is c</w:t>
      </w:r>
      <w:r>
        <w:rPr>
          <w:lang w:eastAsia="en-US"/>
        </w:rPr>
        <w:t>hallenged by his surroundings, ‘</w:t>
      </w:r>
      <w:r w:rsidRPr="000F2E4D">
        <w:rPr>
          <w:lang w:eastAsia="en-US"/>
        </w:rPr>
        <w:t>barren, silent, godless… there’d be no</w:t>
      </w:r>
      <w:r>
        <w:rPr>
          <w:lang w:eastAsia="en-US"/>
        </w:rPr>
        <w:t xml:space="preserve"> surviving another winter here.’ </w:t>
      </w:r>
      <w:r w:rsidRPr="000F2E4D">
        <w:rPr>
          <w:lang w:eastAsia="en-US"/>
        </w:rPr>
        <w:t>Descriptive language highlights the desolate setting as the persona is challenged by the need</w:t>
      </w:r>
      <w:r>
        <w:rPr>
          <w:lang w:eastAsia="en-US"/>
        </w:rPr>
        <w:t xml:space="preserve"> to continue on their journey. </w:t>
      </w:r>
      <w:r w:rsidRPr="000F2E4D">
        <w:rPr>
          <w:lang w:eastAsia="en-US"/>
        </w:rPr>
        <w:t>This sense of urgency invites the responder to see the world as a foreboding, barren place where one must fight to survive.</w:t>
      </w:r>
    </w:p>
    <w:p w14:paraId="4FB5B9BD" w14:textId="77777777" w:rsidR="000F2E4D" w:rsidRDefault="000F2E4D">
      <w:pPr>
        <w:spacing w:before="0" w:line="240" w:lineRule="auto"/>
        <w:rPr>
          <w:lang w:eastAsia="en-US"/>
        </w:rPr>
      </w:pPr>
      <w:r>
        <w:rPr>
          <w:lang w:eastAsia="en-US"/>
        </w:rPr>
        <w:br w:type="page"/>
      </w:r>
    </w:p>
    <w:p w14:paraId="09A3694C" w14:textId="77777777" w:rsidR="00B869A1" w:rsidRDefault="000F2E4D" w:rsidP="000F2E4D">
      <w:pPr>
        <w:pStyle w:val="DoEheading32018"/>
      </w:pPr>
      <w:r>
        <w:lastRenderedPageBreak/>
        <w:t>Part B</w:t>
      </w:r>
    </w:p>
    <w:p w14:paraId="5D0B2FB8" w14:textId="77777777" w:rsidR="000F2E4D" w:rsidRDefault="000F2E4D" w:rsidP="000F2E4D">
      <w:pPr>
        <w:pStyle w:val="DoEbodytext2018"/>
        <w:rPr>
          <w:lang w:eastAsia="en-US"/>
        </w:rPr>
      </w:pPr>
      <w:r>
        <w:rPr>
          <w:lang w:eastAsia="en-US"/>
        </w:rPr>
        <w:t>These guidelines are generic and will need to be adjusted for specific questions.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is the marking criteria for the assessment tasks. Examines the marks that can be received based on the level of work completed by the student. (marking criteria)&#10;"/>
      </w:tblPr>
      <w:tblGrid>
        <w:gridCol w:w="9351"/>
        <w:gridCol w:w="1411"/>
      </w:tblGrid>
      <w:tr w:rsidR="000F2E4D" w14:paraId="5C48E692" w14:textId="77777777" w:rsidTr="000F2E4D">
        <w:trPr>
          <w:cantSplit/>
          <w:tblHeader/>
        </w:trPr>
        <w:tc>
          <w:tcPr>
            <w:tcW w:w="9351" w:type="dxa"/>
          </w:tcPr>
          <w:p w14:paraId="11329F02" w14:textId="77777777" w:rsidR="000F2E4D" w:rsidRDefault="000F2E4D" w:rsidP="000F2E4D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Criteria</w:t>
            </w:r>
          </w:p>
        </w:tc>
        <w:tc>
          <w:tcPr>
            <w:tcW w:w="1411" w:type="dxa"/>
          </w:tcPr>
          <w:p w14:paraId="5E0AB830" w14:textId="77777777" w:rsidR="000F2E4D" w:rsidRDefault="000F2E4D" w:rsidP="000F2E4D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Marks</w:t>
            </w:r>
          </w:p>
        </w:tc>
      </w:tr>
      <w:tr w:rsidR="000F2E4D" w14:paraId="59E04B37" w14:textId="77777777" w:rsidTr="000F2E4D">
        <w:tc>
          <w:tcPr>
            <w:tcW w:w="9351" w:type="dxa"/>
          </w:tcPr>
          <w:p w14:paraId="73C266C6" w14:textId="77777777" w:rsidR="000F2E4D" w:rsidRDefault="000F2E4D" w:rsidP="000F2E4D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Skilfully demonstrates understanding of human experiences gained from the study of the prescribed text</w:t>
            </w:r>
          </w:p>
          <w:p w14:paraId="03ED9DD0" w14:textId="77777777" w:rsidR="000F2E4D" w:rsidRDefault="000F2E4D" w:rsidP="000F2E4D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Example A and B would use the quote as a starting point</w:t>
            </w:r>
          </w:p>
          <w:p w14:paraId="4DCBECFC" w14:textId="77777777" w:rsidR="000F2E4D" w:rsidRDefault="000F2E4D" w:rsidP="000F2E4D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Example C would use text 4 as a starting point</w:t>
            </w:r>
          </w:p>
          <w:p w14:paraId="234F50C5" w14:textId="77777777" w:rsidR="000F2E4D" w:rsidRDefault="000F2E4D" w:rsidP="000F2E4D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Provides a detailed understanding of the ways language shapes and expresses perceptions</w:t>
            </w:r>
          </w:p>
          <w:p w14:paraId="34DA6B83" w14:textId="77777777" w:rsidR="000F2E4D" w:rsidRDefault="000F2E4D" w:rsidP="000F2E4D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Skilfully uses the language structures and features of an extended response</w:t>
            </w:r>
          </w:p>
        </w:tc>
        <w:tc>
          <w:tcPr>
            <w:tcW w:w="1411" w:type="dxa"/>
          </w:tcPr>
          <w:p w14:paraId="3A5B412E" w14:textId="77777777" w:rsidR="000F2E4D" w:rsidRDefault="000F2E4D" w:rsidP="000F2E4D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13-15</w:t>
            </w:r>
          </w:p>
        </w:tc>
      </w:tr>
      <w:tr w:rsidR="000F2E4D" w14:paraId="65BEF1BC" w14:textId="77777777" w:rsidTr="000F2E4D">
        <w:tc>
          <w:tcPr>
            <w:tcW w:w="9351" w:type="dxa"/>
          </w:tcPr>
          <w:p w14:paraId="0CB25E17" w14:textId="77777777" w:rsidR="000F2E4D" w:rsidRDefault="000F2E4D" w:rsidP="000F2E4D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Effectively demonstrates understanding of human experiences gained from the study of the prescribed text</w:t>
            </w:r>
          </w:p>
          <w:p w14:paraId="31D05B6B" w14:textId="77777777" w:rsidR="000F2E4D" w:rsidRDefault="000F2E4D" w:rsidP="000F2E4D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Example A and B would use the quote as a starting point</w:t>
            </w:r>
          </w:p>
          <w:p w14:paraId="214FE127" w14:textId="77777777" w:rsidR="000F2E4D" w:rsidRDefault="000F2E4D" w:rsidP="000F2E4D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Example C would use text 4 as a starting point</w:t>
            </w:r>
          </w:p>
          <w:p w14:paraId="107D6160" w14:textId="77777777" w:rsidR="000F2E4D" w:rsidRDefault="000F2E4D" w:rsidP="000F2E4D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Provides a somewhat detailed understanding of the ways language shapes and expresses perceptions</w:t>
            </w:r>
          </w:p>
          <w:p w14:paraId="350D48F0" w14:textId="77777777" w:rsidR="000F2E4D" w:rsidRDefault="000F2E4D" w:rsidP="000F2E4D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Effectively uses the language structures and features of an extended response</w:t>
            </w:r>
          </w:p>
        </w:tc>
        <w:tc>
          <w:tcPr>
            <w:tcW w:w="1411" w:type="dxa"/>
          </w:tcPr>
          <w:p w14:paraId="59B3E758" w14:textId="77777777" w:rsidR="000F2E4D" w:rsidRDefault="00C620BA" w:rsidP="000F2E4D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10-12</w:t>
            </w:r>
          </w:p>
        </w:tc>
      </w:tr>
      <w:tr w:rsidR="000F2E4D" w14:paraId="05B04553" w14:textId="77777777" w:rsidTr="000F2E4D">
        <w:tc>
          <w:tcPr>
            <w:tcW w:w="9351" w:type="dxa"/>
          </w:tcPr>
          <w:p w14:paraId="694CA02C" w14:textId="77777777" w:rsidR="000F2E4D" w:rsidRDefault="000F2E4D" w:rsidP="000F2E4D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Soundly demonstrates understanding of human experiences gained from the study of the prescribed text</w:t>
            </w:r>
          </w:p>
          <w:p w14:paraId="3BA9A0E2" w14:textId="77777777" w:rsidR="000F2E4D" w:rsidRDefault="000F2E4D" w:rsidP="00C620BA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Example A and B would use the quote as a starting point</w:t>
            </w:r>
          </w:p>
          <w:p w14:paraId="758DE354" w14:textId="77777777" w:rsidR="000F2E4D" w:rsidRDefault="00C620BA" w:rsidP="00C620BA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Example C would use t</w:t>
            </w:r>
            <w:r w:rsidR="000F2E4D">
              <w:rPr>
                <w:lang w:eastAsia="en-US"/>
              </w:rPr>
              <w:t>ext 4 as a starting point</w:t>
            </w:r>
          </w:p>
          <w:p w14:paraId="5F56F690" w14:textId="77777777" w:rsidR="000F2E4D" w:rsidRDefault="000F2E4D" w:rsidP="000F2E4D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Provides a satisfactory understanding of the ways language shapes and expresses perceptions</w:t>
            </w:r>
          </w:p>
          <w:p w14:paraId="263DE5A1" w14:textId="77777777" w:rsidR="000F2E4D" w:rsidRDefault="000F2E4D" w:rsidP="000F2E4D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Generally uses the language structures and features of an extended response</w:t>
            </w:r>
          </w:p>
        </w:tc>
        <w:tc>
          <w:tcPr>
            <w:tcW w:w="1411" w:type="dxa"/>
          </w:tcPr>
          <w:p w14:paraId="2F9F19DF" w14:textId="77777777" w:rsidR="000F2E4D" w:rsidRDefault="00C620BA" w:rsidP="000F2E4D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7-9</w:t>
            </w:r>
          </w:p>
        </w:tc>
      </w:tr>
      <w:tr w:rsidR="000F2E4D" w14:paraId="2D1C2416" w14:textId="77777777" w:rsidTr="000F2E4D">
        <w:tc>
          <w:tcPr>
            <w:tcW w:w="9351" w:type="dxa"/>
          </w:tcPr>
          <w:p w14:paraId="5660354D" w14:textId="77777777" w:rsidR="00C620BA" w:rsidRDefault="00C620BA" w:rsidP="00C620BA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Comments on human experience in the prescribed text</w:t>
            </w:r>
          </w:p>
          <w:p w14:paraId="43E9B4FF" w14:textId="77777777" w:rsidR="00C620BA" w:rsidRDefault="00C620BA" w:rsidP="00C620BA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Example A and B, the quote is used in a limited way</w:t>
            </w:r>
          </w:p>
          <w:p w14:paraId="77D1754C" w14:textId="77777777" w:rsidR="00C620BA" w:rsidRDefault="00C620BA" w:rsidP="00C620BA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Example C, text 4 is used in a limited way</w:t>
            </w:r>
          </w:p>
          <w:p w14:paraId="398DDC92" w14:textId="77777777" w:rsidR="000F2E4D" w:rsidRDefault="00C620BA" w:rsidP="00C620BA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Uses some language structures and features of an extended response</w:t>
            </w:r>
          </w:p>
        </w:tc>
        <w:tc>
          <w:tcPr>
            <w:tcW w:w="1411" w:type="dxa"/>
          </w:tcPr>
          <w:p w14:paraId="12539F8A" w14:textId="77777777" w:rsidR="000F2E4D" w:rsidRDefault="00C620BA" w:rsidP="000F2E4D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4-6</w:t>
            </w:r>
          </w:p>
        </w:tc>
      </w:tr>
      <w:tr w:rsidR="000F2E4D" w14:paraId="4E889515" w14:textId="77777777" w:rsidTr="000F2E4D">
        <w:tc>
          <w:tcPr>
            <w:tcW w:w="9351" w:type="dxa"/>
          </w:tcPr>
          <w:p w14:paraId="2BA12740" w14:textId="77777777" w:rsidR="00C620BA" w:rsidRDefault="00C620BA" w:rsidP="00C620BA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ab/>
              <w:t>Attempts to respond to the question</w:t>
            </w:r>
          </w:p>
          <w:p w14:paraId="606B921F" w14:textId="77777777" w:rsidR="00C620BA" w:rsidRDefault="00C620BA" w:rsidP="00C620BA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Refers to the prescribed text and/or quote in a limited way; may rely heavily on recounting the plot</w:t>
            </w:r>
          </w:p>
          <w:p w14:paraId="19D1A13B" w14:textId="77777777" w:rsidR="000F2E4D" w:rsidRDefault="00C620BA" w:rsidP="00C620BA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Limited control of language and expression</w:t>
            </w:r>
          </w:p>
        </w:tc>
        <w:tc>
          <w:tcPr>
            <w:tcW w:w="1411" w:type="dxa"/>
          </w:tcPr>
          <w:p w14:paraId="1A23127A" w14:textId="77777777" w:rsidR="000F2E4D" w:rsidRDefault="00C620BA" w:rsidP="000F2E4D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1-3</w:t>
            </w:r>
          </w:p>
        </w:tc>
      </w:tr>
    </w:tbl>
    <w:p w14:paraId="68CC1A66" w14:textId="77777777" w:rsidR="00C620BA" w:rsidRDefault="00C620BA" w:rsidP="00C620BA">
      <w:pPr>
        <w:pStyle w:val="DoEbodytext2018"/>
        <w:rPr>
          <w:rFonts w:ascii="Helvetica" w:hAnsi="Helvetica"/>
          <w:sz w:val="20"/>
          <w:szCs w:val="20"/>
          <w:lang w:eastAsia="en-US"/>
        </w:rPr>
      </w:pPr>
      <w:r>
        <w:rPr>
          <w:lang w:eastAsia="en-US"/>
        </w:rPr>
        <w:br w:type="page"/>
      </w:r>
    </w:p>
    <w:p w14:paraId="791D97BD" w14:textId="77777777" w:rsidR="000F2E4D" w:rsidRDefault="00B40427" w:rsidP="00B40427">
      <w:pPr>
        <w:pStyle w:val="DoEheading32018"/>
      </w:pPr>
      <w:r>
        <w:lastRenderedPageBreak/>
        <w:t>Section 2 – focus on writing</w:t>
      </w:r>
    </w:p>
    <w:p w14:paraId="7F5321F2" w14:textId="77777777" w:rsidR="00B40427" w:rsidRDefault="00B40427" w:rsidP="00B40427">
      <w:pPr>
        <w:pStyle w:val="DoEbodytext2018"/>
        <w:rPr>
          <w:lang w:eastAsia="en-US"/>
        </w:rPr>
      </w:pPr>
      <w:r>
        <w:rPr>
          <w:lang w:eastAsia="en-US"/>
        </w:rPr>
        <w:t>These guidelines are generic and will need to be adjusted for specific questions.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is the marking criteria for the assessment tasks. Examines the marks that can be received based on the level of work completed by the student. (marking criteria)&#10;"/>
      </w:tblPr>
      <w:tblGrid>
        <w:gridCol w:w="9351"/>
        <w:gridCol w:w="1411"/>
      </w:tblGrid>
      <w:tr w:rsidR="00B40427" w14:paraId="6B65D88C" w14:textId="77777777" w:rsidTr="00B40427">
        <w:trPr>
          <w:cantSplit/>
          <w:tblHeader/>
        </w:trPr>
        <w:tc>
          <w:tcPr>
            <w:tcW w:w="9351" w:type="dxa"/>
          </w:tcPr>
          <w:p w14:paraId="334A3D85" w14:textId="77777777" w:rsidR="00B40427" w:rsidRDefault="00B40427" w:rsidP="00B40427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Criteria</w:t>
            </w:r>
          </w:p>
        </w:tc>
        <w:tc>
          <w:tcPr>
            <w:tcW w:w="1411" w:type="dxa"/>
          </w:tcPr>
          <w:p w14:paraId="4226F3DA" w14:textId="77777777" w:rsidR="00B40427" w:rsidRDefault="00B40427" w:rsidP="00B40427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Marks</w:t>
            </w:r>
          </w:p>
        </w:tc>
      </w:tr>
      <w:tr w:rsidR="00B40427" w14:paraId="0B8D5D64" w14:textId="77777777" w:rsidTr="00B40427">
        <w:tc>
          <w:tcPr>
            <w:tcW w:w="9351" w:type="dxa"/>
          </w:tcPr>
          <w:p w14:paraId="3D315158" w14:textId="77777777" w:rsidR="00B40427" w:rsidRDefault="00B40427" w:rsidP="00B40427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Skilfully organises, develops and sustains ideas relevant to the specific question</w:t>
            </w:r>
          </w:p>
          <w:p w14:paraId="280A78C2" w14:textId="77777777" w:rsidR="00B40427" w:rsidRDefault="00B40427" w:rsidP="00B4042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Example A, answers would refer to the ideas in the infographic</w:t>
            </w:r>
          </w:p>
          <w:p w14:paraId="34C77182" w14:textId="77777777" w:rsidR="00B40427" w:rsidRDefault="00B40427" w:rsidP="00B4042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Example B, answers would refer to the novel excerpt</w:t>
            </w:r>
          </w:p>
          <w:p w14:paraId="625A698F" w14:textId="77777777" w:rsidR="00B40427" w:rsidRDefault="00B40427" w:rsidP="00B40427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Demonstrates highly controlled language appropriate to audience, context and purpose</w:t>
            </w:r>
          </w:p>
          <w:p w14:paraId="41906AEA" w14:textId="77777777" w:rsidR="00B40427" w:rsidRDefault="00B40427" w:rsidP="00B40427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Skilfully uses the forms and features relevant to the textual style and form</w:t>
            </w:r>
          </w:p>
          <w:p w14:paraId="5C627649" w14:textId="77777777" w:rsidR="00B40427" w:rsidRDefault="00B40427" w:rsidP="00B4042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Example A, answers would be in the form of a feature article</w:t>
            </w:r>
          </w:p>
          <w:p w14:paraId="4860C235" w14:textId="77777777" w:rsidR="00B40427" w:rsidRDefault="00B40427" w:rsidP="00B4042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Example B, answers would be in the form of creative writing</w:t>
            </w:r>
          </w:p>
        </w:tc>
        <w:tc>
          <w:tcPr>
            <w:tcW w:w="1411" w:type="dxa"/>
          </w:tcPr>
          <w:p w14:paraId="4307567A" w14:textId="77777777" w:rsidR="00B40427" w:rsidRDefault="000D72B6" w:rsidP="00B4042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13-15</w:t>
            </w:r>
          </w:p>
        </w:tc>
      </w:tr>
      <w:tr w:rsidR="00B40427" w14:paraId="2FF26B6D" w14:textId="77777777" w:rsidTr="00B40427">
        <w:tc>
          <w:tcPr>
            <w:tcW w:w="9351" w:type="dxa"/>
          </w:tcPr>
          <w:p w14:paraId="49447B5A" w14:textId="77777777" w:rsidR="000D72B6" w:rsidRDefault="000D72B6" w:rsidP="000D72B6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Effectively organises, develops and sustains ideas relevant to the specific question</w:t>
            </w:r>
          </w:p>
          <w:p w14:paraId="633D041C" w14:textId="77777777" w:rsidR="000D72B6" w:rsidRDefault="000D72B6" w:rsidP="000D72B6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Demonstrates controlled language appropriate to audience, context and purpose</w:t>
            </w:r>
          </w:p>
          <w:p w14:paraId="36D38CE6" w14:textId="77777777" w:rsidR="00B40427" w:rsidRDefault="000D72B6" w:rsidP="000D72B6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Effectively uses the forms and features relevant to the textual style and form</w:t>
            </w:r>
          </w:p>
        </w:tc>
        <w:tc>
          <w:tcPr>
            <w:tcW w:w="1411" w:type="dxa"/>
          </w:tcPr>
          <w:p w14:paraId="6CD12E84" w14:textId="77777777" w:rsidR="00B40427" w:rsidRDefault="000D72B6" w:rsidP="00B4042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10-12</w:t>
            </w:r>
          </w:p>
        </w:tc>
      </w:tr>
      <w:tr w:rsidR="00B40427" w14:paraId="12E61918" w14:textId="77777777" w:rsidTr="00B40427">
        <w:tc>
          <w:tcPr>
            <w:tcW w:w="9351" w:type="dxa"/>
          </w:tcPr>
          <w:p w14:paraId="020FF69D" w14:textId="77777777" w:rsidR="000D72B6" w:rsidRDefault="000D72B6" w:rsidP="000D72B6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Soundly organises, develops and sustains ideas relevant to the specific question</w:t>
            </w:r>
          </w:p>
          <w:p w14:paraId="3974997C" w14:textId="77777777" w:rsidR="000D72B6" w:rsidRDefault="000D72B6" w:rsidP="000D72B6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Adequate control of language appropriate to audience, context and purpose</w:t>
            </w:r>
          </w:p>
          <w:p w14:paraId="49310995" w14:textId="77777777" w:rsidR="00B40427" w:rsidRDefault="000D72B6" w:rsidP="000D72B6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Adequately uses the forms and features relevant to the textual style and form</w:t>
            </w:r>
          </w:p>
        </w:tc>
        <w:tc>
          <w:tcPr>
            <w:tcW w:w="1411" w:type="dxa"/>
          </w:tcPr>
          <w:p w14:paraId="79497A4F" w14:textId="77777777" w:rsidR="00B40427" w:rsidRDefault="000D72B6" w:rsidP="00B4042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7-9</w:t>
            </w:r>
          </w:p>
        </w:tc>
      </w:tr>
      <w:tr w:rsidR="00B40427" w14:paraId="6A7F216D" w14:textId="77777777" w:rsidTr="00B40427">
        <w:tc>
          <w:tcPr>
            <w:tcW w:w="9351" w:type="dxa"/>
          </w:tcPr>
          <w:p w14:paraId="205D72E1" w14:textId="77777777" w:rsidR="000D72B6" w:rsidRDefault="000D72B6" w:rsidP="000D72B6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Attempts to develop an idea that is relevant to the specific question</w:t>
            </w:r>
          </w:p>
          <w:p w14:paraId="3C0CEE51" w14:textId="77777777" w:rsidR="00B40427" w:rsidRDefault="000D72B6" w:rsidP="000D72B6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Demonstrates limited control of language</w:t>
            </w:r>
          </w:p>
        </w:tc>
        <w:tc>
          <w:tcPr>
            <w:tcW w:w="1411" w:type="dxa"/>
          </w:tcPr>
          <w:p w14:paraId="571F6554" w14:textId="77777777" w:rsidR="00B40427" w:rsidRDefault="000D72B6" w:rsidP="00B4042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4-6</w:t>
            </w:r>
          </w:p>
        </w:tc>
      </w:tr>
      <w:tr w:rsidR="00B40427" w14:paraId="02054A96" w14:textId="77777777" w:rsidTr="00B40427">
        <w:tc>
          <w:tcPr>
            <w:tcW w:w="9351" w:type="dxa"/>
          </w:tcPr>
          <w:p w14:paraId="2A32519A" w14:textId="77777777" w:rsidR="00B40427" w:rsidRDefault="000D72B6" w:rsidP="000D72B6">
            <w:pPr>
              <w:pStyle w:val="DoEtablelist1bullet2018"/>
              <w:rPr>
                <w:lang w:eastAsia="en-US"/>
              </w:rPr>
            </w:pPr>
            <w:r w:rsidRPr="000D72B6">
              <w:rPr>
                <w:lang w:eastAsia="en-US"/>
              </w:rPr>
              <w:t>•</w:t>
            </w:r>
            <w:r w:rsidRPr="000D72B6">
              <w:rPr>
                <w:lang w:eastAsia="en-US"/>
              </w:rPr>
              <w:tab/>
              <w:t>Attempts to develop a response with minimal control of language</w:t>
            </w:r>
          </w:p>
        </w:tc>
        <w:tc>
          <w:tcPr>
            <w:tcW w:w="1411" w:type="dxa"/>
          </w:tcPr>
          <w:p w14:paraId="67715636" w14:textId="77777777" w:rsidR="00B40427" w:rsidRDefault="000D72B6" w:rsidP="00B4042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1-3</w:t>
            </w:r>
          </w:p>
        </w:tc>
      </w:tr>
    </w:tbl>
    <w:p w14:paraId="200AFE5D" w14:textId="77777777" w:rsidR="00B40427" w:rsidRDefault="000D72B6" w:rsidP="00B40427">
      <w:pPr>
        <w:pStyle w:val="DoEbodytext2018"/>
        <w:rPr>
          <w:lang w:eastAsia="en-US"/>
        </w:rPr>
      </w:pPr>
      <w:r w:rsidRPr="000D72B6">
        <w:rPr>
          <w:lang w:eastAsia="en-US"/>
        </w:rPr>
        <w:t>This marking criteria was informed by and slightly adapted from the sample examination materials provided by</w:t>
      </w:r>
      <w:r>
        <w:rPr>
          <w:lang w:eastAsia="en-US"/>
        </w:rPr>
        <w:t xml:space="preserve"> NSW Education Standards Authority</w:t>
      </w:r>
      <w:r w:rsidRPr="000D72B6">
        <w:rPr>
          <w:lang w:eastAsia="en-US"/>
        </w:rPr>
        <w:t xml:space="preserve"> </w:t>
      </w:r>
      <w:r>
        <w:rPr>
          <w:lang w:eastAsia="en-US"/>
        </w:rPr>
        <w:t>(</w:t>
      </w:r>
      <w:r w:rsidRPr="000D72B6">
        <w:rPr>
          <w:lang w:eastAsia="en-US"/>
        </w:rPr>
        <w:t>NESA</w:t>
      </w:r>
      <w:r>
        <w:rPr>
          <w:lang w:eastAsia="en-US"/>
        </w:rPr>
        <w:t>)</w:t>
      </w:r>
      <w:r w:rsidRPr="000D72B6">
        <w:rPr>
          <w:lang w:eastAsia="en-US"/>
        </w:rPr>
        <w:t xml:space="preserve"> on the following site:</w:t>
      </w:r>
    </w:p>
    <w:p w14:paraId="60CCED28" w14:textId="77777777" w:rsidR="000D72B6" w:rsidRPr="00B40427" w:rsidRDefault="007D521B" w:rsidP="00B40427">
      <w:pPr>
        <w:pStyle w:val="DoEbodytext2018"/>
        <w:rPr>
          <w:lang w:eastAsia="en-US"/>
        </w:rPr>
      </w:pPr>
      <w:hyperlink r:id="rId12" w:history="1">
        <w:r w:rsidR="000D72B6">
          <w:rPr>
            <w:rStyle w:val="Hyperlink"/>
            <w:rFonts w:cs="Arial"/>
            <w:sz w:val="20"/>
            <w:szCs w:val="20"/>
          </w:rPr>
          <w:t>HSC English EALD paper 1 from NESA</w:t>
        </w:r>
      </w:hyperlink>
    </w:p>
    <w:sectPr w:rsidR="000D72B6" w:rsidRPr="00B40427" w:rsidSect="00667FEF">
      <w:footerReference w:type="even" r:id="rId13"/>
      <w:footerReference w:type="default" r:id="rId14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6B1F4" w14:textId="77777777" w:rsidR="00015E89" w:rsidRDefault="00015E89">
      <w:r>
        <w:separator/>
      </w:r>
    </w:p>
    <w:p w14:paraId="6E65D753" w14:textId="77777777" w:rsidR="00015E89" w:rsidRDefault="00015E89"/>
  </w:endnote>
  <w:endnote w:type="continuationSeparator" w:id="0">
    <w:p w14:paraId="7E478F38" w14:textId="77777777" w:rsidR="00015E89" w:rsidRDefault="00015E89">
      <w:r>
        <w:continuationSeparator/>
      </w:r>
    </w:p>
    <w:p w14:paraId="1A4E5560" w14:textId="77777777" w:rsidR="00015E89" w:rsidRDefault="00015E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966B5" w14:textId="77777777"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379B1">
      <w:rPr>
        <w:noProof/>
      </w:rPr>
      <w:t>4</w:t>
    </w:r>
    <w:r w:rsidRPr="004E338C">
      <w:fldChar w:fldCharType="end"/>
    </w:r>
    <w:r>
      <w:tab/>
    </w:r>
    <w:r>
      <w:tab/>
    </w:r>
    <w:r w:rsidR="000D72B6">
      <w:t>Sample paper 1 marking criteria with answers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356B3" w14:textId="77777777" w:rsidR="00BB366E" w:rsidRPr="00182340" w:rsidRDefault="00BB366E" w:rsidP="00667FEF">
    <w:pPr>
      <w:pStyle w:val="DoEfooter2018"/>
    </w:pPr>
    <w:r w:rsidRPr="00233AD0">
      <w:t xml:space="preserve">© </w:t>
    </w:r>
    <w:r w:rsidRPr="00AF3135">
      <w:t>NSW Department of Education</w:t>
    </w:r>
    <w:r>
      <w:t xml:space="preserve">, </w:t>
    </w:r>
    <w:r w:rsidR="009D1E8D">
      <w:t>September</w:t>
    </w:r>
    <w:r w:rsidR="004523C8">
      <w:t xml:space="preserve">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379B1">
      <w:rPr>
        <w:noProof/>
      </w:rPr>
      <w:t>3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8A0D5" w14:textId="77777777" w:rsidR="00015E89" w:rsidRDefault="00015E89">
      <w:r>
        <w:separator/>
      </w:r>
      <w:bookmarkStart w:id="0" w:name="_GoBack"/>
      <w:bookmarkEnd w:id="0"/>
    </w:p>
    <w:p w14:paraId="2C8EF973" w14:textId="77777777" w:rsidR="00015E89" w:rsidRDefault="00015E89"/>
  </w:footnote>
  <w:footnote w:type="continuationSeparator" w:id="0">
    <w:p w14:paraId="3C4F6C31" w14:textId="77777777" w:rsidR="00015E89" w:rsidRDefault="00015E89">
      <w:r>
        <w:continuationSeparator/>
      </w:r>
    </w:p>
    <w:p w14:paraId="4DF67655" w14:textId="77777777" w:rsidR="00015E89" w:rsidRDefault="00015E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DoEtablelist2numbered2018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C3D47"/>
    <w:multiLevelType w:val="hybridMultilevel"/>
    <w:tmpl w:val="18C228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0"/>
  </w:num>
  <w:num w:numId="5">
    <w:abstractNumId w:val="12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1"/>
  </w:num>
  <w:num w:numId="14">
    <w:abstractNumId w:val="7"/>
  </w:num>
  <w:num w:numId="15">
    <w:abstractNumId w:val="12"/>
  </w:num>
  <w:num w:numId="16">
    <w:abstractNumId w:val="8"/>
  </w:num>
  <w:num w:numId="17">
    <w:abstractNumId w:val="2"/>
  </w:num>
  <w:num w:numId="18">
    <w:abstractNumId w:val="12"/>
    <w:lvlOverride w:ilvl="0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</w:num>
  <w:num w:numId="33">
    <w:abstractNumId w:val="6"/>
  </w:num>
  <w:num w:numId="34">
    <w:abstractNumId w:val="6"/>
  </w:num>
  <w:num w:numId="35">
    <w:abstractNumId w:val="4"/>
  </w:num>
  <w:num w:numId="36">
    <w:abstractNumId w:val="4"/>
  </w:num>
  <w:num w:numId="37">
    <w:abstractNumId w:val="10"/>
  </w:num>
  <w:num w:numId="38">
    <w:abstractNumId w:val="12"/>
  </w:num>
  <w:num w:numId="39">
    <w:abstractNumId w:val="10"/>
  </w:num>
  <w:num w:numId="40">
    <w:abstractNumId w:val="8"/>
  </w:num>
  <w:num w:numId="41">
    <w:abstractNumId w:val="9"/>
  </w:num>
  <w:num w:numId="42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uppressTop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A8"/>
    <w:rsid w:val="000013BC"/>
    <w:rsid w:val="00004A37"/>
    <w:rsid w:val="00005034"/>
    <w:rsid w:val="000078D5"/>
    <w:rsid w:val="0001358F"/>
    <w:rsid w:val="00014490"/>
    <w:rsid w:val="00015E89"/>
    <w:rsid w:val="00020502"/>
    <w:rsid w:val="000208A3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B6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2E4D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2912"/>
    <w:rsid w:val="002B64F9"/>
    <w:rsid w:val="002B7F40"/>
    <w:rsid w:val="002C1BD1"/>
    <w:rsid w:val="002C1F7D"/>
    <w:rsid w:val="002C2FB4"/>
    <w:rsid w:val="002C3762"/>
    <w:rsid w:val="002C49A6"/>
    <w:rsid w:val="002C584C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54F8C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766F5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1F97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D521B"/>
    <w:rsid w:val="007E1F34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1E8D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0427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9A1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C7F"/>
    <w:rsid w:val="00C379B1"/>
    <w:rsid w:val="00C4210F"/>
    <w:rsid w:val="00C4216B"/>
    <w:rsid w:val="00C42475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20B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0EA8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A73452E"/>
  <w15:docId w15:val="{52EE20C7-9BFB-4093-ADE9-9D95BBE6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E23E79"/>
    <w:pPr>
      <w:numPr>
        <w:numId w:val="3"/>
      </w:numPr>
      <w:ind w:left="879" w:hanging="340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documenttitle2018">
    <w:name w:val="DoE document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3C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3C8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523C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3C8"/>
    <w:rPr>
      <w:rFonts w:ascii="Arial" w:hAnsi="Arial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C42475"/>
    <w:pPr>
      <w:spacing w:before="0"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ducationstandards.nsw.edu.au/wps/wcm/connect/ce32b8d5-4096-461e-8bd5-81cbc81a83d6/sample-questions-new-hsc-english-eald-paper-1-exam-2019.pdf?MOD=AJPERES&amp;CVI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F63AC-7F1F-4C57-A8FE-BB1B5EB3D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0AA7A-F654-40C6-93EF-ED5803AA0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4949AB-625B-4636-8A87-8479781E6435}">
  <ds:schemaRefs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3ed67ec9-b64a-4b93-a027-d5f88b112957"/>
    <ds:schemaRef ds:uri="http://purl.org/dc/elements/1.1/"/>
    <ds:schemaRef ds:uri="http://schemas.microsoft.com/office/infopath/2007/PartnerControls"/>
    <ds:schemaRef ds:uri="185ad172-241e-46eb-b06f-b9e9435fe3ab"/>
  </ds:schemaRefs>
</ds:datastoreItem>
</file>

<file path=customXml/itemProps4.xml><?xml version="1.0" encoding="utf-8"?>
<ds:datastoreItem xmlns:ds="http://schemas.openxmlformats.org/officeDocument/2006/customXml" ds:itemID="{6E80CFF3-AAD3-4B39-B289-8227E208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EALD – Sample paper 1</dc:title>
  <dc:subject/>
  <dc:creator>NSW Department of Education</dc:creator>
  <cp:keywords>Stage 6</cp:keywords>
  <dc:description/>
  <dcterms:created xsi:type="dcterms:W3CDTF">2021-10-26T20:17:00Z</dcterms:created>
  <dcterms:modified xsi:type="dcterms:W3CDTF">2021-10-26T20:17:00Z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