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ACD93" w14:textId="77777777" w:rsidR="00857C87" w:rsidRPr="00857C87" w:rsidRDefault="00857C87" w:rsidP="00857C87">
      <w:pPr>
        <w:pStyle w:val="Heading1"/>
        <w:rPr>
          <w:sz w:val="40"/>
          <w:szCs w:val="40"/>
        </w:rPr>
      </w:pPr>
      <w:r w:rsidRPr="00857C87">
        <w:t xml:space="preserve">Strong and successful start to school - tailored transition support  </w:t>
      </w:r>
    </w:p>
    <w:p w14:paraId="350EB176" w14:textId="23CB22B6" w:rsidR="00857C87" w:rsidRDefault="00857C87" w:rsidP="00857C87">
      <w:r w:rsidRPr="00857C87">
        <w:t>The evidence base highlights the importance of tailoring transition practices for identified equity groups. An understanding of the child’s existing skills and knowledge enables schools to provide a differentiated approach.</w:t>
      </w:r>
    </w:p>
    <w:p w14:paraId="622F0693" w14:textId="180D548A" w:rsidR="00DA1E55" w:rsidRDefault="00857C87" w:rsidP="00857C87">
      <w:pPr>
        <w:pStyle w:val="Heading2"/>
      </w:pPr>
      <w:r>
        <w:t>Strategies</w:t>
      </w:r>
      <w:r w:rsidR="00DA1E55">
        <w:t xml:space="preserve"> for </w:t>
      </w:r>
      <w:r w:rsidR="00DA1E55" w:rsidRPr="07FB864B">
        <w:t>High potential and gifted education</w:t>
      </w:r>
      <w:r>
        <w:t xml:space="preserve"> </w:t>
      </w:r>
      <w:r w:rsidR="00DA1E55" w:rsidRPr="07FB864B">
        <w:t>(HPGE)</w:t>
      </w:r>
      <w:r>
        <w:t xml:space="preserve"> students</w:t>
      </w:r>
    </w:p>
    <w:p w14:paraId="411C1024" w14:textId="3BAC5477" w:rsidR="00DA1E55" w:rsidRPr="00DA1E55" w:rsidRDefault="00DA1E55" w:rsidP="00DA1E55">
      <w:pPr>
        <w:pStyle w:val="ListBullet"/>
        <w:rPr>
          <w:b/>
        </w:rPr>
      </w:pPr>
      <w:r w:rsidRPr="004B0240">
        <w:t xml:space="preserve">Processes, relationships </w:t>
      </w:r>
      <w:r w:rsidRPr="004B0240">
        <w:rPr>
          <w:lang w:eastAsia="en-AU"/>
        </w:rPr>
        <w:t xml:space="preserve">and communication lines are </w:t>
      </w:r>
      <w:r w:rsidRPr="004B0240">
        <w:t xml:space="preserve">in place to </w:t>
      </w:r>
      <w:r w:rsidRPr="004B0240">
        <w:rPr>
          <w:lang w:eastAsia="en-AU"/>
        </w:rPr>
        <w:t>assess and identify the needs of</w:t>
      </w:r>
      <w:r w:rsidRPr="004B0240">
        <w:t xml:space="preserve"> </w:t>
      </w:r>
      <w:r w:rsidRPr="004B0240">
        <w:rPr>
          <w:lang w:eastAsia="en-AU"/>
        </w:rPr>
        <w:t>high potential and gifted students in all</w:t>
      </w:r>
      <w:r w:rsidRPr="004B0240">
        <w:rPr>
          <w:color w:val="FF0000"/>
          <w:lang w:eastAsia="en-AU"/>
        </w:rPr>
        <w:t xml:space="preserve"> </w:t>
      </w:r>
      <w:r w:rsidRPr="004B0240">
        <w:rPr>
          <w:lang w:eastAsia="en-AU"/>
        </w:rPr>
        <w:t>domains</w:t>
      </w:r>
      <w:r w:rsidR="00857C87">
        <w:rPr>
          <w:color w:val="FF0000"/>
          <w:lang w:eastAsia="en-AU"/>
        </w:rPr>
        <w:t xml:space="preserve"> </w:t>
      </w:r>
      <w:r w:rsidRPr="004B0240">
        <w:t xml:space="preserve">who may need additional support and adjustments to ensure a successful transition. </w:t>
      </w:r>
    </w:p>
    <w:p w14:paraId="6CA40DA4" w14:textId="7611BE1E" w:rsidR="00DA1E55" w:rsidRPr="00DA1E55" w:rsidRDefault="00A6379A" w:rsidP="00B52087">
      <w:pPr>
        <w:pStyle w:val="ListBullet2"/>
        <w:numPr>
          <w:ilvl w:val="1"/>
          <w:numId w:val="3"/>
        </w:numPr>
      </w:pPr>
      <w:hyperlink r:id="rId11" w:history="1">
        <w:r w:rsidR="00DA1E55" w:rsidRPr="00DA1E55">
          <w:rPr>
            <w:rStyle w:val="Hyperlink"/>
            <w:rFonts w:cs="Arial"/>
          </w:rPr>
          <w:t>Assess and identify</w:t>
        </w:r>
      </w:hyperlink>
    </w:p>
    <w:p w14:paraId="6CAC413D" w14:textId="74F37B6A" w:rsidR="00DA1E55" w:rsidRPr="00DA1E55" w:rsidRDefault="00A6379A" w:rsidP="00B52087">
      <w:pPr>
        <w:pStyle w:val="ListBullet2"/>
        <w:numPr>
          <w:ilvl w:val="1"/>
          <w:numId w:val="3"/>
        </w:numPr>
      </w:pPr>
      <w:hyperlink r:id="rId12" w:anchor="Learning4">
        <w:r w:rsidR="00DA1E55" w:rsidRPr="667250EF">
          <w:rPr>
            <w:rStyle w:val="Hyperlink"/>
          </w:rPr>
          <w:t>Learning characteristics</w:t>
        </w:r>
      </w:hyperlink>
    </w:p>
    <w:p w14:paraId="274FBA52" w14:textId="34A452D6" w:rsidR="00DA1E55" w:rsidRPr="00DA1E55" w:rsidRDefault="00A6379A" w:rsidP="00DA1E55">
      <w:pPr>
        <w:pStyle w:val="ListBullet2"/>
      </w:pPr>
      <w:hyperlink r:id="rId13" w:history="1">
        <w:r w:rsidR="00DA1E55" w:rsidRPr="00DA1E55">
          <w:rPr>
            <w:rStyle w:val="Hyperlink"/>
            <w:rFonts w:cs="Arial"/>
          </w:rPr>
          <w:t>HPGE policy</w:t>
        </w:r>
      </w:hyperlink>
    </w:p>
    <w:p w14:paraId="38ABAAB0" w14:textId="77777777" w:rsidR="00DA1E55" w:rsidRPr="00DA1E55" w:rsidRDefault="00A6379A" w:rsidP="00DA1E55">
      <w:pPr>
        <w:pStyle w:val="ListBullet2"/>
      </w:pPr>
      <w:hyperlink r:id="rId14" w:anchor="How4" w:history="1">
        <w:r w:rsidR="00DA1E55" w:rsidRPr="00DA1E55">
          <w:rPr>
            <w:rStyle w:val="Hyperlink"/>
            <w:rFonts w:cs="Arial"/>
          </w:rPr>
          <w:t>Questions and answers: HPGE</w:t>
        </w:r>
      </w:hyperlink>
    </w:p>
    <w:p w14:paraId="2CC0060B" w14:textId="1AADE182" w:rsidR="00DA1E55" w:rsidRPr="00DA1E55" w:rsidRDefault="00A6379A" w:rsidP="00B52087">
      <w:pPr>
        <w:pStyle w:val="ListBullet2"/>
      </w:pPr>
      <w:hyperlink r:id="rId15">
        <w:r w:rsidR="00DA1E55" w:rsidRPr="667250EF">
          <w:rPr>
            <w:rStyle w:val="Hyperlink"/>
          </w:rPr>
          <w:t>Video: what do we mean by high potential and gifted students?</w:t>
        </w:r>
      </w:hyperlink>
    </w:p>
    <w:p w14:paraId="5DB4A13F" w14:textId="77777777" w:rsidR="00DA1E55" w:rsidRPr="00DA1E55" w:rsidRDefault="00DA1E55" w:rsidP="00DA1E55">
      <w:pPr>
        <w:pStyle w:val="ListBullet"/>
        <w:rPr>
          <w:b/>
        </w:rPr>
      </w:pPr>
      <w:r w:rsidRPr="004B0240">
        <w:rPr>
          <w:lang w:eastAsia="en-AU"/>
        </w:rPr>
        <w:t xml:space="preserve">Consult </w:t>
      </w:r>
      <w:r>
        <w:rPr>
          <w:lang w:eastAsia="en-AU"/>
        </w:rPr>
        <w:t>and collaborate</w:t>
      </w:r>
      <w:r w:rsidRPr="004B0240">
        <w:rPr>
          <w:lang w:eastAsia="en-AU"/>
        </w:rPr>
        <w:t xml:space="preserve"> with early childhood services and the HPGE team, </w:t>
      </w:r>
      <w:r w:rsidRPr="004B0240">
        <w:t>to enhance growth and achievement for all high potential and gifted students, particularly those from diverse backgrounds.</w:t>
      </w:r>
    </w:p>
    <w:p w14:paraId="759AD223" w14:textId="2D6B5597" w:rsidR="00DA1E55" w:rsidRDefault="00A6379A" w:rsidP="00DA1E55">
      <w:pPr>
        <w:pStyle w:val="ListBullet2"/>
      </w:pPr>
      <w:hyperlink r:id="rId16" w:history="1">
        <w:r w:rsidR="00DA1E55" w:rsidRPr="00DA1E55">
          <w:rPr>
            <w:rStyle w:val="Hyperlink"/>
          </w:rPr>
          <w:t>Collaborate</w:t>
        </w:r>
      </w:hyperlink>
      <w:r w:rsidR="00DA1E55">
        <w:t xml:space="preserve"> </w:t>
      </w:r>
    </w:p>
    <w:p w14:paraId="4F7C8A44" w14:textId="7A032FEC" w:rsidR="00DA1E55" w:rsidRPr="00DA1E55" w:rsidRDefault="00A6379A" w:rsidP="00B52087">
      <w:pPr>
        <w:pStyle w:val="ListBullet2"/>
      </w:pPr>
      <w:hyperlink r:id="rId17" w:anchor="Catering3" w:history="1">
        <w:r w:rsidR="00DA1E55" w:rsidRPr="00DA1E55">
          <w:rPr>
            <w:rStyle w:val="Hyperlink"/>
            <w:rFonts w:cs="Arial"/>
          </w:rPr>
          <w:t>Catering for diverse backgrounds and needs</w:t>
        </w:r>
      </w:hyperlink>
    </w:p>
    <w:p w14:paraId="77D12EC9" w14:textId="7AA53999" w:rsidR="00DA1E55" w:rsidRPr="00DA1E55" w:rsidRDefault="00A6379A" w:rsidP="00B52087">
      <w:pPr>
        <w:pStyle w:val="ListBullet2"/>
      </w:pPr>
      <w:hyperlink r:id="rId18" w:history="1">
        <w:r w:rsidR="00DA1E55" w:rsidRPr="00DA1E55">
          <w:rPr>
            <w:rStyle w:val="Hyperlink"/>
            <w:rFonts w:cs="Arial"/>
          </w:rPr>
          <w:t>Learning modes - Collaboration</w:t>
        </w:r>
      </w:hyperlink>
    </w:p>
    <w:p w14:paraId="2EFCDE4A" w14:textId="6E2FA791" w:rsidR="00DA1E55" w:rsidRPr="007C01A3" w:rsidRDefault="00A6379A" w:rsidP="00B52087">
      <w:pPr>
        <w:pStyle w:val="ListBullet2"/>
        <w:rPr>
          <w:rStyle w:val="Hyperlink"/>
          <w:color w:val="auto"/>
          <w:u w:val="none"/>
        </w:rPr>
      </w:pPr>
      <w:hyperlink r:id="rId19" w:history="1">
        <w:r w:rsidR="00DA1E55" w:rsidRPr="00DA1E55">
          <w:rPr>
            <w:rStyle w:val="Hyperlink"/>
            <w:rFonts w:cs="Arial"/>
          </w:rPr>
          <w:t>Inclusion</w:t>
        </w:r>
      </w:hyperlink>
    </w:p>
    <w:p w14:paraId="4A9DB7CA" w14:textId="3C62FEE1" w:rsidR="00EE5E0B" w:rsidRDefault="00EE5E0B" w:rsidP="00857C87">
      <w:pPr>
        <w:pStyle w:val="Heading3"/>
        <w:rPr>
          <w:i/>
        </w:rPr>
      </w:pPr>
      <w:r>
        <w:t xml:space="preserve">Reflective questions </w:t>
      </w:r>
    </w:p>
    <w:p w14:paraId="668376BD" w14:textId="24E39A28" w:rsidR="007C01A3" w:rsidRPr="007C01A3" w:rsidRDefault="007C01A3" w:rsidP="00EE5E0B">
      <w:pPr>
        <w:pStyle w:val="ListBullet"/>
      </w:pPr>
      <w:r w:rsidRPr="007C01A3">
        <w:t xml:space="preserve">Have we collaborated and identified children who require additional support? </w:t>
      </w:r>
    </w:p>
    <w:p w14:paraId="576406A3" w14:textId="6A29D72A" w:rsidR="007C01A3" w:rsidRDefault="007C01A3" w:rsidP="00EE5E0B">
      <w:pPr>
        <w:pStyle w:val="ListBullet"/>
      </w:pPr>
      <w:r w:rsidRPr="007C01A3">
        <w:t>Are our staff confident with the High potential and gifted policy?</w:t>
      </w:r>
    </w:p>
    <w:p w14:paraId="60FA0AD6" w14:textId="77777777" w:rsidR="00EE5E0B" w:rsidRPr="00233D69" w:rsidRDefault="00EE5E0B" w:rsidP="00857C87">
      <w:pPr>
        <w:pStyle w:val="Heading2"/>
      </w:pPr>
      <w:r>
        <w:lastRenderedPageBreak/>
        <w:t>Strategies</w:t>
      </w:r>
    </w:p>
    <w:p w14:paraId="35E88DBB" w14:textId="77777777" w:rsidR="00DA1E55" w:rsidRPr="00DA1E55" w:rsidRDefault="00DA1E55" w:rsidP="00DA1E55">
      <w:pPr>
        <w:pStyle w:val="ListBullet"/>
        <w:rPr>
          <w:b/>
        </w:rPr>
      </w:pPr>
      <w:r w:rsidRPr="00DA1E55">
        <w:t xml:space="preserve">Valid and reliable </w:t>
      </w:r>
      <w:r w:rsidRPr="00DA1E55">
        <w:rPr>
          <w:lang w:eastAsia="en-AU"/>
        </w:rPr>
        <w:t>assessment and data</w:t>
      </w:r>
      <w:r w:rsidRPr="00DA1E55">
        <w:t xml:space="preserve"> has been collated, including the Transition to school statement, and informs planning with </w:t>
      </w:r>
      <w:r w:rsidRPr="00DA1E55">
        <w:rPr>
          <w:lang w:eastAsia="en-AU"/>
        </w:rPr>
        <w:t>deliberate adjustments</w:t>
      </w:r>
      <w:r w:rsidRPr="00DA1E55">
        <w:t xml:space="preserve"> for beginning school.</w:t>
      </w:r>
    </w:p>
    <w:p w14:paraId="35921866" w14:textId="056920BA" w:rsidR="00DA1E55" w:rsidRDefault="00A6379A" w:rsidP="00DA1E55">
      <w:pPr>
        <w:pStyle w:val="ListBullet2"/>
      </w:pPr>
      <w:hyperlink r:id="rId20" w:anchor="Assessment1" w:history="1">
        <w:r w:rsidR="00DA1E55" w:rsidRPr="00DA1E55">
          <w:rPr>
            <w:rStyle w:val="Hyperlink"/>
          </w:rPr>
          <w:t>Assessment and identification practices</w:t>
        </w:r>
      </w:hyperlink>
    </w:p>
    <w:p w14:paraId="40BED640" w14:textId="4A734728" w:rsidR="00DA1E55" w:rsidRPr="00DA1E55" w:rsidRDefault="00A6379A" w:rsidP="00DA1E55">
      <w:pPr>
        <w:pStyle w:val="ListBullet2"/>
      </w:pPr>
      <w:hyperlink r:id="rId21" w:history="1">
        <w:r w:rsidR="00DA1E55" w:rsidRPr="00DA1E55">
          <w:rPr>
            <w:rStyle w:val="Hyperlink"/>
            <w:rFonts w:cs="Arial"/>
          </w:rPr>
          <w:t>Adjustments to teaching and learning</w:t>
        </w:r>
      </w:hyperlink>
    </w:p>
    <w:p w14:paraId="742E1CE1" w14:textId="062FAF9C" w:rsidR="00DA1E55" w:rsidRPr="00DA1E55" w:rsidRDefault="00A6379A" w:rsidP="00DA1E55">
      <w:pPr>
        <w:pStyle w:val="ListBullet2"/>
      </w:pPr>
      <w:hyperlink r:id="rId22" w:history="1">
        <w:r w:rsidR="00DA1E55" w:rsidRPr="00DA1E55">
          <w:rPr>
            <w:rStyle w:val="Hyperlink"/>
            <w:rFonts w:cs="Arial"/>
          </w:rPr>
          <w:t>Aspects of assessment</w:t>
        </w:r>
      </w:hyperlink>
    </w:p>
    <w:p w14:paraId="2816D675" w14:textId="77777777" w:rsidR="00DA1E55" w:rsidRPr="00DA1E55" w:rsidRDefault="00DA1E55" w:rsidP="00DA1E55">
      <w:pPr>
        <w:pStyle w:val="ListBullet"/>
      </w:pPr>
      <w:r w:rsidRPr="004B0240">
        <w:rPr>
          <w:rFonts w:cs="Arial"/>
          <w:lang w:eastAsia="en-AU"/>
        </w:rPr>
        <w:t xml:space="preserve">Significant curriculum adjustments are planned for the needs of those students identified as highly gifted and whose </w:t>
      </w:r>
      <w:r w:rsidRPr="004B0240">
        <w:rPr>
          <w:rFonts w:cs="Arial"/>
        </w:rPr>
        <w:t>potential vastly exceeds that of students of the same age in one or more domains</w:t>
      </w:r>
    </w:p>
    <w:p w14:paraId="0F2DFD94" w14:textId="54149DDD" w:rsidR="00DA1E55" w:rsidRDefault="00A6379A" w:rsidP="00DA1E55">
      <w:pPr>
        <w:pStyle w:val="ListBullet2"/>
      </w:pPr>
      <w:hyperlink r:id="rId23" w:anchor="Catering3" w:history="1">
        <w:r w:rsidR="00DA1E55" w:rsidRPr="00DA1E55">
          <w:rPr>
            <w:rStyle w:val="Hyperlink"/>
          </w:rPr>
          <w:t>Catering for diverse backgrounds and needs - Highly gifted students</w:t>
        </w:r>
      </w:hyperlink>
    </w:p>
    <w:p w14:paraId="7265DDA5" w14:textId="77777777" w:rsidR="00DA1E55" w:rsidRDefault="00DA1E55" w:rsidP="00DA1E55">
      <w:pPr>
        <w:pStyle w:val="ListBullet"/>
      </w:pPr>
      <w:r w:rsidRPr="00DA1E55">
        <w:t>Resources are accessed to differentiate learning opportunities (for example technology, sensory) and to make deliberate adjustments to meet the specific learning needs of high potential and gifted students.</w:t>
      </w:r>
    </w:p>
    <w:p w14:paraId="48F4FCB3" w14:textId="0534B439" w:rsidR="00DA1E55" w:rsidRPr="00B52087" w:rsidRDefault="00A6379A" w:rsidP="00DA1E55">
      <w:pPr>
        <w:pStyle w:val="ListBullet2"/>
        <w:rPr>
          <w:rStyle w:val="Hyperlink"/>
          <w:color w:val="auto"/>
          <w:u w:val="none"/>
        </w:rPr>
      </w:pPr>
      <w:hyperlink r:id="rId24" w:anchor="Table%20suggesting%20differentiation%20adjustment%20strategies" w:history="1">
        <w:r w:rsidR="00DA1E55" w:rsidRPr="00DA1E55">
          <w:rPr>
            <w:rStyle w:val="Hyperlink"/>
          </w:rPr>
          <w:t>Differentiation adjustment strategies</w:t>
        </w:r>
      </w:hyperlink>
    </w:p>
    <w:p w14:paraId="405E607E" w14:textId="77777777" w:rsidR="00B52087" w:rsidRPr="00DA1E55" w:rsidRDefault="00B52087" w:rsidP="00B52087">
      <w:pPr>
        <w:pStyle w:val="ListBullet"/>
        <w:numPr>
          <w:ilvl w:val="0"/>
          <w:numId w:val="33"/>
        </w:numPr>
      </w:pPr>
      <w:r w:rsidRPr="004B0240">
        <w:rPr>
          <w:rFonts w:cs="Arial"/>
          <w:lang w:eastAsia="en-AU"/>
        </w:rPr>
        <w:t>Data about high potential and gifted students with simultaneous disability or other diverse needs is evident in individualised learning plans and will drive strategies for ‘high support/high challenge.</w:t>
      </w:r>
    </w:p>
    <w:p w14:paraId="7FA8A713" w14:textId="77777777" w:rsidR="00B52087" w:rsidRPr="00DA1E55" w:rsidRDefault="00A6379A" w:rsidP="00B52087">
      <w:pPr>
        <w:pStyle w:val="ListBullet2"/>
      </w:pPr>
      <w:hyperlink r:id="rId25" w:anchor="Catering3" w:history="1">
        <w:r w:rsidR="00B52087" w:rsidRPr="00DA1E55">
          <w:rPr>
            <w:rStyle w:val="Hyperlink"/>
            <w:rFonts w:cs="Arial"/>
          </w:rPr>
          <w:t>Catering for diverse backgrounds and needs</w:t>
        </w:r>
      </w:hyperlink>
    </w:p>
    <w:p w14:paraId="7EFBD721" w14:textId="77777777" w:rsidR="00EE5E0B" w:rsidRDefault="00EE5E0B" w:rsidP="00857C87">
      <w:pPr>
        <w:pStyle w:val="Heading3"/>
        <w:rPr>
          <w:i/>
        </w:rPr>
      </w:pPr>
      <w:r>
        <w:t xml:space="preserve">Reflective questions </w:t>
      </w:r>
    </w:p>
    <w:p w14:paraId="551CDA58" w14:textId="712B42DE" w:rsidR="007C01A3" w:rsidRPr="00EE5E0B" w:rsidRDefault="007C01A3" w:rsidP="00EE5E0B">
      <w:pPr>
        <w:pStyle w:val="ListBullet"/>
      </w:pPr>
      <w:r w:rsidRPr="00EE5E0B">
        <w:t>Are we using reliable data to inform and guide adjustments in the curriculum?</w:t>
      </w:r>
    </w:p>
    <w:p w14:paraId="1AF148A7" w14:textId="0824080F" w:rsidR="007C01A3" w:rsidRPr="00EE5E0B" w:rsidRDefault="007C01A3" w:rsidP="00EE5E0B">
      <w:pPr>
        <w:pStyle w:val="ListBullet"/>
      </w:pPr>
      <w:r w:rsidRPr="00EE5E0B">
        <w:t>Have we access to resources needed?</w:t>
      </w:r>
    </w:p>
    <w:p w14:paraId="199CCC31" w14:textId="77777777" w:rsidR="00EE5E0B" w:rsidRPr="00233D69" w:rsidRDefault="00EE5E0B" w:rsidP="00857C87">
      <w:pPr>
        <w:pStyle w:val="Heading2"/>
      </w:pPr>
      <w:r>
        <w:t>Strategies</w:t>
      </w:r>
    </w:p>
    <w:p w14:paraId="798F3F4F" w14:textId="77777777" w:rsidR="00DA1E55" w:rsidRPr="00DA1E55" w:rsidRDefault="00DA1E55" w:rsidP="00DA1E55">
      <w:pPr>
        <w:pStyle w:val="ListBullet"/>
        <w:rPr>
          <w:b/>
        </w:rPr>
      </w:pPr>
      <w:r w:rsidRPr="00DA1E55">
        <w:rPr>
          <w:lang w:eastAsia="en-AU"/>
        </w:rPr>
        <w:t>The</w:t>
      </w:r>
      <w:r w:rsidRPr="00DA1E55">
        <w:t xml:space="preserve"> transition planning team works collaboratively with the learning and support team</w:t>
      </w:r>
      <w:r w:rsidRPr="00DA1E55">
        <w:rPr>
          <w:lang w:eastAsia="en-AU"/>
        </w:rPr>
        <w:t>,</w:t>
      </w:r>
      <w:r w:rsidRPr="00DA1E55">
        <w:t xml:space="preserve"> school counsellor/psychologist</w:t>
      </w:r>
      <w:r w:rsidRPr="00DA1E55">
        <w:rPr>
          <w:lang w:eastAsia="en-AU"/>
        </w:rPr>
        <w:t>, student and the parents/carers to facilitate early entry and/or acceleration; a</w:t>
      </w:r>
      <w:r w:rsidRPr="00DA1E55">
        <w:t xml:space="preserve"> highly effective strategy for gifted and highly gifted students.</w:t>
      </w:r>
    </w:p>
    <w:p w14:paraId="077CA334" w14:textId="25149E1F" w:rsidR="00DA1E55" w:rsidRDefault="00A6379A" w:rsidP="00DA1E55">
      <w:pPr>
        <w:pStyle w:val="ListBullet2"/>
      </w:pPr>
      <w:hyperlink r:id="rId26" w:history="1">
        <w:r w:rsidR="00DA1E55" w:rsidRPr="00DA1E55">
          <w:rPr>
            <w:rStyle w:val="Hyperlink"/>
          </w:rPr>
          <w:t>Implement</w:t>
        </w:r>
      </w:hyperlink>
    </w:p>
    <w:p w14:paraId="538DABC6" w14:textId="77777777" w:rsidR="00DA1E55" w:rsidRPr="00DA1E55" w:rsidRDefault="00DA1E55" w:rsidP="00DA1E55">
      <w:pPr>
        <w:pStyle w:val="ListBullet"/>
      </w:pPr>
      <w:r w:rsidRPr="00DA1E55">
        <w:t>Relevant staff engage with quality research and professional learning to support high potential and gifted students transitioning to school.</w:t>
      </w:r>
    </w:p>
    <w:p w14:paraId="7D03B95F" w14:textId="33A9E1E7" w:rsidR="00DA1E55" w:rsidRPr="00DA1E55" w:rsidRDefault="00A6379A" w:rsidP="00DA1E55">
      <w:pPr>
        <w:pStyle w:val="ListBullet2"/>
      </w:pPr>
      <w:hyperlink r:id="rId27" w:history="1">
        <w:r w:rsidR="00DA1E55" w:rsidRPr="00DA1E55">
          <w:rPr>
            <w:rStyle w:val="Hyperlink"/>
          </w:rPr>
          <w:t>Professional learning</w:t>
        </w:r>
      </w:hyperlink>
    </w:p>
    <w:p w14:paraId="12EB67AD" w14:textId="0B0C3BB8" w:rsidR="00DA1E55" w:rsidRPr="00DA1E55" w:rsidRDefault="00A6379A" w:rsidP="00DA1E55">
      <w:pPr>
        <w:pStyle w:val="ListBullet2"/>
      </w:pPr>
      <w:hyperlink r:id="rId28" w:history="1">
        <w:r w:rsidR="00DA1E55">
          <w:rPr>
            <w:rStyle w:val="Hyperlink"/>
            <w:rFonts w:cs="Arial"/>
          </w:rPr>
          <w:t>HPGE</w:t>
        </w:r>
        <w:r w:rsidR="00DA1E55" w:rsidRPr="00DA1E55">
          <w:rPr>
            <w:rStyle w:val="Hyperlink"/>
            <w:rFonts w:cs="Arial"/>
            <w:lang w:eastAsia="zh-CN"/>
          </w:rPr>
          <w:t xml:space="preserve">  - The research</w:t>
        </w:r>
      </w:hyperlink>
    </w:p>
    <w:p w14:paraId="6BF51C8E" w14:textId="77777777" w:rsidR="00DA1E55" w:rsidRPr="00DA1E55" w:rsidRDefault="00DA1E55" w:rsidP="00DA1E55">
      <w:pPr>
        <w:pStyle w:val="ListBullet"/>
      </w:pPr>
      <w:r w:rsidRPr="004B0240">
        <w:rPr>
          <w:rFonts w:cs="Arial"/>
          <w:lang w:eastAsia="zh-CN"/>
        </w:rPr>
        <w:t xml:space="preserve">Supportive learning environments </w:t>
      </w:r>
      <w:r w:rsidRPr="004B0240">
        <w:rPr>
          <w:rFonts w:cs="Arial"/>
        </w:rPr>
        <w:t xml:space="preserve">are facilitated </w:t>
      </w:r>
      <w:r w:rsidRPr="004B0240">
        <w:rPr>
          <w:rFonts w:cs="Arial"/>
          <w:lang w:eastAsia="zh-CN"/>
        </w:rPr>
        <w:t xml:space="preserve">during transition, </w:t>
      </w:r>
      <w:r w:rsidRPr="004B0240">
        <w:rPr>
          <w:rFonts w:cs="Arial"/>
        </w:rPr>
        <w:t xml:space="preserve">in consultation with </w:t>
      </w:r>
      <w:r w:rsidRPr="004B0240">
        <w:rPr>
          <w:rFonts w:cs="Arial"/>
          <w:lang w:eastAsia="zh-CN"/>
        </w:rPr>
        <w:t>students</w:t>
      </w:r>
      <w:r w:rsidRPr="004B0240">
        <w:rPr>
          <w:rFonts w:cs="Arial"/>
        </w:rPr>
        <w:t xml:space="preserve"> and families</w:t>
      </w:r>
      <w:r w:rsidRPr="004B0240">
        <w:rPr>
          <w:rFonts w:cs="Arial"/>
          <w:lang w:eastAsia="zh-CN"/>
        </w:rPr>
        <w:t>,</w:t>
      </w:r>
      <w:r w:rsidRPr="004B0240">
        <w:rPr>
          <w:rFonts w:cs="Arial"/>
        </w:rPr>
        <w:t xml:space="preserve"> to understand </w:t>
      </w:r>
      <w:r w:rsidRPr="004B0240">
        <w:rPr>
          <w:rFonts w:cs="Arial"/>
          <w:lang w:eastAsia="zh-CN"/>
        </w:rPr>
        <w:t>the student’s</w:t>
      </w:r>
      <w:r w:rsidRPr="004B0240">
        <w:rPr>
          <w:rFonts w:cs="Arial"/>
        </w:rPr>
        <w:t xml:space="preserve"> interests and </w:t>
      </w:r>
      <w:r w:rsidRPr="004B0240">
        <w:rPr>
          <w:rFonts w:cs="Arial"/>
          <w:lang w:eastAsia="zh-CN"/>
        </w:rPr>
        <w:t>social emotional development</w:t>
      </w:r>
      <w:r w:rsidRPr="004B0240">
        <w:rPr>
          <w:rFonts w:cs="Arial"/>
          <w:color w:val="FF0000"/>
          <w:lang w:eastAsia="zh-CN"/>
        </w:rPr>
        <w:t xml:space="preserve"> </w:t>
      </w:r>
      <w:r w:rsidRPr="004B0240">
        <w:rPr>
          <w:rFonts w:cs="Arial"/>
          <w:lang w:eastAsia="zh-CN"/>
        </w:rPr>
        <w:t xml:space="preserve">that will </w:t>
      </w:r>
      <w:r w:rsidRPr="004B0240">
        <w:rPr>
          <w:rFonts w:cs="Arial"/>
          <w:lang w:eastAsia="en-AU"/>
        </w:rPr>
        <w:t>enable the student to connect, succeed and thrive.</w:t>
      </w:r>
    </w:p>
    <w:p w14:paraId="35556315" w14:textId="6D6D2DDB" w:rsidR="00DA1E55" w:rsidRPr="00DA1E55" w:rsidRDefault="00A6379A" w:rsidP="00DA1E55">
      <w:pPr>
        <w:pStyle w:val="ListBullet2"/>
      </w:pPr>
      <w:hyperlink r:id="rId29" w:anchor="Social8" w:history="1">
        <w:r w:rsidR="00DA1E55" w:rsidRPr="00DA1E55">
          <w:rPr>
            <w:rStyle w:val="Hyperlink"/>
            <w:rFonts w:cs="Arial"/>
          </w:rPr>
          <w:t>Social and emotional development and learning</w:t>
        </w:r>
      </w:hyperlink>
    </w:p>
    <w:p w14:paraId="27C6DAE5" w14:textId="0DDC6466" w:rsidR="00DA1E55" w:rsidRPr="00B52087" w:rsidRDefault="00A6379A" w:rsidP="00DA1E55">
      <w:pPr>
        <w:pStyle w:val="ListBullet2"/>
        <w:rPr>
          <w:rStyle w:val="Hyperlink"/>
          <w:color w:val="auto"/>
          <w:u w:val="none"/>
        </w:rPr>
      </w:pPr>
      <w:hyperlink r:id="rId30" w:anchor="Social8" w:history="1">
        <w:r w:rsidR="00DA1E55" w:rsidRPr="00DA1E55">
          <w:rPr>
            <w:rStyle w:val="Hyperlink"/>
            <w:rFonts w:cs="Arial"/>
          </w:rPr>
          <w:t>Developing improvement measures for high</w:t>
        </w:r>
        <w:r w:rsidR="00DA1E55" w:rsidRPr="00DA1E55">
          <w:rPr>
            <w:rStyle w:val="Hyperlink"/>
            <w:rFonts w:cs="Arial"/>
            <w:lang w:eastAsia="zh-CN"/>
          </w:rPr>
          <w:t xml:space="preserve"> potential and gifted students</w:t>
        </w:r>
      </w:hyperlink>
    </w:p>
    <w:p w14:paraId="364DE965" w14:textId="77777777" w:rsidR="00EE5E0B" w:rsidRDefault="00EE5E0B" w:rsidP="00857C87">
      <w:pPr>
        <w:pStyle w:val="Heading3"/>
        <w:rPr>
          <w:i/>
        </w:rPr>
      </w:pPr>
      <w:r>
        <w:t xml:space="preserve">Reflective questions </w:t>
      </w:r>
    </w:p>
    <w:p w14:paraId="3D20586C" w14:textId="0242180F" w:rsidR="00B52087" w:rsidRDefault="00B52087" w:rsidP="00EE5E0B">
      <w:pPr>
        <w:pStyle w:val="ListBullet"/>
      </w:pPr>
      <w:r w:rsidRPr="00B52087">
        <w:t>Have we worked together with a wider team</w:t>
      </w:r>
      <w:r>
        <w:t>, particularly the child and family,</w:t>
      </w:r>
      <w:r w:rsidRPr="00B52087">
        <w:t xml:space="preserve"> to understand the child?</w:t>
      </w:r>
    </w:p>
    <w:p w14:paraId="0D481809" w14:textId="77777777" w:rsidR="00EE5E0B" w:rsidRPr="00233D69" w:rsidRDefault="00EE5E0B" w:rsidP="00857C87">
      <w:pPr>
        <w:pStyle w:val="Heading2"/>
      </w:pPr>
      <w:r>
        <w:t>Strategies</w:t>
      </w:r>
    </w:p>
    <w:p w14:paraId="12C85ADC" w14:textId="77777777" w:rsidR="00DA1E55" w:rsidRDefault="00DA1E55" w:rsidP="00DA1E55">
      <w:pPr>
        <w:pStyle w:val="ListBullet"/>
      </w:pPr>
      <w:r w:rsidRPr="00DA1E55">
        <w:t>A personalised transition support plan is developed, where appropriate, in consultation with the child, family and the early childhood services.</w:t>
      </w:r>
    </w:p>
    <w:p w14:paraId="2B527155" w14:textId="43F28CD6" w:rsidR="00DA1E55" w:rsidRPr="00DA1E55" w:rsidRDefault="00A6379A" w:rsidP="00DA1E55">
      <w:pPr>
        <w:pStyle w:val="ListBullet2"/>
      </w:pPr>
      <w:hyperlink r:id="rId31" w:history="1">
        <w:r w:rsidR="00DA1E55" w:rsidRPr="00DA1E55">
          <w:rPr>
            <w:rStyle w:val="Hyperlink"/>
            <w:rFonts w:cs="Arial"/>
          </w:rPr>
          <w:t>Gifted NSW</w:t>
        </w:r>
      </w:hyperlink>
    </w:p>
    <w:p w14:paraId="14D28154" w14:textId="51DCD23D" w:rsidR="00DA1E55" w:rsidRPr="00DA1E55" w:rsidRDefault="00A6379A" w:rsidP="00DA1E55">
      <w:pPr>
        <w:pStyle w:val="ListBullet2"/>
      </w:pPr>
      <w:hyperlink r:id="rId32" w:history="1">
        <w:r w:rsidR="00DA1E55" w:rsidRPr="00DA1E55">
          <w:rPr>
            <w:rStyle w:val="Hyperlink"/>
            <w:rFonts w:cs="Arial"/>
          </w:rPr>
          <w:t>Supporting parents and carers</w:t>
        </w:r>
      </w:hyperlink>
    </w:p>
    <w:p w14:paraId="7C890AF1" w14:textId="77777777" w:rsidR="00AE2CBF" w:rsidRDefault="00DA1E55" w:rsidP="00DA1E55">
      <w:pPr>
        <w:pStyle w:val="ListBullet"/>
        <w:numPr>
          <w:ilvl w:val="0"/>
          <w:numId w:val="1"/>
        </w:numPr>
      </w:pPr>
      <w:r w:rsidRPr="004B0240">
        <w:rPr>
          <w:rFonts w:cs="Arial"/>
        </w:rPr>
        <w:t>Knowledge about the</w:t>
      </w:r>
      <w:r>
        <w:rPr>
          <w:rFonts w:cs="Arial"/>
          <w:lang w:eastAsia="en-AU"/>
        </w:rPr>
        <w:t xml:space="preserve"> child is shared. For example </w:t>
      </w:r>
      <w:r w:rsidRPr="004B0240">
        <w:rPr>
          <w:rFonts w:cs="Arial"/>
        </w:rPr>
        <w:t>strengths, needs</w:t>
      </w:r>
      <w:r w:rsidRPr="004B0240">
        <w:rPr>
          <w:rFonts w:cs="Arial"/>
          <w:lang w:eastAsia="en-AU"/>
        </w:rPr>
        <w:t>, plans</w:t>
      </w:r>
      <w:r w:rsidRPr="004B0240">
        <w:rPr>
          <w:rFonts w:cs="Arial"/>
        </w:rPr>
        <w:t>, strategies and adjustments</w:t>
      </w:r>
      <w:r w:rsidRPr="004B0240">
        <w:rPr>
          <w:rFonts w:cs="Arial"/>
          <w:lang w:eastAsia="en-AU"/>
        </w:rPr>
        <w:t>, including placement with students of like ability and like minds.</w:t>
      </w:r>
      <w:r>
        <w:t xml:space="preserve"> </w:t>
      </w:r>
    </w:p>
    <w:p w14:paraId="6AB836E0" w14:textId="603C84D0" w:rsidR="00DA1E55" w:rsidRDefault="00A6379A" w:rsidP="00AE2CBF">
      <w:pPr>
        <w:pStyle w:val="ListBullet2"/>
      </w:pPr>
      <w:hyperlink r:id="rId33" w:anchor="Grouping5" w:history="1">
        <w:r w:rsidR="00DA1E55" w:rsidRPr="00DA1E55">
          <w:rPr>
            <w:rStyle w:val="Hyperlink"/>
          </w:rPr>
          <w:t>Grouping</w:t>
        </w:r>
      </w:hyperlink>
    </w:p>
    <w:p w14:paraId="381E1487" w14:textId="62A3A99B" w:rsidR="00DA1E55" w:rsidRDefault="00A6379A" w:rsidP="00DA1E55">
      <w:pPr>
        <w:pStyle w:val="ListBullet2"/>
      </w:pPr>
      <w:hyperlink r:id="rId34" w:anchor="Grouping5" w:history="1">
        <w:r w:rsidR="00DA1E55" w:rsidRPr="00DA1E55">
          <w:rPr>
            <w:rStyle w:val="Hyperlink"/>
          </w:rPr>
          <w:t>Effective strategies for supporting HPGE</w:t>
        </w:r>
      </w:hyperlink>
    </w:p>
    <w:p w14:paraId="10C8D98D" w14:textId="147EA35F" w:rsidR="00DA1E55" w:rsidRPr="00DA1E55" w:rsidRDefault="00A6379A" w:rsidP="00DA1E55">
      <w:pPr>
        <w:pStyle w:val="ListBullet2"/>
      </w:pPr>
      <w:hyperlink r:id="rId35" w:anchor="Catering3" w:history="1">
        <w:r w:rsidR="00DA1E55" w:rsidRPr="00DA1E55">
          <w:rPr>
            <w:rStyle w:val="Hyperlink"/>
            <w:rFonts w:cs="Arial"/>
          </w:rPr>
          <w:t>Catering for diverse backgrounds and needs</w:t>
        </w:r>
      </w:hyperlink>
    </w:p>
    <w:p w14:paraId="044EB04C" w14:textId="77777777" w:rsidR="00DA1E55" w:rsidRPr="00DA1E55" w:rsidRDefault="00DA1E55" w:rsidP="00DA1E55">
      <w:pPr>
        <w:pStyle w:val="ListBullet"/>
      </w:pPr>
      <w:r w:rsidRPr="004B0240">
        <w:rPr>
          <w:rFonts w:cs="Arial"/>
          <w:lang w:eastAsia="zh-CN"/>
        </w:rPr>
        <w:t>Preschool and primary school teachers and principals are aware of their responsibilities as outlined in the HPGE policy.</w:t>
      </w:r>
    </w:p>
    <w:p w14:paraId="59CDFE51" w14:textId="0A46483F" w:rsidR="00DA1E55" w:rsidRDefault="00A6379A" w:rsidP="00DA1E55">
      <w:pPr>
        <w:pStyle w:val="ListBullet2"/>
      </w:pPr>
      <w:hyperlink r:id="rId36" w:history="1">
        <w:r w:rsidR="00DA1E55" w:rsidRPr="00DA1E55">
          <w:rPr>
            <w:rStyle w:val="Hyperlink"/>
          </w:rPr>
          <w:t>HPGE policy</w:t>
        </w:r>
      </w:hyperlink>
    </w:p>
    <w:sectPr w:rsidR="00DA1E55" w:rsidSect="00ED288C">
      <w:footerReference w:type="even" r:id="rId37"/>
      <w:footerReference w:type="default" r:id="rId38"/>
      <w:headerReference w:type="first" r:id="rId39"/>
      <w:footerReference w:type="first" r:id="rId40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9E24A" w14:textId="77777777" w:rsidR="00A6379A" w:rsidRDefault="00A6379A">
      <w:r>
        <w:separator/>
      </w:r>
    </w:p>
    <w:p w14:paraId="7ADB21F2" w14:textId="77777777" w:rsidR="00A6379A" w:rsidRDefault="00A6379A"/>
  </w:endnote>
  <w:endnote w:type="continuationSeparator" w:id="0">
    <w:p w14:paraId="2908A72E" w14:textId="77777777" w:rsidR="00A6379A" w:rsidRDefault="00A6379A">
      <w:r>
        <w:continuationSeparator/>
      </w:r>
      <w:bookmarkStart w:id="0" w:name="_GoBack"/>
      <w:bookmarkEnd w:id="0"/>
    </w:p>
    <w:p w14:paraId="4C0261D5" w14:textId="77777777" w:rsidR="00A6379A" w:rsidRDefault="00A6379A"/>
  </w:endnote>
  <w:endnote w:type="continuationNotice" w:id="1">
    <w:p w14:paraId="6E84EAD7" w14:textId="77777777" w:rsidR="00A6379A" w:rsidRDefault="00A6379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F837C" w14:textId="4F358820" w:rsidR="00B52087" w:rsidRPr="004D333E" w:rsidRDefault="00B52087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CD3F40">
      <w:rPr>
        <w:noProof/>
      </w:rPr>
      <w:t>2</w:t>
    </w:r>
    <w:r w:rsidRPr="002810D3">
      <w:fldChar w:fldCharType="end"/>
    </w:r>
    <w:r w:rsidRPr="002810D3">
      <w:tab/>
    </w:r>
    <w:r w:rsidR="00857C87">
      <w:t>Strong and successfully start to school – tailored transition support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5C752" w14:textId="02858A64" w:rsidR="00B52087" w:rsidRPr="004D333E" w:rsidRDefault="00B52087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857C87">
      <w:rPr>
        <w:noProof/>
      </w:rPr>
      <w:t>Dec-20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CD3F40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6724" w14:textId="77777777" w:rsidR="00B52087" w:rsidRDefault="00B52087" w:rsidP="00493120">
    <w:pPr>
      <w:pStyle w:val="Logo"/>
    </w:pPr>
    <w:r w:rsidRPr="667250EF">
      <w:rPr>
        <w:sz w:val="24"/>
        <w:szCs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C0E8B" w14:textId="77777777" w:rsidR="00A6379A" w:rsidRDefault="00A6379A">
      <w:r>
        <w:separator/>
      </w:r>
    </w:p>
    <w:p w14:paraId="72B6C84E" w14:textId="77777777" w:rsidR="00A6379A" w:rsidRDefault="00A6379A"/>
  </w:footnote>
  <w:footnote w:type="continuationSeparator" w:id="0">
    <w:p w14:paraId="55061EAD" w14:textId="77777777" w:rsidR="00A6379A" w:rsidRDefault="00A6379A">
      <w:r>
        <w:continuationSeparator/>
      </w:r>
    </w:p>
    <w:p w14:paraId="66D3BBE5" w14:textId="77777777" w:rsidR="00A6379A" w:rsidRDefault="00A6379A"/>
  </w:footnote>
  <w:footnote w:type="continuationNotice" w:id="1">
    <w:p w14:paraId="11AB0ADE" w14:textId="77777777" w:rsidR="00A6379A" w:rsidRDefault="00A6379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C2EA" w14:textId="77777777" w:rsidR="00B52087" w:rsidRDefault="00B52087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3"/>
    <w:multiLevelType w:val="singleLevel"/>
    <w:tmpl w:val="63F404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9"/>
    <w:multiLevelType w:val="singleLevel"/>
    <w:tmpl w:val="65C46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7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FC269FD"/>
    <w:multiLevelType w:val="multilevel"/>
    <w:tmpl w:val="EB6C1DAE"/>
    <w:lvl w:ilvl="0">
      <w:start w:val="1"/>
      <w:numFmt w:val="bullet"/>
      <w:lvlText w:val=""/>
      <w:lvlJc w:val="left"/>
      <w:pPr>
        <w:tabs>
          <w:tab w:val="num" w:pos="1009"/>
        </w:tabs>
        <w:ind w:left="1012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2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1"/>
  </w:num>
  <w:num w:numId="8">
    <w:abstractNumId w:val="12"/>
  </w:num>
  <w:num w:numId="9">
    <w:abstractNumId w:val="17"/>
  </w:num>
  <w:num w:numId="10">
    <w:abstractNumId w:val="11"/>
  </w:num>
  <w:num w:numId="11">
    <w:abstractNumId w:val="15"/>
  </w:num>
  <w:num w:numId="12">
    <w:abstractNumId w:val="7"/>
  </w:num>
  <w:num w:numId="13">
    <w:abstractNumId w:val="10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9"/>
  </w:num>
  <w:num w:numId="21">
    <w:abstractNumId w:val="22"/>
  </w:num>
  <w:num w:numId="22">
    <w:abstractNumId w:val="19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6"/>
  </w:num>
  <w:num w:numId="32">
    <w:abstractNumId w:val="22"/>
  </w:num>
  <w:num w:numId="33">
    <w:abstractNumId w:val="18"/>
  </w:num>
  <w:num w:numId="34">
    <w:abstractNumId w:val="20"/>
  </w:num>
  <w:num w:numId="35">
    <w:abstractNumId w:val="18"/>
  </w:num>
  <w:num w:numId="36">
    <w:abstractNumId w:val="6"/>
  </w:num>
  <w:num w:numId="37">
    <w:abstractNumId w:val="8"/>
  </w:num>
  <w:num w:numId="3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55"/>
    <w:rsid w:val="0000031A"/>
    <w:rsid w:val="00001C08"/>
    <w:rsid w:val="00002BF1"/>
    <w:rsid w:val="00003118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3A6C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3872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3D69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25AF"/>
    <w:rsid w:val="002F3A6D"/>
    <w:rsid w:val="002F749C"/>
    <w:rsid w:val="003012DE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68ED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3CA2"/>
    <w:rsid w:val="004657D6"/>
    <w:rsid w:val="004658D3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14F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20FD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1A3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57C87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0430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9E4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32E3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379A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1D0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4A4B"/>
    <w:rsid w:val="00AD56A9"/>
    <w:rsid w:val="00AD69C4"/>
    <w:rsid w:val="00AD6F0C"/>
    <w:rsid w:val="00AE1C5F"/>
    <w:rsid w:val="00AE23DD"/>
    <w:rsid w:val="00AE2CB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2FED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35EE1"/>
    <w:rsid w:val="00B40556"/>
    <w:rsid w:val="00B43107"/>
    <w:rsid w:val="00B45AC4"/>
    <w:rsid w:val="00B45E0A"/>
    <w:rsid w:val="00B47A18"/>
    <w:rsid w:val="00B51CD5"/>
    <w:rsid w:val="00B52087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111F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3F40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1E55"/>
    <w:rsid w:val="00DA52F5"/>
    <w:rsid w:val="00DA73A3"/>
    <w:rsid w:val="00DB3080"/>
    <w:rsid w:val="00DB39F9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5E0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4440AE95"/>
    <w:rsid w:val="6672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DE350"/>
  <w14:defaultImageDpi w14:val="32767"/>
  <w15:chartTrackingRefBased/>
  <w15:docId w15:val="{0AD74CE0-26E7-436D-AD37-88FA76A6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DA1E5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C49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ation.nsw.gov.au/teaching-and-learning/high-potential-and-gifted-education/about-the-policy/high-potential-and-gifted-education-policy" TargetMode="External"/><Relationship Id="rId18" Type="http://schemas.openxmlformats.org/officeDocument/2006/relationships/hyperlink" Target="https://education.nsw.gov.au/teaching-and-learning/school-learning-environments-and-change/future-focused-learning-and-teaching/learning-modes/collaboration" TargetMode="External"/><Relationship Id="rId26" Type="http://schemas.openxmlformats.org/officeDocument/2006/relationships/hyperlink" Target="https://education.nsw.gov.au/teaching-and-learning/high-potential-and-gifted-education/supporting-educators/implement/differentiation-adjustment-strategies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education.nsw.gov.au/teaching-and-learning/disability-learning-and-support/personalised-support-for-learning/adjustments-to-teaching-and-learning" TargetMode="External"/><Relationship Id="rId34" Type="http://schemas.openxmlformats.org/officeDocument/2006/relationships/hyperlink" Target="https://education.nsw.gov.au/teaching-and-learning/high-potential-and-gifted-education/supporting-educators/implement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.nsw.gov.au/teaching-and-learning/high-potential-and-gifted-education/supporting-educators/collaborate" TargetMode="External"/><Relationship Id="rId20" Type="http://schemas.openxmlformats.org/officeDocument/2006/relationships/hyperlink" Target="https://education.nsw.gov.au/teaching-and-learning/high-potential-and-gifted-education/supporting-educators/assess-and-identify" TargetMode="External"/><Relationship Id="rId29" Type="http://schemas.openxmlformats.org/officeDocument/2006/relationships/hyperlink" Target="https://education.nsw.gov.au/teaching-and-learning/high-potential-and-gifted-education/supporting-educators/implement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nsw.gov.au/teaching-and-learning/high-potential-and-gifted-education/supporting-educators/assess-and-identify" TargetMode="External"/><Relationship Id="rId24" Type="http://schemas.openxmlformats.org/officeDocument/2006/relationships/hyperlink" Target="https://education.nsw.gov.au/teaching-and-learning/high-potential-and-gifted-education/supporting-educators/implement/differentiation-adjustment-strategies" TargetMode="External"/><Relationship Id="rId32" Type="http://schemas.openxmlformats.org/officeDocument/2006/relationships/hyperlink" Target="https://education.nsw.gov.au/teaching-and-learning/high-potential-and-gifted-education/supporting-parents-and-carers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education.nsw.gov.au/teaching-and-learning/high-potential-and-gifted-education/video-what-do-we-mean-by-high-potential-and-gifted-students" TargetMode="External"/><Relationship Id="rId23" Type="http://schemas.openxmlformats.org/officeDocument/2006/relationships/hyperlink" Target="https://education.nsw.gov.au/teaching-and-learning/high-potential-and-gifted-education/supporting-educators/assess-and-identify" TargetMode="External"/><Relationship Id="rId28" Type="http://schemas.openxmlformats.org/officeDocument/2006/relationships/hyperlink" Target="https://education.nsw.gov.au/teaching-and-learning/high-potential-and-gifted-education/research" TargetMode="External"/><Relationship Id="rId36" Type="http://schemas.openxmlformats.org/officeDocument/2006/relationships/hyperlink" Target="https://education.nsw.gov.au/teaching-and-learning/high-potential-and-gifted-education/about-the-policy/high-potential-and-gifted-education-policy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ducation.nsw.gov.au/teaching-and-learning/learning-from-home/teaching-at-home/diversity-and-inclusion" TargetMode="External"/><Relationship Id="rId31" Type="http://schemas.openxmlformats.org/officeDocument/2006/relationships/hyperlink" Target="https://giftednsw.org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education.nsw.gov.au/teaching-and-learning/high-potential-and-gifted-education/about-the-policy/q-and-a-high-potential-and-gifted-education-policy" TargetMode="External"/><Relationship Id="rId22" Type="http://schemas.openxmlformats.org/officeDocument/2006/relationships/hyperlink" Target="https://education.nsw.gov.au/teaching-and-learning/professional-learning/teacher-quality-and-accreditation/strong-start-great-teachers/refining-practice/aspects-of-assessment" TargetMode="External"/><Relationship Id="rId27" Type="http://schemas.openxmlformats.org/officeDocument/2006/relationships/hyperlink" Target="https://education.nsw.gov.au/teaching-and-learning/high-potential-and-gifted-education/supporting-educators/hpge-professional-learning" TargetMode="External"/><Relationship Id="rId30" Type="http://schemas.openxmlformats.org/officeDocument/2006/relationships/hyperlink" Target="https://education.nsw.gov.au/teaching-and-learning/high-potential-and-gifted-education/supporting-educators/implement" TargetMode="External"/><Relationship Id="rId35" Type="http://schemas.openxmlformats.org/officeDocument/2006/relationships/hyperlink" Target="https://education.nsw..au/teaching-and-learning/high-potential-and-gifted-education/supporting-educators/assess-and-identify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education.nsw.gov.au/teaching-and-learning/high-potential-and-gifted-education/supporting-educators/assess-and-identify" TargetMode="External"/><Relationship Id="rId17" Type="http://schemas.openxmlformats.org/officeDocument/2006/relationships/hyperlink" Target="https://education.nsw.gov.au/teaching-and-learning/high-potential-and-gifted-education/supporting-educators/assess-and-identify" TargetMode="External"/><Relationship Id="rId25" Type="http://schemas.openxmlformats.org/officeDocument/2006/relationships/hyperlink" Target="education.nsw..au/teaching-and-learning/high-potential-and-gifted-education/supporting-educators/assess-and-identify" TargetMode="External"/><Relationship Id="rId33" Type="http://schemas.openxmlformats.org/officeDocument/2006/relationships/hyperlink" Target="https://education.nsw.gov.au/teaching-and-learning/high-potential-and-gifted-education/supporting-educators/implement" TargetMode="External"/><Relationship Id="rId38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ardon1\AppData\Local\Temp\Temp1_DoEBrandAsset%20(3)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04B9210B99B4FA9E85A739F008746" ma:contentTypeVersion="12" ma:contentTypeDescription="Create a new document." ma:contentTypeScope="" ma:versionID="2157e2d803fd8f6d6a14c72de43851c1">
  <xsd:schema xmlns:xsd="http://www.w3.org/2001/XMLSchema" xmlns:xs="http://www.w3.org/2001/XMLSchema" xmlns:p="http://schemas.microsoft.com/office/2006/metadata/properties" xmlns:ns2="063f31f4-c326-4d72-9eeb-d1af1187bebc" xmlns:ns3="aadb97e7-ef8b-4a10-9e28-44ef6aa54c77" targetNamespace="http://schemas.microsoft.com/office/2006/metadata/properties" ma:root="true" ma:fieldsID="3aa9801b88b3251a4d4676a432c10040" ns2:_="" ns3:_="">
    <xsd:import namespace="063f31f4-c326-4d72-9eeb-d1af1187bebc"/>
    <xsd:import namespace="aadb97e7-ef8b-4a10-9e28-44ef6aa54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f31f4-c326-4d72-9eeb-d1af1187b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b97e7-ef8b-4a10-9e28-44ef6aa54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782E10-5FEC-484B-AFC5-102700AAE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f31f4-c326-4d72-9eeb-d1af1187bebc"/>
    <ds:schemaRef ds:uri="aadb97e7-ef8b-4a10-9e28-44ef6aa54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A472-2E23-42F1-B241-65217DBB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4</TotalTime>
  <Pages>3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Tailored transition support for High potential and gifted education (HPGE)</vt:lpstr>
    </vt:vector>
  </TitlesOfParts>
  <Manager/>
  <Company>NSW Department of Education</Company>
  <LinksUpToDate>false</LinksUpToDate>
  <CharactersWithSpaces>7902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Tailored transition support for High potential and gifted education (HPGE)</dc:title>
  <dc:subject/>
  <dc:creator>NSW Department of Education</dc:creator>
  <cp:keywords/>
  <dc:description/>
  <cp:lastModifiedBy>Bridget Bardon</cp:lastModifiedBy>
  <cp:revision>2</cp:revision>
  <cp:lastPrinted>2019-09-30T07:42:00Z</cp:lastPrinted>
  <dcterms:created xsi:type="dcterms:W3CDTF">2020-11-10T06:27:00Z</dcterms:created>
  <dcterms:modified xsi:type="dcterms:W3CDTF">2020-12-16T05:04:00Z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0x010100BD904B9210B99B4FA9E85A739F008746</vt:lpwstr>
  </property>
</Properties>
</file>