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090FD" w14:textId="26030802" w:rsidR="00AF25A8" w:rsidRPr="00A60E04" w:rsidRDefault="00B53A04" w:rsidP="00077FCB">
      <w:pPr>
        <w:spacing w:line="276" w:lineRule="auto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>NSW Higher Education Strategy – Collaboration and Innovation Fund</w:t>
      </w:r>
    </w:p>
    <w:p w14:paraId="7D371252" w14:textId="77777777" w:rsidR="00AF25A8" w:rsidRPr="00A60E04" w:rsidRDefault="00AF25A8" w:rsidP="00077FCB">
      <w:pPr>
        <w:spacing w:line="276" w:lineRule="auto"/>
        <w:rPr>
          <w:rFonts w:ascii="Arial" w:hAnsi="Arial" w:cs="Arial"/>
          <w:b/>
          <w:sz w:val="30"/>
          <w:szCs w:val="30"/>
        </w:rPr>
      </w:pPr>
      <w:r w:rsidRPr="00A60E04">
        <w:rPr>
          <w:rFonts w:ascii="Arial" w:hAnsi="Arial" w:cs="Arial"/>
          <w:b/>
          <w:sz w:val="30"/>
          <w:szCs w:val="30"/>
        </w:rPr>
        <w:t>Guidelines for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B53A04" w:rsidRPr="00621CC9" w14:paraId="58478A5E" w14:textId="77777777" w:rsidTr="3F7FA798">
        <w:tc>
          <w:tcPr>
            <w:tcW w:w="1838" w:type="dxa"/>
            <w:vMerge w:val="restart"/>
          </w:tcPr>
          <w:p w14:paraId="44C6E0E1" w14:textId="77777777" w:rsidR="00B53A04" w:rsidRPr="00621CC9" w:rsidRDefault="00B53A04" w:rsidP="006F6FD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1.0 Program purpose</w:t>
            </w:r>
          </w:p>
        </w:tc>
        <w:tc>
          <w:tcPr>
            <w:tcW w:w="7178" w:type="dxa"/>
            <w:gridSpan w:val="2"/>
          </w:tcPr>
          <w:p w14:paraId="1CADF2C7" w14:textId="3A737186" w:rsidR="00B53A04" w:rsidRPr="00621CC9" w:rsidRDefault="00B53A04" w:rsidP="00AF41A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1.1 The NSW Department of Education has established a </w:t>
            </w:r>
            <w:r w:rsidRPr="00B53A04">
              <w:rPr>
                <w:rFonts w:ascii="Arial" w:hAnsi="Arial" w:cs="Arial"/>
                <w:sz w:val="24"/>
                <w:szCs w:val="24"/>
              </w:rPr>
              <w:t xml:space="preserve">Collaboration and Innovation Fund </w:t>
            </w:r>
            <w:r w:rsidR="003908C7">
              <w:rPr>
                <w:rFonts w:ascii="Arial" w:hAnsi="Arial" w:cs="Arial"/>
                <w:sz w:val="24"/>
                <w:szCs w:val="24"/>
              </w:rPr>
              <w:t xml:space="preserve">(the Fund) </w:t>
            </w:r>
            <w:r w:rsidRPr="00621CC9">
              <w:rPr>
                <w:rFonts w:ascii="Arial" w:hAnsi="Arial" w:cs="Arial"/>
                <w:sz w:val="24"/>
                <w:szCs w:val="24"/>
              </w:rPr>
              <w:t xml:space="preserve">to enhance </w:t>
            </w:r>
            <w:r w:rsidR="003908C7">
              <w:rPr>
                <w:rFonts w:ascii="Arial" w:hAnsi="Arial" w:cs="Arial"/>
                <w:sz w:val="24"/>
                <w:szCs w:val="24"/>
              </w:rPr>
              <w:t xml:space="preserve">the impact of university </w:t>
            </w:r>
            <w:r w:rsidR="000C249E">
              <w:rPr>
                <w:rFonts w:ascii="Arial" w:hAnsi="Arial" w:cs="Arial"/>
                <w:sz w:val="24"/>
                <w:szCs w:val="24"/>
              </w:rPr>
              <w:t xml:space="preserve">projects, </w:t>
            </w:r>
            <w:r w:rsidR="003908C7">
              <w:rPr>
                <w:rFonts w:ascii="Arial" w:hAnsi="Arial" w:cs="Arial"/>
                <w:sz w:val="24"/>
                <w:szCs w:val="24"/>
              </w:rPr>
              <w:t>programs and initiatives to meet Education State Outcomes</w:t>
            </w:r>
            <w:r w:rsidRPr="00621C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3A04" w:rsidRPr="00621CC9" w14:paraId="4D168A6E" w14:textId="77777777" w:rsidTr="3F7FA798">
        <w:tc>
          <w:tcPr>
            <w:tcW w:w="1838" w:type="dxa"/>
            <w:vMerge/>
          </w:tcPr>
          <w:p w14:paraId="4B941C54" w14:textId="77777777" w:rsidR="00B53A04" w:rsidRPr="00621CC9" w:rsidRDefault="00B53A04" w:rsidP="006F6FD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0C0F96BD" w14:textId="4F459317" w:rsidR="00B53A04" w:rsidRPr="00621CC9" w:rsidRDefault="003908C7" w:rsidP="00C6533E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1.2 The Fund forms part of the NSW Higher Education Strategy</w:t>
            </w:r>
            <w:r w:rsidR="004129B5" w:rsidRPr="3F7FA798">
              <w:rPr>
                <w:rFonts w:ascii="Arial" w:hAnsi="Arial" w:cs="Arial"/>
                <w:sz w:val="24"/>
                <w:szCs w:val="24"/>
              </w:rPr>
              <w:t xml:space="preserve"> (“the Strategy”</w:t>
            </w:r>
            <w:r w:rsidR="36ACB03F" w:rsidRPr="3F7FA798">
              <w:rPr>
                <w:rFonts w:ascii="Arial" w:hAnsi="Arial" w:cs="Arial"/>
                <w:sz w:val="24"/>
                <w:szCs w:val="24"/>
              </w:rPr>
              <w:t>) and</w:t>
            </w:r>
            <w:r w:rsidR="6FAAD62F" w:rsidRPr="3F7FA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3F7FA798">
              <w:rPr>
                <w:rFonts w:ascii="Arial" w:hAnsi="Arial" w:cs="Arial"/>
                <w:sz w:val="24"/>
                <w:szCs w:val="24"/>
              </w:rPr>
              <w:t>aims to improve collaboration</w:t>
            </w:r>
            <w:r w:rsidR="000C249E" w:rsidRPr="3F7FA798">
              <w:rPr>
                <w:rFonts w:ascii="Arial" w:hAnsi="Arial" w:cs="Arial"/>
                <w:sz w:val="24"/>
                <w:szCs w:val="24"/>
              </w:rPr>
              <w:t xml:space="preserve"> and enhance partnerships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between </w:t>
            </w:r>
            <w:r w:rsidR="000C249E" w:rsidRPr="3F7FA79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NSW </w:t>
            </w:r>
            <w:r w:rsidR="000C249E" w:rsidRPr="3F7FA798">
              <w:rPr>
                <w:rFonts w:ascii="Arial" w:hAnsi="Arial" w:cs="Arial"/>
                <w:sz w:val="24"/>
                <w:szCs w:val="24"/>
              </w:rPr>
              <w:t>higher education sector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and the NSW Government </w:t>
            </w:r>
            <w:r w:rsidR="000C249E" w:rsidRPr="3F7FA798">
              <w:rPr>
                <w:rFonts w:ascii="Arial" w:hAnsi="Arial" w:cs="Arial"/>
                <w:sz w:val="24"/>
                <w:szCs w:val="24"/>
              </w:rPr>
              <w:t>to address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social, economic and environmental </w:t>
            </w:r>
            <w:r w:rsidR="000C249E" w:rsidRPr="3F7FA798">
              <w:rPr>
                <w:rFonts w:ascii="Arial" w:hAnsi="Arial" w:cs="Arial"/>
                <w:sz w:val="24"/>
                <w:szCs w:val="24"/>
              </w:rPr>
              <w:t>challenges</w:t>
            </w:r>
            <w:r w:rsidRPr="3F7FA798">
              <w:rPr>
                <w:rFonts w:ascii="Arial" w:hAnsi="Arial" w:cs="Arial"/>
                <w:sz w:val="24"/>
                <w:szCs w:val="24"/>
              </w:rPr>
              <w:t>.</w:t>
            </w:r>
            <w:r w:rsidR="004129B5" w:rsidRPr="3F7FA798">
              <w:rPr>
                <w:rFonts w:ascii="Arial" w:hAnsi="Arial" w:cs="Arial"/>
                <w:sz w:val="24"/>
                <w:szCs w:val="24"/>
              </w:rPr>
              <w:t xml:space="preserve"> The Fund </w:t>
            </w:r>
            <w:r w:rsidR="30A4A145" w:rsidRPr="007338C5">
              <w:rPr>
                <w:rFonts w:ascii="Arial" w:hAnsi="Arial" w:cs="Arial"/>
                <w:sz w:val="24"/>
                <w:szCs w:val="24"/>
              </w:rPr>
              <w:t xml:space="preserve">provides grants to </w:t>
            </w:r>
            <w:r w:rsidR="004129B5" w:rsidRPr="3F7FA798">
              <w:rPr>
                <w:rFonts w:ascii="Arial" w:hAnsi="Arial" w:cs="Arial"/>
                <w:sz w:val="24"/>
                <w:szCs w:val="24"/>
              </w:rPr>
              <w:t xml:space="preserve">‘Priority Partnership Projects’ that </w:t>
            </w:r>
            <w:r w:rsidR="1FBF53C8" w:rsidRPr="3F7FA798">
              <w:rPr>
                <w:rFonts w:ascii="Arial" w:hAnsi="Arial" w:cs="Arial"/>
                <w:sz w:val="24"/>
                <w:szCs w:val="24"/>
              </w:rPr>
              <w:t>a</w:t>
            </w:r>
            <w:r w:rsidR="6454D655" w:rsidRPr="3F7FA798">
              <w:rPr>
                <w:rFonts w:ascii="Arial" w:hAnsi="Arial" w:cs="Arial"/>
                <w:sz w:val="24"/>
                <w:szCs w:val="24"/>
              </w:rPr>
              <w:t>ddress priority actions and goals of the Strategy.</w:t>
            </w:r>
          </w:p>
        </w:tc>
      </w:tr>
      <w:tr w:rsidR="00B53A04" w:rsidRPr="00621CC9" w14:paraId="7721B663" w14:textId="77777777" w:rsidTr="3F7FA798">
        <w:tc>
          <w:tcPr>
            <w:tcW w:w="1838" w:type="dxa"/>
            <w:vMerge/>
          </w:tcPr>
          <w:p w14:paraId="74C97985" w14:textId="77777777" w:rsidR="00B53A04" w:rsidRPr="00621CC9" w:rsidRDefault="00B53A04" w:rsidP="006F6FD0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5CF326BB" w14:textId="2FB6A702" w:rsidR="00B53A04" w:rsidRPr="00621CC9" w:rsidRDefault="003908C7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1.3 The Fund is Administered by the Higher Education </w:t>
            </w:r>
            <w:r w:rsidR="690BDE82" w:rsidRPr="3F7FA798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3F7FA798">
              <w:rPr>
                <w:rFonts w:ascii="Arial" w:hAnsi="Arial" w:cs="Arial"/>
                <w:sz w:val="24"/>
                <w:szCs w:val="24"/>
              </w:rPr>
              <w:t>within the NSW Department of Education (“the Department”).</w:t>
            </w:r>
          </w:p>
        </w:tc>
      </w:tr>
      <w:tr w:rsidR="003908C7" w:rsidRPr="00621CC9" w14:paraId="771537A7" w14:textId="77777777" w:rsidTr="3F7FA798">
        <w:tc>
          <w:tcPr>
            <w:tcW w:w="1838" w:type="dxa"/>
            <w:vMerge/>
          </w:tcPr>
          <w:p w14:paraId="635EE7BA" w14:textId="77777777" w:rsidR="003908C7" w:rsidRPr="00621CC9" w:rsidRDefault="003908C7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AECBCD6" w14:textId="18B9ACD7" w:rsidR="003908C7" w:rsidRPr="00621CC9" w:rsidRDefault="003908C7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1.4 The Fund </w:t>
            </w:r>
            <w:r w:rsidR="56B9EEED" w:rsidRPr="3F7FA798">
              <w:rPr>
                <w:rFonts w:ascii="Arial" w:hAnsi="Arial" w:cs="Arial"/>
                <w:sz w:val="24"/>
                <w:szCs w:val="24"/>
              </w:rPr>
              <w:t>provides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seed-funding or co-investment </w:t>
            </w:r>
            <w:r w:rsidR="23C4164A" w:rsidRPr="3F7FA798">
              <w:rPr>
                <w:rFonts w:ascii="Arial" w:hAnsi="Arial" w:cs="Arial"/>
                <w:sz w:val="24"/>
                <w:szCs w:val="24"/>
              </w:rPr>
              <w:t>to identified projects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. This </w:t>
            </w:r>
            <w:r w:rsidR="43A748EE" w:rsidRPr="3F7FA798">
              <w:rPr>
                <w:rFonts w:ascii="Arial" w:hAnsi="Arial" w:cs="Arial"/>
                <w:sz w:val="24"/>
                <w:szCs w:val="24"/>
              </w:rPr>
              <w:t xml:space="preserve">approach </w:t>
            </w:r>
            <w:r w:rsidR="193CCFE5" w:rsidRPr="3F7FA798">
              <w:rPr>
                <w:rFonts w:ascii="Arial" w:hAnsi="Arial" w:cs="Arial"/>
                <w:sz w:val="24"/>
                <w:szCs w:val="24"/>
              </w:rPr>
              <w:t xml:space="preserve">maximises the effect </w:t>
            </w:r>
            <w:r w:rsidR="557B2BE1" w:rsidRPr="3F7FA798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3F7FA798">
              <w:rPr>
                <w:rFonts w:ascii="Arial" w:hAnsi="Arial" w:cs="Arial"/>
                <w:sz w:val="24"/>
                <w:szCs w:val="24"/>
              </w:rPr>
              <w:t>NSW</w:t>
            </w:r>
            <w:r w:rsidR="7F921063" w:rsidRPr="3F7FA798">
              <w:rPr>
                <w:rFonts w:ascii="Arial" w:hAnsi="Arial" w:cs="Arial"/>
                <w:sz w:val="24"/>
                <w:szCs w:val="24"/>
              </w:rPr>
              <w:t xml:space="preserve"> Government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funding, rewards collaboration and ensures a shared commitment between </w:t>
            </w:r>
            <w:r w:rsidR="000C249E" w:rsidRPr="3F7FA798">
              <w:rPr>
                <w:rFonts w:ascii="Arial" w:hAnsi="Arial" w:cs="Arial"/>
                <w:sz w:val="24"/>
                <w:szCs w:val="24"/>
              </w:rPr>
              <w:t>the Department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and the administering organisation/s.</w:t>
            </w:r>
          </w:p>
        </w:tc>
      </w:tr>
      <w:tr w:rsidR="003908C7" w:rsidRPr="00621CC9" w14:paraId="1B8D69D5" w14:textId="77777777" w:rsidTr="3F7FA798">
        <w:tc>
          <w:tcPr>
            <w:tcW w:w="1838" w:type="dxa"/>
            <w:vMerge/>
          </w:tcPr>
          <w:p w14:paraId="65CAA775" w14:textId="77777777" w:rsidR="003908C7" w:rsidRPr="00621CC9" w:rsidRDefault="003908C7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2A871716" w14:textId="77777777" w:rsidR="003908C7" w:rsidRPr="00621CC9" w:rsidRDefault="003908C7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D56" w:rsidRPr="00621CC9" w14:paraId="23A1F983" w14:textId="77777777" w:rsidTr="3F7FA798">
        <w:tc>
          <w:tcPr>
            <w:tcW w:w="1838" w:type="dxa"/>
            <w:vMerge w:val="restart"/>
          </w:tcPr>
          <w:p w14:paraId="1B21C4C2" w14:textId="77777777" w:rsidR="00145D56" w:rsidRPr="00621CC9" w:rsidRDefault="00145D56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2.0 Support Available</w:t>
            </w:r>
          </w:p>
        </w:tc>
        <w:tc>
          <w:tcPr>
            <w:tcW w:w="7178" w:type="dxa"/>
            <w:gridSpan w:val="2"/>
          </w:tcPr>
          <w:p w14:paraId="7985F8AD" w14:textId="668B348B" w:rsidR="00145D56" w:rsidRPr="00621CC9" w:rsidRDefault="00145D56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2.1 </w:t>
            </w:r>
            <w:r w:rsidRPr="005E7720">
              <w:rPr>
                <w:rFonts w:ascii="Arial" w:hAnsi="Arial" w:cs="Arial"/>
                <w:sz w:val="24"/>
                <w:szCs w:val="24"/>
              </w:rPr>
              <w:t>Up to $</w:t>
            </w:r>
            <w:r>
              <w:rPr>
                <w:rFonts w:ascii="Arial" w:hAnsi="Arial" w:cs="Arial"/>
                <w:sz w:val="24"/>
                <w:szCs w:val="24"/>
              </w:rPr>
              <w:t xml:space="preserve">200,000 for an individual project, and up to $500,000 for collaborative projects with multiple partners. </w:t>
            </w:r>
          </w:p>
        </w:tc>
      </w:tr>
      <w:tr w:rsidR="00511C3B" w:rsidRPr="00621CC9" w14:paraId="1B948709" w14:textId="77777777" w:rsidTr="3F7FA798">
        <w:tc>
          <w:tcPr>
            <w:tcW w:w="1838" w:type="dxa"/>
            <w:vMerge/>
          </w:tcPr>
          <w:p w14:paraId="7369BD19" w14:textId="77777777" w:rsidR="00511C3B" w:rsidRPr="00621CC9" w:rsidRDefault="00511C3B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A885793" w14:textId="04A53F32" w:rsidR="00511C3B" w:rsidRPr="00621CC9" w:rsidRDefault="00511C3B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2.2 All payments are in the form of one-off grants.</w:t>
            </w:r>
          </w:p>
        </w:tc>
      </w:tr>
      <w:tr w:rsidR="00145D56" w:rsidRPr="00621CC9" w14:paraId="046BC1A4" w14:textId="77777777" w:rsidTr="3F7FA798">
        <w:tc>
          <w:tcPr>
            <w:tcW w:w="1838" w:type="dxa"/>
            <w:vMerge/>
          </w:tcPr>
          <w:p w14:paraId="4E4D6AB0" w14:textId="77777777" w:rsidR="00145D56" w:rsidRPr="00621CC9" w:rsidRDefault="00145D56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0B02C5D2" w14:textId="77777777" w:rsidR="00145D56" w:rsidRPr="00621CC9" w:rsidRDefault="00145D56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0EE" w:rsidRPr="00621CC9" w14:paraId="33AD689C" w14:textId="77777777" w:rsidTr="3F7FA798">
        <w:tc>
          <w:tcPr>
            <w:tcW w:w="1838" w:type="dxa"/>
            <w:vMerge w:val="restart"/>
          </w:tcPr>
          <w:p w14:paraId="34F05478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3.0 Use of grant funds </w:t>
            </w:r>
          </w:p>
        </w:tc>
        <w:tc>
          <w:tcPr>
            <w:tcW w:w="7178" w:type="dxa"/>
            <w:gridSpan w:val="2"/>
          </w:tcPr>
          <w:p w14:paraId="02E559A9" w14:textId="1E3AB43E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3.1 Funding will take the form of a </w:t>
            </w:r>
            <w:r w:rsidR="60588F4D" w:rsidRPr="3F7FA798">
              <w:rPr>
                <w:rFonts w:ascii="Arial" w:hAnsi="Arial" w:cs="Arial"/>
                <w:sz w:val="24"/>
                <w:szCs w:val="24"/>
              </w:rPr>
              <w:t xml:space="preserve">grant 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following the execution of a funding </w:t>
            </w:r>
            <w:r w:rsidR="00A35638">
              <w:rPr>
                <w:rFonts w:ascii="Arial" w:hAnsi="Arial" w:cs="Arial"/>
                <w:sz w:val="24"/>
                <w:szCs w:val="24"/>
              </w:rPr>
              <w:t>deed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between the administering organisation and the Department.</w:t>
            </w:r>
          </w:p>
        </w:tc>
      </w:tr>
      <w:tr w:rsidR="003D60EE" w:rsidRPr="00621CC9" w14:paraId="2942F9B9" w14:textId="77777777" w:rsidTr="3F7FA798">
        <w:tc>
          <w:tcPr>
            <w:tcW w:w="1838" w:type="dxa"/>
            <w:vMerge/>
          </w:tcPr>
          <w:p w14:paraId="1E92F5B4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06E8BA62" w14:textId="79D6E57D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3.2 </w:t>
            </w:r>
            <w:r w:rsidRPr="00945BB6">
              <w:rPr>
                <w:rFonts w:ascii="Arial" w:hAnsi="Arial" w:cs="Arial"/>
                <w:sz w:val="24"/>
                <w:szCs w:val="24"/>
              </w:rPr>
              <w:t>The grant monies must be used primarily on activities within NSW.</w:t>
            </w:r>
          </w:p>
        </w:tc>
      </w:tr>
      <w:tr w:rsidR="003D60EE" w:rsidRPr="00621CC9" w14:paraId="2FEB1190" w14:textId="77777777" w:rsidTr="3F7FA798">
        <w:tc>
          <w:tcPr>
            <w:tcW w:w="1838" w:type="dxa"/>
            <w:vMerge/>
          </w:tcPr>
          <w:p w14:paraId="097309EC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1D5062CD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0EE" w:rsidRPr="00621CC9" w14:paraId="2CE7C0C7" w14:textId="77777777" w:rsidTr="3F7FA798">
        <w:tc>
          <w:tcPr>
            <w:tcW w:w="1838" w:type="dxa"/>
            <w:vMerge w:val="restart"/>
          </w:tcPr>
          <w:p w14:paraId="680D98E7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lastRenderedPageBreak/>
              <w:t xml:space="preserve">4.0 Eligibility criteria </w:t>
            </w:r>
          </w:p>
        </w:tc>
        <w:tc>
          <w:tcPr>
            <w:tcW w:w="7178" w:type="dxa"/>
            <w:gridSpan w:val="2"/>
          </w:tcPr>
          <w:p w14:paraId="6CAFBCB8" w14:textId="08EA3396" w:rsidR="003D60EE" w:rsidRPr="00C975AA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4.1 Applications are only open to NSW universities </w:t>
            </w:r>
            <w:r w:rsidR="00684E6A">
              <w:rPr>
                <w:rFonts w:ascii="Arial" w:hAnsi="Arial" w:cs="Arial"/>
                <w:sz w:val="24"/>
                <w:szCs w:val="24"/>
              </w:rPr>
              <w:t xml:space="preserve">that are members of the NSW Vice Chancellors’ Committee 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as lead sponsors (“the administering organisation”). </w:t>
            </w:r>
          </w:p>
        </w:tc>
      </w:tr>
      <w:tr w:rsidR="003D60EE" w:rsidRPr="00621CC9" w14:paraId="709494EC" w14:textId="77777777" w:rsidTr="3F7FA798">
        <w:tc>
          <w:tcPr>
            <w:tcW w:w="1838" w:type="dxa"/>
            <w:vMerge/>
          </w:tcPr>
          <w:p w14:paraId="2957AAA0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23398448" w14:textId="6CDAF195" w:rsidR="003D60EE" w:rsidRPr="00C975AA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4.2 Capital projects are excluded, however small-scale research infrastructure proposals will be considered.</w:t>
            </w:r>
          </w:p>
        </w:tc>
      </w:tr>
      <w:tr w:rsidR="00511C3B" w:rsidRPr="00621CC9" w14:paraId="167A62EE" w14:textId="77777777" w:rsidTr="3F7FA798">
        <w:tc>
          <w:tcPr>
            <w:tcW w:w="1838" w:type="dxa"/>
            <w:vMerge/>
          </w:tcPr>
          <w:p w14:paraId="67CEC7E3" w14:textId="77777777" w:rsidR="00511C3B" w:rsidRPr="00621CC9" w:rsidRDefault="00511C3B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02D73E37" w14:textId="4D454AB7" w:rsidR="00511C3B" w:rsidRPr="00C975AA" w:rsidRDefault="00511C3B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4.3 </w:t>
            </w:r>
            <w:r w:rsidR="3E33AD56" w:rsidRPr="3F7FA798">
              <w:rPr>
                <w:rFonts w:ascii="Arial" w:hAnsi="Arial" w:cs="Arial"/>
                <w:sz w:val="24"/>
                <w:szCs w:val="24"/>
              </w:rPr>
              <w:t>Research project proposals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5564" w:rsidRPr="3F7FA798">
              <w:rPr>
                <w:rFonts w:ascii="Arial" w:hAnsi="Arial" w:cs="Arial"/>
                <w:sz w:val="24"/>
                <w:szCs w:val="24"/>
              </w:rPr>
              <w:t xml:space="preserve">will not be considered, and should be directed to the </w:t>
            </w:r>
            <w:hyperlink r:id="rId10" w:anchor="tabs2">
              <w:r w:rsidR="00AF5564" w:rsidRPr="3F7FA798">
                <w:rPr>
                  <w:rStyle w:val="Hyperlink"/>
                  <w:rFonts w:ascii="Arial" w:hAnsi="Arial" w:cs="Arial"/>
                  <w:sz w:val="24"/>
                  <w:szCs w:val="24"/>
                </w:rPr>
                <w:t>Education Strategic Research Fund</w:t>
              </w:r>
            </w:hyperlink>
            <w:r w:rsidR="00AF5564" w:rsidRPr="3F7FA79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90510" w:rsidRPr="3F7FA798">
              <w:rPr>
                <w:rFonts w:ascii="Arial" w:hAnsi="Arial" w:cs="Arial"/>
                <w:sz w:val="24"/>
                <w:szCs w:val="24"/>
              </w:rPr>
              <w:t xml:space="preserve">However, </w:t>
            </w:r>
            <w:r w:rsidR="65691272" w:rsidRPr="3F7FA798">
              <w:rPr>
                <w:rFonts w:ascii="Arial" w:hAnsi="Arial" w:cs="Arial"/>
                <w:sz w:val="24"/>
                <w:szCs w:val="24"/>
              </w:rPr>
              <w:t xml:space="preserve">project </w:t>
            </w:r>
            <w:r w:rsidR="00890510" w:rsidRPr="3F7FA798">
              <w:rPr>
                <w:rFonts w:ascii="Arial" w:hAnsi="Arial" w:cs="Arial"/>
                <w:sz w:val="24"/>
                <w:szCs w:val="24"/>
              </w:rPr>
              <w:t>proposals</w:t>
            </w:r>
            <w:r w:rsidR="4C302A6B" w:rsidRPr="3F7FA798">
              <w:rPr>
                <w:rFonts w:ascii="Arial" w:hAnsi="Arial" w:cs="Arial"/>
                <w:sz w:val="24"/>
                <w:szCs w:val="24"/>
              </w:rPr>
              <w:t xml:space="preserve"> for the Collaboration and Innovation Fund</w:t>
            </w:r>
            <w:r w:rsidR="00890510" w:rsidRPr="3F7FA798">
              <w:rPr>
                <w:rFonts w:ascii="Arial" w:hAnsi="Arial" w:cs="Arial"/>
                <w:sz w:val="24"/>
                <w:szCs w:val="24"/>
              </w:rPr>
              <w:t xml:space="preserve"> may </w:t>
            </w:r>
            <w:r w:rsidR="2ED90A6A" w:rsidRPr="3F7FA798">
              <w:rPr>
                <w:rFonts w:ascii="Arial" w:hAnsi="Arial" w:cs="Arial"/>
                <w:sz w:val="24"/>
                <w:szCs w:val="24"/>
              </w:rPr>
              <w:t xml:space="preserve">involve </w:t>
            </w:r>
            <w:r w:rsidR="00890510" w:rsidRPr="3F7FA798">
              <w:rPr>
                <w:rFonts w:ascii="Arial" w:hAnsi="Arial" w:cs="Arial"/>
                <w:sz w:val="24"/>
                <w:szCs w:val="24"/>
              </w:rPr>
              <w:t xml:space="preserve">a research </w:t>
            </w:r>
            <w:r w:rsidR="4892E937" w:rsidRPr="3F7FA798">
              <w:rPr>
                <w:rFonts w:ascii="Arial" w:hAnsi="Arial" w:cs="Arial"/>
                <w:sz w:val="24"/>
                <w:szCs w:val="24"/>
              </w:rPr>
              <w:t>component</w:t>
            </w:r>
            <w:r w:rsidR="00890510" w:rsidRPr="3F7FA79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3D60EE" w:rsidRPr="00621CC9" w14:paraId="426BE471" w14:textId="77777777" w:rsidTr="3F7FA798">
        <w:tc>
          <w:tcPr>
            <w:tcW w:w="1838" w:type="dxa"/>
            <w:vMerge/>
          </w:tcPr>
          <w:p w14:paraId="17D1AB96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61B045A0" w14:textId="405897FA" w:rsidR="003D60EE" w:rsidRPr="00C975AA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4.</w:t>
            </w:r>
            <w:r w:rsidR="00511C3B" w:rsidRPr="3F7FA798">
              <w:rPr>
                <w:rFonts w:ascii="Arial" w:hAnsi="Arial" w:cs="Arial"/>
                <w:sz w:val="24"/>
                <w:szCs w:val="24"/>
              </w:rPr>
              <w:t>4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Any research</w:t>
            </w:r>
            <w:r w:rsidR="2625EA2C" w:rsidRPr="3F7FA798">
              <w:rPr>
                <w:rFonts w:ascii="Arial" w:hAnsi="Arial" w:cs="Arial"/>
                <w:sz w:val="24"/>
                <w:szCs w:val="24"/>
              </w:rPr>
              <w:t xml:space="preserve"> component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83C6B67" w:rsidRPr="3F7FA798">
              <w:rPr>
                <w:rFonts w:ascii="Arial" w:hAnsi="Arial" w:cs="Arial"/>
                <w:sz w:val="24"/>
                <w:szCs w:val="24"/>
              </w:rPr>
              <w:t xml:space="preserve">to the project </w:t>
            </w:r>
            <w:r w:rsidRPr="3F7FA798">
              <w:rPr>
                <w:rFonts w:ascii="Arial" w:hAnsi="Arial" w:cs="Arial"/>
                <w:sz w:val="24"/>
                <w:szCs w:val="24"/>
              </w:rPr>
              <w:t>must have ethics approval or be likely to receive ethics approval from the relevant ethics committee at the university.</w:t>
            </w:r>
          </w:p>
        </w:tc>
      </w:tr>
      <w:tr w:rsidR="003D60EE" w:rsidRPr="00621CC9" w14:paraId="1E70AFD0" w14:textId="77777777" w:rsidTr="3F7FA798">
        <w:tc>
          <w:tcPr>
            <w:tcW w:w="1838" w:type="dxa"/>
            <w:vMerge/>
          </w:tcPr>
          <w:p w14:paraId="40452EAF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91CBC4D" w14:textId="351877CD" w:rsidR="003D60EE" w:rsidRPr="008C0251" w:rsidRDefault="00145D56" w:rsidP="0093264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4.</w:t>
            </w:r>
            <w:r w:rsidR="00511C3B" w:rsidRPr="3F7FA798">
              <w:rPr>
                <w:rFonts w:ascii="Arial" w:hAnsi="Arial" w:cs="Arial"/>
                <w:sz w:val="24"/>
                <w:szCs w:val="24"/>
              </w:rPr>
              <w:t>5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 xml:space="preserve">If the proposed research project involves schools, the lead researcher must apply through the NSW State Education Research Applications Process (SERAP), or </w:t>
            </w:r>
            <w:r w:rsidR="1064EF75" w:rsidRPr="3F7FA798">
              <w:rPr>
                <w:rFonts w:ascii="Arial" w:hAnsi="Arial" w:cs="Arial"/>
                <w:sz w:val="24"/>
                <w:szCs w:val="24"/>
              </w:rPr>
              <w:t>pr</w:t>
            </w:r>
            <w:r w:rsidR="0BDEF329" w:rsidRPr="3F7FA798">
              <w:rPr>
                <w:rFonts w:ascii="Arial" w:hAnsi="Arial" w:cs="Arial"/>
                <w:sz w:val="24"/>
                <w:szCs w:val="24"/>
              </w:rPr>
              <w:t>o</w:t>
            </w:r>
            <w:r w:rsidR="1064EF75" w:rsidRPr="3F7FA798">
              <w:rPr>
                <w:rFonts w:ascii="Arial" w:hAnsi="Arial" w:cs="Arial"/>
                <w:sz w:val="24"/>
                <w:szCs w:val="24"/>
              </w:rPr>
              <w:t xml:space="preserve">vide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>evidence of SERAP approval</w:t>
            </w:r>
            <w:r w:rsidR="48E7D820" w:rsidRPr="3F7FA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>with their application.</w:t>
            </w:r>
            <w:r w:rsidR="008C0251" w:rsidRPr="3F7FA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>If a SERAP is unsuccessful, the proposed research will not be funded.</w:t>
            </w:r>
          </w:p>
        </w:tc>
      </w:tr>
      <w:tr w:rsidR="003D60EE" w:rsidRPr="00621CC9" w14:paraId="53CA7323" w14:textId="77777777" w:rsidTr="3F7FA798">
        <w:tc>
          <w:tcPr>
            <w:tcW w:w="1838" w:type="dxa"/>
            <w:vMerge/>
          </w:tcPr>
          <w:p w14:paraId="0F22089D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27B131A6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0EE" w:rsidRPr="00621CC9" w14:paraId="6898763D" w14:textId="77777777" w:rsidTr="3F7FA798">
        <w:tc>
          <w:tcPr>
            <w:tcW w:w="1838" w:type="dxa"/>
            <w:vMerge w:val="restart"/>
          </w:tcPr>
          <w:p w14:paraId="18AFEAA5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5.0 Selection Criteria </w:t>
            </w:r>
          </w:p>
        </w:tc>
        <w:tc>
          <w:tcPr>
            <w:tcW w:w="7178" w:type="dxa"/>
            <w:gridSpan w:val="2"/>
          </w:tcPr>
          <w:p w14:paraId="619E212F" w14:textId="40ED1DBA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5.1 Applications will be ranked and preference given according to the </w:t>
            </w:r>
            <w:r>
              <w:rPr>
                <w:rFonts w:ascii="Arial" w:hAnsi="Arial" w:cs="Arial"/>
                <w:sz w:val="24"/>
                <w:szCs w:val="24"/>
              </w:rPr>
              <w:t>guiding principles</w:t>
            </w:r>
            <w:r w:rsidRPr="00621C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00FA">
              <w:rPr>
                <w:rFonts w:ascii="Arial" w:hAnsi="Arial" w:cs="Arial"/>
                <w:sz w:val="24"/>
                <w:szCs w:val="24"/>
              </w:rPr>
              <w:t xml:space="preserve">for ‘Priority Partner Projects’ </w:t>
            </w:r>
            <w:r w:rsidRPr="00621CC9">
              <w:rPr>
                <w:rFonts w:ascii="Arial" w:hAnsi="Arial" w:cs="Arial"/>
                <w:sz w:val="24"/>
                <w:szCs w:val="24"/>
              </w:rPr>
              <w:t>outlined below</w:t>
            </w:r>
            <w:r w:rsidR="007A00F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E510FE" w14:textId="77777777" w:rsidR="003D60EE" w:rsidRDefault="003D60EE" w:rsidP="000D19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32641">
              <w:rPr>
                <w:rFonts w:ascii="Arial" w:hAnsi="Arial" w:cs="Arial"/>
                <w:b/>
                <w:bCs/>
                <w:sz w:val="24"/>
                <w:szCs w:val="24"/>
              </w:rPr>
              <w:t>Outcomes Focused:</w:t>
            </w:r>
            <w:r w:rsidRPr="009326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CFDCFC" w14:textId="1BC9ADA1" w:rsidR="003D60EE" w:rsidRDefault="003D60EE" w:rsidP="000D195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32641">
              <w:rPr>
                <w:rFonts w:ascii="Arial" w:hAnsi="Arial" w:cs="Arial"/>
                <w:sz w:val="24"/>
                <w:szCs w:val="24"/>
              </w:rPr>
              <w:t xml:space="preserve">The project </w:t>
            </w:r>
            <w:r w:rsidR="00511C3B">
              <w:rPr>
                <w:rFonts w:ascii="Arial" w:hAnsi="Arial" w:cs="Arial"/>
                <w:sz w:val="24"/>
                <w:szCs w:val="24"/>
              </w:rPr>
              <w:t>aligns to</w:t>
            </w:r>
            <w:r w:rsidRPr="00932641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511C3B">
              <w:rPr>
                <w:rFonts w:ascii="Arial" w:hAnsi="Arial" w:cs="Arial"/>
                <w:sz w:val="24"/>
                <w:szCs w:val="24"/>
              </w:rPr>
              <w:t xml:space="preserve">Higher Education </w:t>
            </w:r>
            <w:r w:rsidRPr="00932641">
              <w:rPr>
                <w:rFonts w:ascii="Arial" w:hAnsi="Arial" w:cs="Arial"/>
                <w:sz w:val="24"/>
                <w:szCs w:val="24"/>
              </w:rPr>
              <w:t>Strategy’s outcomes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511C3B">
              <w:rPr>
                <w:rFonts w:ascii="Arial" w:hAnsi="Arial" w:cs="Arial"/>
                <w:sz w:val="24"/>
                <w:szCs w:val="24"/>
              </w:rPr>
              <w:t xml:space="preserve"> specifically</w:t>
            </w:r>
            <w:r>
              <w:rPr>
                <w:rFonts w:ascii="Arial" w:hAnsi="Arial" w:cs="Arial"/>
                <w:sz w:val="24"/>
                <w:szCs w:val="24"/>
              </w:rPr>
              <w:t xml:space="preserve"> support</w:t>
            </w:r>
            <w:r w:rsidR="001B20A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priorities and outcomes in the Education Cluster.</w:t>
            </w:r>
          </w:p>
          <w:p w14:paraId="4A49AD50" w14:textId="5581ADA5" w:rsidR="003D60EE" w:rsidRDefault="00511C3B" w:rsidP="000D195B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All projects must </w:t>
            </w:r>
            <w:r w:rsidR="6B3165C1" w:rsidRPr="3F7FA798">
              <w:rPr>
                <w:rFonts w:ascii="Arial" w:hAnsi="Arial" w:cs="Arial"/>
                <w:sz w:val="24"/>
                <w:szCs w:val="24"/>
              </w:rPr>
              <w:t xml:space="preserve">take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 xml:space="preserve">a student-centred approach, </w:t>
            </w:r>
            <w:r w:rsidR="40668E5A" w:rsidRPr="3F7FA798">
              <w:rPr>
                <w:rFonts w:ascii="Arial" w:hAnsi="Arial" w:cs="Arial"/>
                <w:sz w:val="24"/>
                <w:szCs w:val="24"/>
              </w:rPr>
              <w:t xml:space="preserve">and consider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5F5733C5" w:rsidRPr="3F7FA798">
              <w:rPr>
                <w:rFonts w:ascii="Arial" w:hAnsi="Arial" w:cs="Arial"/>
                <w:sz w:val="24"/>
                <w:szCs w:val="24"/>
              </w:rPr>
              <w:t xml:space="preserve">benefit to or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>impact on student outcomes.</w:t>
            </w:r>
          </w:p>
          <w:p w14:paraId="18F345F8" w14:textId="77777777" w:rsidR="003D60EE" w:rsidRDefault="003D60EE" w:rsidP="000D19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EA1AC3" w14:textId="77777777" w:rsidR="003D60EE" w:rsidRDefault="003D60EE" w:rsidP="000D19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641">
              <w:rPr>
                <w:rFonts w:ascii="Arial" w:hAnsi="Arial" w:cs="Arial"/>
                <w:b/>
                <w:bCs/>
                <w:sz w:val="24"/>
                <w:szCs w:val="24"/>
              </w:rPr>
              <w:t>Evidence and Innovation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774D6B38" w14:textId="2B1AC88C" w:rsidR="003D60EE" w:rsidRDefault="003D60EE" w:rsidP="000D195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The project is anchored in a strong evidence-base</w:t>
            </w:r>
            <w:r w:rsidR="47F4873D" w:rsidRPr="3F7FA798">
              <w:rPr>
                <w:rFonts w:ascii="Arial" w:hAnsi="Arial" w:cs="Arial"/>
                <w:sz w:val="24"/>
                <w:szCs w:val="24"/>
              </w:rPr>
              <w:t xml:space="preserve"> and/or</w:t>
            </w:r>
          </w:p>
          <w:p w14:paraId="790AB38F" w14:textId="79F6ACD0" w:rsidR="003D60EE" w:rsidRDefault="375BDE1F" w:rsidP="3F7FA79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The project is innovative and demonstrates its unique value proposition</w:t>
            </w:r>
            <w:r w:rsidR="00EF06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26501" w14:textId="77777777" w:rsidR="003D60EE" w:rsidRPr="00932641" w:rsidRDefault="003D60EE" w:rsidP="000D195B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14B5D3" w14:textId="77777777" w:rsidR="003D60EE" w:rsidRDefault="003D60EE" w:rsidP="000D19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3264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Collaboration: </w:t>
            </w:r>
            <w:r w:rsidRPr="009326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97633F" w14:textId="075092B7" w:rsidR="003D60EE" w:rsidRDefault="597FDAA5" w:rsidP="000D195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lastRenderedPageBreak/>
              <w:t xml:space="preserve">The project takes </w:t>
            </w:r>
            <w:r w:rsidR="003D60EE" w:rsidRPr="3F7FA798">
              <w:rPr>
                <w:rFonts w:ascii="Arial" w:hAnsi="Arial" w:cs="Arial"/>
                <w:sz w:val="24"/>
                <w:szCs w:val="24"/>
              </w:rPr>
              <w:t>a collaborative approach, with major government, tertiary, industry and/or non-government partners.</w:t>
            </w:r>
          </w:p>
          <w:p w14:paraId="409416E0" w14:textId="3919205E" w:rsidR="003D60EE" w:rsidRDefault="003D60EE" w:rsidP="000D195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195B">
              <w:rPr>
                <w:rFonts w:ascii="Arial" w:hAnsi="Arial" w:cs="Arial"/>
                <w:sz w:val="24"/>
                <w:szCs w:val="24"/>
              </w:rPr>
              <w:t>Weighting will be given to universities that collaborate with other higher education or tertiary providers, including TAFE NSW or other Registered Training Organisations.</w:t>
            </w:r>
          </w:p>
          <w:p w14:paraId="7F063677" w14:textId="50B55636" w:rsidR="003D60EE" w:rsidRDefault="003D60EE" w:rsidP="000D195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Proposals over $200,000 will not be considered without multiple partners.</w:t>
            </w:r>
          </w:p>
          <w:p w14:paraId="57B93812" w14:textId="77777777" w:rsidR="003D60EE" w:rsidRPr="000D195B" w:rsidRDefault="003D60EE" w:rsidP="000D19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ABB25" w14:textId="77777777" w:rsidR="003D60EE" w:rsidRDefault="003D60EE" w:rsidP="000D195B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19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Contribution (financial or in-kind): </w:t>
            </w:r>
          </w:p>
          <w:p w14:paraId="0CC729C1" w14:textId="2316AC71" w:rsidR="003D60EE" w:rsidRDefault="003D60EE" w:rsidP="000D195B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328EC096" w:rsidRPr="007338C5">
              <w:rPr>
                <w:rFonts w:ascii="Arial" w:hAnsi="Arial" w:cs="Arial"/>
                <w:sz w:val="24"/>
                <w:szCs w:val="24"/>
              </w:rPr>
              <w:t>administering organisation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of the project is co-investing financially or in-kind, and/or has the ability to attract Commonwealth or partner funding.</w:t>
            </w:r>
          </w:p>
          <w:p w14:paraId="26305875" w14:textId="77777777" w:rsidR="003D60EE" w:rsidRPr="000D195B" w:rsidRDefault="003D60EE" w:rsidP="000D195B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8E3A139" w14:textId="05363756" w:rsidR="003D60EE" w:rsidRDefault="00BB49DB" w:rsidP="000D19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Executive endorsement</w:t>
            </w:r>
            <w:r w:rsidR="003D60EE" w:rsidRPr="000D195B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F9977A0" w14:textId="13FB7E3C" w:rsidR="003D60EE" w:rsidRDefault="003D60EE" w:rsidP="000D195B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The project is a priority</w:t>
            </w:r>
            <w:r w:rsidR="278EDE00" w:rsidRPr="3F7FA798">
              <w:rPr>
                <w:rFonts w:ascii="Arial" w:hAnsi="Arial" w:cs="Arial"/>
                <w:sz w:val="24"/>
                <w:szCs w:val="24"/>
              </w:rPr>
              <w:t xml:space="preserve"> for the administering institution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, demonstrated through executive sponsorship </w:t>
            </w:r>
            <w:r w:rsidR="1C02BB9D" w:rsidRPr="3F7FA798">
              <w:rPr>
                <w:rFonts w:ascii="Arial" w:hAnsi="Arial" w:cs="Arial"/>
                <w:sz w:val="24"/>
                <w:szCs w:val="24"/>
              </w:rPr>
              <w:t>(</w:t>
            </w:r>
            <w:r w:rsidRPr="3F7FA798">
              <w:rPr>
                <w:rFonts w:ascii="Arial" w:hAnsi="Arial" w:cs="Arial"/>
                <w:sz w:val="24"/>
                <w:szCs w:val="24"/>
              </w:rPr>
              <w:t>for example Vice-Chancellors or Deputy Vice Chancellors within a university</w:t>
            </w:r>
            <w:r w:rsidR="23E5AD97" w:rsidRPr="3F7FA798">
              <w:rPr>
                <w:rFonts w:ascii="Arial" w:hAnsi="Arial" w:cs="Arial"/>
                <w:sz w:val="24"/>
                <w:szCs w:val="24"/>
              </w:rPr>
              <w:t>)</w:t>
            </w:r>
            <w:r w:rsidR="00EF068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74CC79" w14:textId="77777777" w:rsidR="003D60EE" w:rsidRPr="000D195B" w:rsidRDefault="003D60EE" w:rsidP="000D195B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B8E68" w14:textId="77777777" w:rsidR="003D60EE" w:rsidRDefault="003D60EE" w:rsidP="000D195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195B">
              <w:rPr>
                <w:rFonts w:ascii="Arial" w:hAnsi="Arial" w:cs="Arial"/>
                <w:b/>
                <w:bCs/>
                <w:sz w:val="24"/>
                <w:szCs w:val="24"/>
              </w:rPr>
              <w:t>Financial sustainability:</w:t>
            </w:r>
            <w:r w:rsidRPr="000D19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6BE763" w14:textId="07395B6F" w:rsidR="003D60EE" w:rsidRPr="000D195B" w:rsidRDefault="003D60EE" w:rsidP="000D195B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The project demonstrate</w:t>
            </w:r>
            <w:r w:rsidR="592135C9" w:rsidRPr="3F7FA798">
              <w:rPr>
                <w:rFonts w:ascii="Arial" w:hAnsi="Arial" w:cs="Arial"/>
                <w:sz w:val="24"/>
                <w:szCs w:val="24"/>
              </w:rPr>
              <w:t>s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its financial sustainability, or supports the sustainability of the higher education sector more broadly</w:t>
            </w:r>
            <w:r w:rsidR="00EF06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60EE" w:rsidRPr="00621CC9" w14:paraId="106A4EAD" w14:textId="77777777" w:rsidTr="3F7FA798">
        <w:tc>
          <w:tcPr>
            <w:tcW w:w="1838" w:type="dxa"/>
            <w:vMerge/>
          </w:tcPr>
          <w:p w14:paraId="3BFCE19F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6F6853F8" w14:textId="4D945BA0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5.2 The application will be assessed against the</w:t>
            </w:r>
            <w:r w:rsidR="5C23FC64" w:rsidRPr="3F7FA798">
              <w:rPr>
                <w:rFonts w:ascii="Arial" w:hAnsi="Arial" w:cs="Arial"/>
                <w:sz w:val="24"/>
                <w:szCs w:val="24"/>
              </w:rPr>
              <w:t>se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criteria by a selection panel to determine whether to award funding to the applicant, and how much funding to award.</w:t>
            </w:r>
          </w:p>
        </w:tc>
      </w:tr>
      <w:tr w:rsidR="00025011" w:rsidRPr="00621CC9" w14:paraId="74644161" w14:textId="77777777" w:rsidTr="3F7FA798">
        <w:tc>
          <w:tcPr>
            <w:tcW w:w="1838" w:type="dxa"/>
            <w:vMerge/>
          </w:tcPr>
          <w:p w14:paraId="1424056F" w14:textId="77777777" w:rsidR="00025011" w:rsidRPr="00621CC9" w:rsidRDefault="00025011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4F133FD" w14:textId="37E2324F" w:rsidR="00025011" w:rsidRPr="3F7FA798" w:rsidRDefault="00025011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5.3 The panel will make a funding recommendation to the Minister for Skills and T</w:t>
            </w:r>
            <w:r w:rsidR="00520530">
              <w:rPr>
                <w:rFonts w:ascii="Arial" w:hAnsi="Arial" w:cs="Arial"/>
                <w:sz w:val="24"/>
                <w:szCs w:val="24"/>
              </w:rPr>
              <w:t>raining</w:t>
            </w:r>
            <w:r>
              <w:rPr>
                <w:rFonts w:ascii="Arial" w:hAnsi="Arial" w:cs="Arial"/>
                <w:sz w:val="24"/>
                <w:szCs w:val="24"/>
              </w:rPr>
              <w:t xml:space="preserve"> for consideration.</w:t>
            </w:r>
          </w:p>
        </w:tc>
      </w:tr>
      <w:tr w:rsidR="003D60EE" w:rsidRPr="00621CC9" w14:paraId="1E4B2411" w14:textId="77777777" w:rsidTr="3F7FA798">
        <w:tc>
          <w:tcPr>
            <w:tcW w:w="1838" w:type="dxa"/>
            <w:vMerge/>
          </w:tcPr>
          <w:p w14:paraId="6AB09EE8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14CD2D2F" w14:textId="7BB0D092" w:rsidR="003D60EE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224A0">
              <w:rPr>
                <w:rFonts w:ascii="Arial" w:hAnsi="Arial" w:cs="Arial"/>
                <w:sz w:val="24"/>
                <w:szCs w:val="24"/>
              </w:rPr>
              <w:t>5.</w:t>
            </w:r>
            <w:r w:rsidR="00025011">
              <w:rPr>
                <w:rFonts w:ascii="Arial" w:hAnsi="Arial" w:cs="Arial"/>
                <w:sz w:val="24"/>
                <w:szCs w:val="24"/>
              </w:rPr>
              <w:t>4</w:t>
            </w:r>
            <w:r w:rsidRPr="00D224A0">
              <w:rPr>
                <w:rFonts w:ascii="Arial" w:hAnsi="Arial" w:cs="Arial"/>
                <w:sz w:val="24"/>
                <w:szCs w:val="24"/>
              </w:rPr>
              <w:t xml:space="preserve"> The Department reserves the right, at its absolute discretion, to adopt any strategy in assessing applications received.</w:t>
            </w:r>
          </w:p>
        </w:tc>
      </w:tr>
      <w:tr w:rsidR="003D60EE" w:rsidRPr="00621CC9" w14:paraId="55F93AFD" w14:textId="77777777" w:rsidTr="3F7FA798">
        <w:tc>
          <w:tcPr>
            <w:tcW w:w="1838" w:type="dxa"/>
            <w:vMerge/>
          </w:tcPr>
          <w:p w14:paraId="595906CE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767035F" w14:textId="493E6301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5.</w:t>
            </w:r>
            <w:r w:rsidR="00025011">
              <w:rPr>
                <w:rFonts w:ascii="Arial" w:hAnsi="Arial" w:cs="Arial"/>
                <w:sz w:val="24"/>
                <w:szCs w:val="24"/>
              </w:rPr>
              <w:t>5</w:t>
            </w:r>
            <w:r w:rsidRPr="00621CC9">
              <w:rPr>
                <w:rFonts w:ascii="Arial" w:hAnsi="Arial" w:cs="Arial"/>
                <w:sz w:val="24"/>
                <w:szCs w:val="24"/>
              </w:rPr>
              <w:t xml:space="preserve"> The Department may choose not to award funding under this program.</w:t>
            </w:r>
          </w:p>
        </w:tc>
      </w:tr>
      <w:tr w:rsidR="003D60EE" w:rsidRPr="00621CC9" w14:paraId="16F69E00" w14:textId="77777777" w:rsidTr="3F7FA798">
        <w:tc>
          <w:tcPr>
            <w:tcW w:w="1838" w:type="dxa"/>
            <w:vMerge/>
          </w:tcPr>
          <w:p w14:paraId="65B22017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7D85F435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0EE" w:rsidRPr="00621CC9" w14:paraId="4E843225" w14:textId="77777777" w:rsidTr="3F7FA798">
        <w:tc>
          <w:tcPr>
            <w:tcW w:w="1838" w:type="dxa"/>
            <w:vMerge w:val="restart"/>
          </w:tcPr>
          <w:p w14:paraId="109AA856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6.0 Application process </w:t>
            </w:r>
          </w:p>
        </w:tc>
        <w:tc>
          <w:tcPr>
            <w:tcW w:w="7178" w:type="dxa"/>
            <w:gridSpan w:val="2"/>
          </w:tcPr>
          <w:p w14:paraId="18389A4D" w14:textId="036F5169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51840E8">
              <w:rPr>
                <w:rFonts w:ascii="Arial" w:hAnsi="Arial" w:cs="Arial"/>
                <w:sz w:val="24"/>
                <w:szCs w:val="24"/>
              </w:rPr>
              <w:t xml:space="preserve">6.1 </w:t>
            </w:r>
            <w:r w:rsidRPr="351840E8">
              <w:rPr>
                <w:rFonts w:ascii="Arial" w:hAnsi="Arial" w:cs="Arial"/>
                <w:b/>
                <w:bCs/>
                <w:sz w:val="24"/>
                <w:szCs w:val="24"/>
              </w:rPr>
              <w:t>Applications for this round of grants</w:t>
            </w:r>
            <w:r w:rsidRPr="351840E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351840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close at 6PM AEST </w:t>
            </w:r>
            <w:r w:rsidR="0052053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C3E0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5205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April 2022.</w:t>
            </w:r>
          </w:p>
        </w:tc>
      </w:tr>
      <w:tr w:rsidR="003D60EE" w:rsidRPr="00621CC9" w14:paraId="56F32009" w14:textId="77777777" w:rsidTr="3F7FA798">
        <w:tc>
          <w:tcPr>
            <w:tcW w:w="1838" w:type="dxa"/>
            <w:vMerge/>
          </w:tcPr>
          <w:p w14:paraId="47D499DE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21FBF1A" w14:textId="1E0D8FF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621CC9">
              <w:rPr>
                <w:rFonts w:ascii="Arial" w:hAnsi="Arial" w:cs="Arial"/>
                <w:sz w:val="24"/>
                <w:szCs w:val="24"/>
              </w:rPr>
              <w:t xml:space="preserve"> Applicants are required to submit an electronic copy of the completed application form to: </w:t>
            </w:r>
            <w:hyperlink r:id="rId11">
              <w:r w:rsidRPr="00621CC9">
                <w:rPr>
                  <w:rStyle w:val="Hyperlink"/>
                  <w:rFonts w:ascii="Arial" w:hAnsi="Arial" w:cs="Arial"/>
                  <w:sz w:val="24"/>
                  <w:szCs w:val="24"/>
                </w:rPr>
                <w:t>higher.education@det.nsw.edu.au</w:t>
              </w:r>
            </w:hyperlink>
            <w:r w:rsidRPr="00621CC9">
              <w:rPr>
                <w:rFonts w:ascii="Arial" w:hAnsi="Arial" w:cs="Arial"/>
                <w:sz w:val="24"/>
                <w:szCs w:val="24"/>
              </w:rPr>
              <w:t xml:space="preserve"> with the subject line “</w:t>
            </w:r>
            <w:r>
              <w:rPr>
                <w:rFonts w:ascii="Arial" w:hAnsi="Arial" w:cs="Arial"/>
                <w:b/>
                <w:sz w:val="24"/>
                <w:szCs w:val="24"/>
              </w:rPr>
              <w:t>Collaboration and Innovation</w:t>
            </w:r>
            <w:r w:rsidRPr="0090336D">
              <w:rPr>
                <w:rFonts w:ascii="Arial" w:hAnsi="Arial" w:cs="Arial"/>
                <w:b/>
                <w:sz w:val="24"/>
                <w:szCs w:val="24"/>
              </w:rPr>
              <w:t xml:space="preserve"> Fund Application</w:t>
            </w:r>
            <w:r w:rsidRPr="00621CC9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</w:tr>
      <w:tr w:rsidR="003D60EE" w:rsidRPr="00621CC9" w14:paraId="46EF88F1" w14:textId="77777777" w:rsidTr="3F7FA798">
        <w:tc>
          <w:tcPr>
            <w:tcW w:w="1838" w:type="dxa"/>
            <w:vMerge/>
          </w:tcPr>
          <w:p w14:paraId="4820E012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040F479" w14:textId="4E947D18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6.3 </w:t>
            </w:r>
            <w:r w:rsidRPr="0064317F">
              <w:rPr>
                <w:rFonts w:ascii="Arial" w:hAnsi="Arial" w:cs="Arial"/>
                <w:sz w:val="24"/>
                <w:szCs w:val="24"/>
              </w:rPr>
              <w:t xml:space="preserve">Applications must be signed by </w:t>
            </w:r>
            <w:r w:rsidR="007A00FA" w:rsidRPr="0064317F">
              <w:rPr>
                <w:rFonts w:ascii="Arial" w:hAnsi="Arial" w:cs="Arial"/>
                <w:sz w:val="24"/>
                <w:szCs w:val="24"/>
              </w:rPr>
              <w:t xml:space="preserve">the project lead and endorsed by </w:t>
            </w:r>
            <w:r w:rsidR="0064317F" w:rsidRPr="0064317F">
              <w:rPr>
                <w:rFonts w:ascii="Arial" w:hAnsi="Arial" w:cs="Arial"/>
                <w:sz w:val="24"/>
                <w:szCs w:val="24"/>
              </w:rPr>
              <w:t>senior executive and legal within the administering organisation</w:t>
            </w:r>
            <w:r w:rsidR="007A00FA" w:rsidRPr="006431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60EE" w:rsidRPr="00621CC9" w14:paraId="7081C08D" w14:textId="77777777" w:rsidTr="3F7FA798">
        <w:tc>
          <w:tcPr>
            <w:tcW w:w="1838" w:type="dxa"/>
            <w:vMerge/>
          </w:tcPr>
          <w:p w14:paraId="06669EF3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29EC7CF0" w14:textId="37C95C3D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621CC9">
              <w:rPr>
                <w:rFonts w:ascii="Arial" w:hAnsi="Arial" w:cs="Arial"/>
                <w:sz w:val="24"/>
                <w:szCs w:val="24"/>
              </w:rPr>
              <w:t xml:space="preserve"> Late applications will not be accepted.</w:t>
            </w:r>
          </w:p>
        </w:tc>
      </w:tr>
      <w:tr w:rsidR="003D60EE" w:rsidRPr="00621CC9" w14:paraId="423B3798" w14:textId="77777777" w:rsidTr="3F7FA798">
        <w:tc>
          <w:tcPr>
            <w:tcW w:w="1838" w:type="dxa"/>
            <w:vMerge/>
          </w:tcPr>
          <w:p w14:paraId="295EFE67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C52740F" w14:textId="4D33F128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5D7E56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D7E56">
              <w:rPr>
                <w:rFonts w:ascii="Arial" w:hAnsi="Arial" w:cs="Arial"/>
                <w:sz w:val="24"/>
                <w:szCs w:val="24"/>
              </w:rPr>
              <w:t xml:space="preserve"> Unsuccessful applicants </w:t>
            </w:r>
            <w:r>
              <w:rPr>
                <w:rFonts w:ascii="Arial" w:hAnsi="Arial" w:cs="Arial"/>
                <w:sz w:val="24"/>
                <w:szCs w:val="24"/>
              </w:rPr>
              <w:t>may</w:t>
            </w:r>
            <w:r w:rsidRPr="005D7E56">
              <w:rPr>
                <w:rFonts w:ascii="Arial" w:hAnsi="Arial" w:cs="Arial"/>
                <w:sz w:val="24"/>
                <w:szCs w:val="24"/>
              </w:rPr>
              <w:t xml:space="preserve"> reapply in </w:t>
            </w:r>
            <w:r>
              <w:rPr>
                <w:rFonts w:ascii="Arial" w:hAnsi="Arial" w:cs="Arial"/>
                <w:sz w:val="24"/>
                <w:szCs w:val="24"/>
              </w:rPr>
              <w:t>future</w:t>
            </w:r>
            <w:r w:rsidRPr="005D7E56">
              <w:rPr>
                <w:rFonts w:ascii="Arial" w:hAnsi="Arial" w:cs="Arial"/>
                <w:sz w:val="24"/>
                <w:szCs w:val="24"/>
              </w:rPr>
              <w:t xml:space="preserve"> funding rounds.</w:t>
            </w:r>
          </w:p>
        </w:tc>
      </w:tr>
      <w:tr w:rsidR="003D60EE" w:rsidRPr="00621CC9" w14:paraId="6A8D6EB5" w14:textId="77777777" w:rsidTr="3F7FA798">
        <w:tc>
          <w:tcPr>
            <w:tcW w:w="1838" w:type="dxa"/>
            <w:vMerge/>
          </w:tcPr>
          <w:p w14:paraId="74D09B61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01E5DE4A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0EE" w:rsidRPr="00621CC9" w14:paraId="116FE13C" w14:textId="77777777" w:rsidTr="3F7FA798">
        <w:tc>
          <w:tcPr>
            <w:tcW w:w="1838" w:type="dxa"/>
            <w:vMerge w:val="restart"/>
          </w:tcPr>
          <w:p w14:paraId="4EDD0DF1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7.0 Selection process </w:t>
            </w:r>
          </w:p>
        </w:tc>
        <w:tc>
          <w:tcPr>
            <w:tcW w:w="7178" w:type="dxa"/>
            <w:gridSpan w:val="2"/>
          </w:tcPr>
          <w:p w14:paraId="301482E5" w14:textId="71F46B89" w:rsidR="003D60EE" w:rsidRPr="00D224A0" w:rsidRDefault="003D60EE" w:rsidP="003908C7">
            <w:pPr>
              <w:pStyle w:val="ListParagraph"/>
              <w:numPr>
                <w:ilvl w:val="1"/>
                <w:numId w:val="20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224A0">
              <w:rPr>
                <w:rFonts w:ascii="Arial" w:hAnsi="Arial" w:cs="Arial"/>
                <w:sz w:val="24"/>
                <w:szCs w:val="24"/>
              </w:rPr>
              <w:t xml:space="preserve"> A selection panel will:</w:t>
            </w:r>
          </w:p>
          <w:p w14:paraId="175CA1A4" w14:textId="19F2C6C3" w:rsidR="003D60EE" w:rsidRDefault="003D60EE" w:rsidP="3F7FA798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rPr>
                <w:rFonts w:eastAsiaTheme="minorEastAsia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Assess and rank grant applications according to </w:t>
            </w:r>
            <w:r w:rsidR="00DD7EC5" w:rsidRPr="3F7FA798">
              <w:rPr>
                <w:rFonts w:ascii="Arial" w:hAnsi="Arial" w:cs="Arial"/>
                <w:sz w:val="24"/>
                <w:szCs w:val="24"/>
              </w:rPr>
              <w:t>the Collaboration</w:t>
            </w:r>
            <w:r w:rsidR="0637D4C3" w:rsidRPr="3F7FA798">
              <w:rPr>
                <w:rFonts w:ascii="Arial" w:hAnsi="Arial" w:cs="Arial"/>
                <w:sz w:val="24"/>
                <w:szCs w:val="24"/>
              </w:rPr>
              <w:t xml:space="preserve"> and Innovation Fund’</w:t>
            </w:r>
            <w:r w:rsidRPr="3F7FA798">
              <w:rPr>
                <w:rFonts w:ascii="Arial" w:hAnsi="Arial" w:cs="Arial"/>
                <w:sz w:val="24"/>
                <w:szCs w:val="24"/>
              </w:rPr>
              <w:t>s eligibility and selection criteria; and</w:t>
            </w:r>
          </w:p>
          <w:p w14:paraId="116CAE85" w14:textId="539D7D98" w:rsidR="003D60EE" w:rsidRPr="00D224A0" w:rsidRDefault="003D60EE" w:rsidP="003908C7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>Determine which applicants, if any, should receive grants</w:t>
            </w:r>
            <w:r w:rsidR="6D49DCDE" w:rsidRPr="3F7FA7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60EE" w:rsidRPr="00621CC9" w14:paraId="298A85BE" w14:textId="77777777" w:rsidTr="3F7FA798">
        <w:tc>
          <w:tcPr>
            <w:tcW w:w="1838" w:type="dxa"/>
            <w:vMerge/>
          </w:tcPr>
          <w:p w14:paraId="7DDFFA04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14876716" w14:textId="2F481D6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7.2 The panel will assess each </w:t>
            </w:r>
            <w:r w:rsidR="00DD7EC5" w:rsidRPr="3F7FA798">
              <w:rPr>
                <w:rFonts w:ascii="Arial" w:hAnsi="Arial" w:cs="Arial"/>
                <w:sz w:val="24"/>
                <w:szCs w:val="24"/>
              </w:rPr>
              <w:t>application relative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to the criteria and other applications</w:t>
            </w:r>
            <w:r w:rsidR="00EF068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60EE" w:rsidRPr="00621CC9" w14:paraId="15B87EC7" w14:textId="77777777" w:rsidTr="3F7FA798">
        <w:tc>
          <w:tcPr>
            <w:tcW w:w="1838" w:type="dxa"/>
            <w:vMerge/>
          </w:tcPr>
          <w:p w14:paraId="198AD5BF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7E36C1DF" w14:textId="74570425" w:rsidR="003D60EE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224A0">
              <w:rPr>
                <w:rFonts w:ascii="Arial" w:hAnsi="Arial" w:cs="Arial"/>
                <w:sz w:val="24"/>
                <w:szCs w:val="24"/>
              </w:rPr>
              <w:t>7.3 An applicant may be contacted to clarify their application.</w:t>
            </w:r>
          </w:p>
        </w:tc>
      </w:tr>
      <w:tr w:rsidR="003D60EE" w:rsidRPr="00621CC9" w14:paraId="5A7919C0" w14:textId="77777777" w:rsidTr="3F7FA798">
        <w:tc>
          <w:tcPr>
            <w:tcW w:w="1838" w:type="dxa"/>
            <w:vMerge/>
          </w:tcPr>
          <w:p w14:paraId="4239A031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7C34D4B" w14:textId="7C9CC358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7.4 All applicants will be informed of the outcome of the decision on their applications.</w:t>
            </w:r>
          </w:p>
        </w:tc>
      </w:tr>
      <w:tr w:rsidR="003D60EE" w:rsidRPr="00621CC9" w14:paraId="22B22657" w14:textId="77777777" w:rsidTr="3F7FA798">
        <w:tc>
          <w:tcPr>
            <w:tcW w:w="1838" w:type="dxa"/>
            <w:vMerge/>
          </w:tcPr>
          <w:p w14:paraId="72DDBCFA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3FA7C80B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7.5 The timetable for the selection process is as follows:</w:t>
            </w:r>
          </w:p>
        </w:tc>
      </w:tr>
      <w:tr w:rsidR="003D60EE" w:rsidRPr="00621CC9" w14:paraId="12FD1B08" w14:textId="77777777" w:rsidTr="3F7FA798">
        <w:tc>
          <w:tcPr>
            <w:tcW w:w="1838" w:type="dxa"/>
            <w:vMerge/>
          </w:tcPr>
          <w:p w14:paraId="27759101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</w:tcPr>
          <w:p w14:paraId="64488C15" w14:textId="47531451" w:rsidR="003D60EE" w:rsidRPr="00EF0689" w:rsidRDefault="00520530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F0689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293CD8" w:rsidRPr="00EF0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</w:t>
            </w:r>
            <w:r w:rsidR="003D60EE" w:rsidRPr="005205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</w:t>
            </w:r>
            <w:r w:rsidR="00293CD8" w:rsidRPr="00EF06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14:paraId="4E32EEB9" w14:textId="24FEF963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Applications open</w:t>
            </w:r>
          </w:p>
        </w:tc>
      </w:tr>
      <w:tr w:rsidR="003D60EE" w:rsidRPr="00621CC9" w14:paraId="6DD66E0D" w14:textId="77777777" w:rsidTr="3F7FA798">
        <w:tc>
          <w:tcPr>
            <w:tcW w:w="1838" w:type="dxa"/>
            <w:vMerge/>
          </w:tcPr>
          <w:p w14:paraId="1302C3FF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</w:tcPr>
          <w:p w14:paraId="6C25C90D" w14:textId="6092D533" w:rsidR="003D60EE" w:rsidRPr="00EF0689" w:rsidRDefault="00520530" w:rsidP="003908C7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EF0689">
              <w:rPr>
                <w:rFonts w:ascii="Arial" w:hAnsi="Arial" w:cs="Arial"/>
                <w:b/>
                <w:bCs/>
                <w:sz w:val="24"/>
                <w:szCs w:val="24"/>
              </w:rPr>
              <w:t>6pm (AEST) 1</w:t>
            </w:r>
            <w:r w:rsidR="003C3E0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EF0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April 2022</w:t>
            </w:r>
          </w:p>
        </w:tc>
        <w:tc>
          <w:tcPr>
            <w:tcW w:w="3589" w:type="dxa"/>
          </w:tcPr>
          <w:p w14:paraId="009EF981" w14:textId="64B20C86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>Applications close</w:t>
            </w:r>
          </w:p>
        </w:tc>
      </w:tr>
      <w:tr w:rsidR="003D60EE" w:rsidRPr="00621CC9" w14:paraId="256EB79D" w14:textId="77777777" w:rsidTr="3F7FA798">
        <w:tc>
          <w:tcPr>
            <w:tcW w:w="1838" w:type="dxa"/>
            <w:vMerge/>
          </w:tcPr>
          <w:p w14:paraId="5648DEA9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</w:tcPr>
          <w:p w14:paraId="4492DB07" w14:textId="42A120C8" w:rsidR="003D60EE" w:rsidRPr="00EF0689" w:rsidRDefault="00EF0689" w:rsidP="003908C7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 w:rsidRPr="005205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60EE" w:rsidRPr="0052053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293CD8" w:rsidRPr="00EF068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89" w:type="dxa"/>
          </w:tcPr>
          <w:p w14:paraId="50E96905" w14:textId="1EBFAA45" w:rsidR="003D60EE" w:rsidRPr="00621CC9" w:rsidRDefault="00376ED6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D60EE" w:rsidRPr="00621CC9">
              <w:rPr>
                <w:rFonts w:ascii="Arial" w:hAnsi="Arial" w:cs="Arial"/>
                <w:sz w:val="24"/>
                <w:szCs w:val="24"/>
              </w:rPr>
              <w:t>pplicants notified</w:t>
            </w:r>
            <w:r>
              <w:rPr>
                <w:rFonts w:ascii="Arial" w:hAnsi="Arial" w:cs="Arial"/>
                <w:sz w:val="24"/>
                <w:szCs w:val="24"/>
              </w:rPr>
              <w:t xml:space="preserve"> of outcome</w:t>
            </w:r>
          </w:p>
        </w:tc>
      </w:tr>
      <w:tr w:rsidR="003D60EE" w:rsidRPr="00621CC9" w14:paraId="40291454" w14:textId="77777777" w:rsidTr="3F7FA798">
        <w:tc>
          <w:tcPr>
            <w:tcW w:w="1838" w:type="dxa"/>
            <w:vMerge/>
          </w:tcPr>
          <w:p w14:paraId="24A15435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9" w:type="dxa"/>
          </w:tcPr>
          <w:p w14:paraId="5C283551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0D9249E2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60EE" w:rsidRPr="00621CC9" w14:paraId="59A8E669" w14:textId="77777777" w:rsidTr="3F7FA798">
        <w:tc>
          <w:tcPr>
            <w:tcW w:w="1838" w:type="dxa"/>
            <w:vMerge w:val="restart"/>
          </w:tcPr>
          <w:p w14:paraId="02FDC152" w14:textId="1B790B51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8. Funding </w:t>
            </w:r>
            <w:r w:rsidR="00A35638">
              <w:rPr>
                <w:rFonts w:ascii="Arial" w:hAnsi="Arial" w:cs="Arial"/>
                <w:sz w:val="24"/>
                <w:szCs w:val="24"/>
              </w:rPr>
              <w:t>Deeds</w:t>
            </w:r>
            <w:r w:rsidRPr="00621CC9">
              <w:rPr>
                <w:rFonts w:ascii="Arial" w:hAnsi="Arial" w:cs="Arial"/>
                <w:sz w:val="24"/>
                <w:szCs w:val="24"/>
              </w:rPr>
              <w:t xml:space="preserve"> and reporting requirements</w:t>
            </w:r>
          </w:p>
        </w:tc>
        <w:tc>
          <w:tcPr>
            <w:tcW w:w="7178" w:type="dxa"/>
            <w:gridSpan w:val="2"/>
          </w:tcPr>
          <w:p w14:paraId="5BEE225B" w14:textId="7A0BB034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3F7FA798">
              <w:rPr>
                <w:rFonts w:ascii="Arial" w:hAnsi="Arial" w:cs="Arial"/>
                <w:sz w:val="24"/>
                <w:szCs w:val="24"/>
              </w:rPr>
              <w:t xml:space="preserve">8.1 All successful applicants who accept the offer of a Collaboration and Innovation grant will be required to enter into a formal Funding </w:t>
            </w:r>
            <w:r w:rsidR="00A35638">
              <w:rPr>
                <w:rFonts w:ascii="Arial" w:hAnsi="Arial" w:cs="Arial"/>
                <w:sz w:val="24"/>
                <w:szCs w:val="24"/>
              </w:rPr>
              <w:t>Deed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(“the </w:t>
            </w:r>
            <w:r w:rsidR="00A35638">
              <w:rPr>
                <w:rFonts w:ascii="Arial" w:hAnsi="Arial" w:cs="Arial"/>
                <w:sz w:val="24"/>
                <w:szCs w:val="24"/>
              </w:rPr>
              <w:t>Deed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”) with the Department. The </w:t>
            </w:r>
            <w:r w:rsidR="00A35638">
              <w:rPr>
                <w:rFonts w:ascii="Arial" w:hAnsi="Arial" w:cs="Arial"/>
                <w:sz w:val="24"/>
                <w:szCs w:val="24"/>
              </w:rPr>
              <w:t>Deed</w:t>
            </w:r>
            <w:r w:rsidRPr="3F7FA798">
              <w:rPr>
                <w:rFonts w:ascii="Arial" w:hAnsi="Arial" w:cs="Arial"/>
                <w:sz w:val="24"/>
                <w:szCs w:val="24"/>
              </w:rPr>
              <w:t xml:space="preserve"> will specify obligations that relate primarily to the recipient’s accountability for the grant, including using the grant for activities </w:t>
            </w:r>
            <w:r w:rsidRPr="3F7FA798">
              <w:rPr>
                <w:rFonts w:ascii="Arial" w:hAnsi="Arial" w:cs="Arial"/>
                <w:sz w:val="24"/>
                <w:szCs w:val="24"/>
              </w:rPr>
              <w:lastRenderedPageBreak/>
              <w:t>occurring in NSW, the return of unspent grant monies and reporting on the use of the grant.</w:t>
            </w:r>
          </w:p>
        </w:tc>
      </w:tr>
      <w:tr w:rsidR="003D60EE" w:rsidRPr="00621CC9" w14:paraId="71F49E1A" w14:textId="77777777" w:rsidTr="3F7FA798">
        <w:tc>
          <w:tcPr>
            <w:tcW w:w="1838" w:type="dxa"/>
            <w:vMerge/>
          </w:tcPr>
          <w:p w14:paraId="3F9C2376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4F14F47F" w14:textId="19D3A1FF" w:rsidR="003D60EE" w:rsidRPr="00EF0689" w:rsidRDefault="00EF0689" w:rsidP="00EF0689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8.2 </w:t>
            </w:r>
            <w:r w:rsidR="003D60EE" w:rsidRPr="00EF0689">
              <w:rPr>
                <w:rFonts w:ascii="Arial" w:hAnsi="Arial" w:cs="Arial"/>
                <w:sz w:val="24"/>
                <w:szCs w:val="24"/>
              </w:rPr>
              <w:t>Payments to successful applicants will be triggered upon</w:t>
            </w:r>
            <w:r w:rsidR="00172923" w:rsidRPr="00EF0689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3D60EE" w:rsidRPr="00EF0689">
              <w:rPr>
                <w:rFonts w:ascii="Arial" w:hAnsi="Arial" w:cs="Arial"/>
                <w:sz w:val="24"/>
                <w:szCs w:val="24"/>
              </w:rPr>
              <w:t xml:space="preserve">he signing of the </w:t>
            </w:r>
            <w:r w:rsidR="00A35638" w:rsidRPr="00EF0689">
              <w:rPr>
                <w:rFonts w:ascii="Arial" w:hAnsi="Arial" w:cs="Arial"/>
                <w:sz w:val="24"/>
                <w:szCs w:val="24"/>
              </w:rPr>
              <w:t>Deed</w:t>
            </w:r>
            <w:r w:rsidR="003D60EE" w:rsidRPr="00EF0689">
              <w:rPr>
                <w:rFonts w:ascii="Arial" w:hAnsi="Arial" w:cs="Arial"/>
                <w:sz w:val="24"/>
                <w:szCs w:val="24"/>
              </w:rPr>
              <w:t>, which requires an agreed project plan with milestones.</w:t>
            </w:r>
          </w:p>
        </w:tc>
      </w:tr>
      <w:tr w:rsidR="003D60EE" w:rsidRPr="00621CC9" w14:paraId="63AA0AC6" w14:textId="77777777" w:rsidTr="3F7FA798">
        <w:tc>
          <w:tcPr>
            <w:tcW w:w="1838" w:type="dxa"/>
            <w:vMerge/>
          </w:tcPr>
          <w:p w14:paraId="50622FD9" w14:textId="77777777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8" w:type="dxa"/>
            <w:gridSpan w:val="2"/>
          </w:tcPr>
          <w:p w14:paraId="61D280F4" w14:textId="6E2ECAD1" w:rsidR="003D60EE" w:rsidRPr="00621CC9" w:rsidRDefault="003D60EE" w:rsidP="003908C7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621CC9">
              <w:rPr>
                <w:rFonts w:ascii="Arial" w:hAnsi="Arial" w:cs="Arial"/>
                <w:sz w:val="24"/>
                <w:szCs w:val="24"/>
              </w:rPr>
              <w:t xml:space="preserve">8.3 </w:t>
            </w:r>
            <w:r w:rsidRPr="005D7E5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35638">
              <w:rPr>
                <w:rFonts w:ascii="Arial" w:hAnsi="Arial" w:cs="Arial"/>
                <w:sz w:val="24"/>
                <w:szCs w:val="24"/>
              </w:rPr>
              <w:t>Deed</w:t>
            </w:r>
            <w:r w:rsidRPr="005D7E56">
              <w:rPr>
                <w:rFonts w:ascii="Arial" w:hAnsi="Arial" w:cs="Arial"/>
                <w:sz w:val="24"/>
                <w:szCs w:val="24"/>
              </w:rPr>
              <w:t xml:space="preserve"> must be signed by </w:t>
            </w:r>
            <w:r>
              <w:rPr>
                <w:rFonts w:ascii="Arial" w:hAnsi="Arial" w:cs="Arial"/>
                <w:sz w:val="24"/>
                <w:szCs w:val="24"/>
              </w:rPr>
              <w:t>an authorised signatory of the administering organisation.</w:t>
            </w:r>
          </w:p>
        </w:tc>
      </w:tr>
    </w:tbl>
    <w:p w14:paraId="0D6C2A9F" w14:textId="77777777" w:rsidR="00275247" w:rsidRPr="00621CC9" w:rsidRDefault="00275247" w:rsidP="006F6FD0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75247" w:rsidRPr="00621CC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2774B3" w16cex:dateUtc="2021-03-22T05:37:03Z"/>
  <w16cex:commentExtensible w16cex:durableId="63E372FC" w16cex:dateUtc="2021-03-22T05:42:59Z"/>
  <w16cex:commentExtensible w16cex:durableId="5598058D" w16cex:dateUtc="2021-03-22T05:58:32Z"/>
  <w16cex:commentExtensible w16cex:durableId="7FC7D3E2" w16cex:dateUtc="2021-03-22T22:13:48.37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69172" w14:textId="77777777" w:rsidR="00174587" w:rsidRDefault="00174587" w:rsidP="00077FCB">
      <w:pPr>
        <w:spacing w:after="0" w:line="240" w:lineRule="auto"/>
      </w:pPr>
      <w:r>
        <w:separator/>
      </w:r>
    </w:p>
  </w:endnote>
  <w:endnote w:type="continuationSeparator" w:id="0">
    <w:p w14:paraId="56109128" w14:textId="77777777" w:rsidR="00174587" w:rsidRDefault="00174587" w:rsidP="00077FCB">
      <w:pPr>
        <w:spacing w:after="0" w:line="240" w:lineRule="auto"/>
      </w:pPr>
      <w:r>
        <w:continuationSeparator/>
      </w:r>
    </w:p>
  </w:endnote>
  <w:endnote w:type="continuationNotice" w:id="1">
    <w:p w14:paraId="3BE40A3C" w14:textId="77777777" w:rsidR="00174587" w:rsidRDefault="00174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A4470" w14:textId="24A2D4C7" w:rsidR="00DE6AD7" w:rsidRDefault="1C723C5D" w:rsidP="00077FCB">
    <w:pPr>
      <w:pStyle w:val="Logo"/>
      <w:tabs>
        <w:tab w:val="left" w:pos="2925"/>
      </w:tabs>
    </w:pPr>
    <w:r w:rsidRPr="1C723C5D">
      <w:rPr>
        <w:sz w:val="24"/>
        <w:szCs w:val="24"/>
      </w:rPr>
      <w:t>education.nsw.gov.au</w:t>
    </w:r>
    <w:r w:rsidR="648E64B3">
      <w:tab/>
    </w:r>
    <w:r w:rsidR="648E64B3">
      <w:tab/>
    </w:r>
    <w:r>
      <w:rPr>
        <w:noProof/>
      </w:rPr>
      <w:drawing>
        <wp:inline distT="0" distB="0" distL="0" distR="0" wp14:anchorId="089DBA90" wp14:editId="3163BED0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EA6E2" w14:textId="77777777" w:rsidR="00174587" w:rsidRDefault="00174587" w:rsidP="00077FCB">
      <w:pPr>
        <w:spacing w:after="0" w:line="240" w:lineRule="auto"/>
      </w:pPr>
      <w:r>
        <w:separator/>
      </w:r>
    </w:p>
  </w:footnote>
  <w:footnote w:type="continuationSeparator" w:id="0">
    <w:p w14:paraId="417C9391" w14:textId="77777777" w:rsidR="00174587" w:rsidRDefault="00174587" w:rsidP="00077FCB">
      <w:pPr>
        <w:spacing w:after="0" w:line="240" w:lineRule="auto"/>
      </w:pPr>
      <w:r>
        <w:continuationSeparator/>
      </w:r>
    </w:p>
  </w:footnote>
  <w:footnote w:type="continuationNotice" w:id="1">
    <w:p w14:paraId="289E7CEC" w14:textId="77777777" w:rsidR="00174587" w:rsidRDefault="00174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1E49" w14:textId="1CCDA13B" w:rsidR="00DE6AD7" w:rsidRPr="00077FCB" w:rsidRDefault="00DE6AD7" w:rsidP="00077FCB">
    <w:pPr>
      <w:pBdr>
        <w:bottom w:val="single" w:sz="8" w:space="10" w:color="D0CECE"/>
      </w:pBdr>
      <w:spacing w:after="240" w:line="276" w:lineRule="auto"/>
      <w:rPr>
        <w:rFonts w:ascii="Arial" w:eastAsia="Calibri" w:hAnsi="Arial" w:cs="Times New Roman"/>
        <w:b/>
        <w:color w:val="002060"/>
        <w:sz w:val="24"/>
        <w:szCs w:val="24"/>
      </w:rPr>
    </w:pPr>
    <w:r w:rsidRPr="00077FCB">
      <w:rPr>
        <w:rFonts w:ascii="Arial" w:eastAsia="Calibri" w:hAnsi="Arial" w:cs="Times New Roman"/>
        <w:b/>
        <w:color w:val="002060"/>
        <w:sz w:val="24"/>
        <w:szCs w:val="24"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531"/>
    <w:multiLevelType w:val="hybridMultilevel"/>
    <w:tmpl w:val="204C46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991"/>
    <w:multiLevelType w:val="hybridMultilevel"/>
    <w:tmpl w:val="A2A62E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05F2"/>
    <w:multiLevelType w:val="hybridMultilevel"/>
    <w:tmpl w:val="68087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0902"/>
    <w:multiLevelType w:val="multilevel"/>
    <w:tmpl w:val="E5905D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DA2B76"/>
    <w:multiLevelType w:val="hybridMultilevel"/>
    <w:tmpl w:val="4FAE281E"/>
    <w:lvl w:ilvl="0" w:tplc="A830A2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A2F56C" w:tentative="1">
      <w:start w:val="1"/>
      <w:numFmt w:val="lowerLetter"/>
      <w:lvlText w:val="%2."/>
      <w:lvlJc w:val="left"/>
      <w:pPr>
        <w:ind w:left="1440" w:hanging="360"/>
      </w:pPr>
    </w:lvl>
    <w:lvl w:ilvl="2" w:tplc="B54A5CEE" w:tentative="1">
      <w:start w:val="1"/>
      <w:numFmt w:val="lowerRoman"/>
      <w:lvlText w:val="%3."/>
      <w:lvlJc w:val="right"/>
      <w:pPr>
        <w:ind w:left="2160" w:hanging="180"/>
      </w:pPr>
    </w:lvl>
    <w:lvl w:ilvl="3" w:tplc="6D70CCC4" w:tentative="1">
      <w:start w:val="1"/>
      <w:numFmt w:val="decimal"/>
      <w:lvlText w:val="%4."/>
      <w:lvlJc w:val="left"/>
      <w:pPr>
        <w:ind w:left="2880" w:hanging="360"/>
      </w:pPr>
    </w:lvl>
    <w:lvl w:ilvl="4" w:tplc="02747D70" w:tentative="1">
      <w:start w:val="1"/>
      <w:numFmt w:val="lowerLetter"/>
      <w:lvlText w:val="%5."/>
      <w:lvlJc w:val="left"/>
      <w:pPr>
        <w:ind w:left="3600" w:hanging="360"/>
      </w:pPr>
    </w:lvl>
    <w:lvl w:ilvl="5" w:tplc="BC628C5C" w:tentative="1">
      <w:start w:val="1"/>
      <w:numFmt w:val="lowerRoman"/>
      <w:lvlText w:val="%6."/>
      <w:lvlJc w:val="right"/>
      <w:pPr>
        <w:ind w:left="4320" w:hanging="180"/>
      </w:pPr>
    </w:lvl>
    <w:lvl w:ilvl="6" w:tplc="0E9E0426" w:tentative="1">
      <w:start w:val="1"/>
      <w:numFmt w:val="decimal"/>
      <w:lvlText w:val="%7."/>
      <w:lvlJc w:val="left"/>
      <w:pPr>
        <w:ind w:left="5040" w:hanging="360"/>
      </w:pPr>
    </w:lvl>
    <w:lvl w:ilvl="7" w:tplc="8B00F9E4" w:tentative="1">
      <w:start w:val="1"/>
      <w:numFmt w:val="lowerLetter"/>
      <w:lvlText w:val="%8."/>
      <w:lvlJc w:val="left"/>
      <w:pPr>
        <w:ind w:left="5760" w:hanging="360"/>
      </w:pPr>
    </w:lvl>
    <w:lvl w:ilvl="8" w:tplc="5D60A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8077B"/>
    <w:multiLevelType w:val="hybridMultilevel"/>
    <w:tmpl w:val="3440FFA0"/>
    <w:lvl w:ilvl="0" w:tplc="88E2BF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F493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AE6F4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4E5B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7AB6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1411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A2B2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8494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105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448B8"/>
    <w:multiLevelType w:val="hybridMultilevel"/>
    <w:tmpl w:val="E2E891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23368"/>
    <w:multiLevelType w:val="hybridMultilevel"/>
    <w:tmpl w:val="9132A0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90BAB"/>
    <w:multiLevelType w:val="hybridMultilevel"/>
    <w:tmpl w:val="4064B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C3102"/>
    <w:multiLevelType w:val="hybridMultilevel"/>
    <w:tmpl w:val="4FAE28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51673"/>
    <w:multiLevelType w:val="hybridMultilevel"/>
    <w:tmpl w:val="BB2AB1B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962CF"/>
    <w:multiLevelType w:val="hybridMultilevel"/>
    <w:tmpl w:val="B790C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00E19"/>
    <w:multiLevelType w:val="hybridMultilevel"/>
    <w:tmpl w:val="5F1E9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D3264"/>
    <w:multiLevelType w:val="multilevel"/>
    <w:tmpl w:val="C1624B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F860B2B"/>
    <w:multiLevelType w:val="hybridMultilevel"/>
    <w:tmpl w:val="4A6C9A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C2D70"/>
    <w:multiLevelType w:val="hybridMultilevel"/>
    <w:tmpl w:val="DC369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0915"/>
    <w:multiLevelType w:val="hybridMultilevel"/>
    <w:tmpl w:val="7F06A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4C4C"/>
    <w:multiLevelType w:val="hybridMultilevel"/>
    <w:tmpl w:val="64B4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51"/>
    <w:multiLevelType w:val="hybridMultilevel"/>
    <w:tmpl w:val="4E72CB80"/>
    <w:lvl w:ilvl="0" w:tplc="8E4C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EE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2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84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AD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8A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C2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AC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2062B"/>
    <w:multiLevelType w:val="hybridMultilevel"/>
    <w:tmpl w:val="9D36CC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616AC"/>
    <w:multiLevelType w:val="hybridMultilevel"/>
    <w:tmpl w:val="E004B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E6839"/>
    <w:multiLevelType w:val="hybridMultilevel"/>
    <w:tmpl w:val="1C2652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64D55"/>
    <w:multiLevelType w:val="hybridMultilevel"/>
    <w:tmpl w:val="F2322C0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5"/>
  </w:num>
  <w:num w:numId="5">
    <w:abstractNumId w:val="0"/>
  </w:num>
  <w:num w:numId="6">
    <w:abstractNumId w:val="10"/>
  </w:num>
  <w:num w:numId="7">
    <w:abstractNumId w:val="22"/>
  </w:num>
  <w:num w:numId="8">
    <w:abstractNumId w:val="19"/>
  </w:num>
  <w:num w:numId="9">
    <w:abstractNumId w:val="18"/>
  </w:num>
  <w:num w:numId="10">
    <w:abstractNumId w:val="6"/>
  </w:num>
  <w:num w:numId="11">
    <w:abstractNumId w:val="21"/>
  </w:num>
  <w:num w:numId="12">
    <w:abstractNumId w:val="17"/>
  </w:num>
  <w:num w:numId="13">
    <w:abstractNumId w:val="16"/>
  </w:num>
  <w:num w:numId="14">
    <w:abstractNumId w:val="11"/>
  </w:num>
  <w:num w:numId="15">
    <w:abstractNumId w:val="15"/>
  </w:num>
  <w:num w:numId="16">
    <w:abstractNumId w:val="2"/>
  </w:num>
  <w:num w:numId="17">
    <w:abstractNumId w:val="20"/>
  </w:num>
  <w:num w:numId="18">
    <w:abstractNumId w:val="7"/>
  </w:num>
  <w:num w:numId="19">
    <w:abstractNumId w:val="1"/>
  </w:num>
  <w:num w:numId="20">
    <w:abstractNumId w:val="13"/>
  </w:num>
  <w:num w:numId="21">
    <w:abstractNumId w:val="12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2NLc0Nze1MDQzNTJV0lEKTi0uzszPAykwrAUAXqjfriwAAAA="/>
  </w:docVars>
  <w:rsids>
    <w:rsidRoot w:val="00674D12"/>
    <w:rsid w:val="00016688"/>
    <w:rsid w:val="00025011"/>
    <w:rsid w:val="00037598"/>
    <w:rsid w:val="00077FCB"/>
    <w:rsid w:val="000C249E"/>
    <w:rsid w:val="000D195B"/>
    <w:rsid w:val="00145D56"/>
    <w:rsid w:val="00172923"/>
    <w:rsid w:val="00174587"/>
    <w:rsid w:val="0018768D"/>
    <w:rsid w:val="001B20A1"/>
    <w:rsid w:val="001D0A6E"/>
    <w:rsid w:val="001E771D"/>
    <w:rsid w:val="001F67E8"/>
    <w:rsid w:val="0021766B"/>
    <w:rsid w:val="0024266C"/>
    <w:rsid w:val="0024582F"/>
    <w:rsid w:val="00275247"/>
    <w:rsid w:val="0029070C"/>
    <w:rsid w:val="00291E82"/>
    <w:rsid w:val="00293CD8"/>
    <w:rsid w:val="002B147B"/>
    <w:rsid w:val="003049BF"/>
    <w:rsid w:val="00316F95"/>
    <w:rsid w:val="00356DB0"/>
    <w:rsid w:val="0037621D"/>
    <w:rsid w:val="00376ED6"/>
    <w:rsid w:val="003908C7"/>
    <w:rsid w:val="003A5F12"/>
    <w:rsid w:val="003C3E03"/>
    <w:rsid w:val="003D60EE"/>
    <w:rsid w:val="003E43D0"/>
    <w:rsid w:val="004129B5"/>
    <w:rsid w:val="00424B9B"/>
    <w:rsid w:val="004607D3"/>
    <w:rsid w:val="00491DC8"/>
    <w:rsid w:val="00493B3B"/>
    <w:rsid w:val="004E2EDA"/>
    <w:rsid w:val="00502FB4"/>
    <w:rsid w:val="00511C3B"/>
    <w:rsid w:val="00520530"/>
    <w:rsid w:val="005D7531"/>
    <w:rsid w:val="005E7720"/>
    <w:rsid w:val="005F7C5F"/>
    <w:rsid w:val="006012D6"/>
    <w:rsid w:val="00621CC9"/>
    <w:rsid w:val="00642291"/>
    <w:rsid w:val="0064317F"/>
    <w:rsid w:val="0066069E"/>
    <w:rsid w:val="006733F7"/>
    <w:rsid w:val="00674D12"/>
    <w:rsid w:val="00684E6A"/>
    <w:rsid w:val="006953F7"/>
    <w:rsid w:val="006F6FD0"/>
    <w:rsid w:val="00707CFB"/>
    <w:rsid w:val="00722751"/>
    <w:rsid w:val="007338C5"/>
    <w:rsid w:val="0075023B"/>
    <w:rsid w:val="00762EA8"/>
    <w:rsid w:val="007644FF"/>
    <w:rsid w:val="00771396"/>
    <w:rsid w:val="00780B36"/>
    <w:rsid w:val="007A00FA"/>
    <w:rsid w:val="007C7ED8"/>
    <w:rsid w:val="007D2C72"/>
    <w:rsid w:val="007D491E"/>
    <w:rsid w:val="007E0740"/>
    <w:rsid w:val="007F543D"/>
    <w:rsid w:val="008229D5"/>
    <w:rsid w:val="008646B6"/>
    <w:rsid w:val="00890510"/>
    <w:rsid w:val="008A6D8E"/>
    <w:rsid w:val="008C0251"/>
    <w:rsid w:val="0090336D"/>
    <w:rsid w:val="00932641"/>
    <w:rsid w:val="00945BB6"/>
    <w:rsid w:val="00953BAA"/>
    <w:rsid w:val="00954860"/>
    <w:rsid w:val="00973CA2"/>
    <w:rsid w:val="009E0D42"/>
    <w:rsid w:val="009E0FCE"/>
    <w:rsid w:val="009E3921"/>
    <w:rsid w:val="00A35638"/>
    <w:rsid w:val="00A40D04"/>
    <w:rsid w:val="00A4280B"/>
    <w:rsid w:val="00A60E04"/>
    <w:rsid w:val="00AC2A7C"/>
    <w:rsid w:val="00AC2CC1"/>
    <w:rsid w:val="00AF25A8"/>
    <w:rsid w:val="00AF33BC"/>
    <w:rsid w:val="00AF41A6"/>
    <w:rsid w:val="00AF5564"/>
    <w:rsid w:val="00B453DD"/>
    <w:rsid w:val="00B53A04"/>
    <w:rsid w:val="00BB3136"/>
    <w:rsid w:val="00BB49DB"/>
    <w:rsid w:val="00BC63D6"/>
    <w:rsid w:val="00BE095F"/>
    <w:rsid w:val="00C03168"/>
    <w:rsid w:val="00C06A1E"/>
    <w:rsid w:val="00C6533E"/>
    <w:rsid w:val="00C66552"/>
    <w:rsid w:val="00C84FF5"/>
    <w:rsid w:val="00C975AA"/>
    <w:rsid w:val="00CB5AED"/>
    <w:rsid w:val="00CE1754"/>
    <w:rsid w:val="00CE7968"/>
    <w:rsid w:val="00D15A0F"/>
    <w:rsid w:val="00D224A0"/>
    <w:rsid w:val="00D56D15"/>
    <w:rsid w:val="00D66CB4"/>
    <w:rsid w:val="00DD3EFB"/>
    <w:rsid w:val="00DD7EC5"/>
    <w:rsid w:val="00DE6AD7"/>
    <w:rsid w:val="00E15715"/>
    <w:rsid w:val="00E6049C"/>
    <w:rsid w:val="00E752C0"/>
    <w:rsid w:val="00EF0689"/>
    <w:rsid w:val="00F80942"/>
    <w:rsid w:val="00F842DD"/>
    <w:rsid w:val="00FC4EEB"/>
    <w:rsid w:val="00FF1730"/>
    <w:rsid w:val="02FBD1CF"/>
    <w:rsid w:val="0637D4C3"/>
    <w:rsid w:val="078000B9"/>
    <w:rsid w:val="08AB9879"/>
    <w:rsid w:val="0B7C31FF"/>
    <w:rsid w:val="0BDEF329"/>
    <w:rsid w:val="0D65E13F"/>
    <w:rsid w:val="0DBA102F"/>
    <w:rsid w:val="0F01B1A0"/>
    <w:rsid w:val="1064EF75"/>
    <w:rsid w:val="10AEBCD8"/>
    <w:rsid w:val="193CCFE5"/>
    <w:rsid w:val="1C02BB9D"/>
    <w:rsid w:val="1C723C5D"/>
    <w:rsid w:val="1FBF53C8"/>
    <w:rsid w:val="201CD334"/>
    <w:rsid w:val="20E4DCC5"/>
    <w:rsid w:val="235473F6"/>
    <w:rsid w:val="23C4164A"/>
    <w:rsid w:val="23E5AD97"/>
    <w:rsid w:val="257827E9"/>
    <w:rsid w:val="2625EA2C"/>
    <w:rsid w:val="278EDE00"/>
    <w:rsid w:val="287FF531"/>
    <w:rsid w:val="2AFB9400"/>
    <w:rsid w:val="2ED90A6A"/>
    <w:rsid w:val="30A4A145"/>
    <w:rsid w:val="31A4642B"/>
    <w:rsid w:val="328EC096"/>
    <w:rsid w:val="3340348C"/>
    <w:rsid w:val="34F52D4A"/>
    <w:rsid w:val="351840E8"/>
    <w:rsid w:val="36ACB03F"/>
    <w:rsid w:val="375BDE1F"/>
    <w:rsid w:val="3A9AB500"/>
    <w:rsid w:val="3E15E058"/>
    <w:rsid w:val="3E33AD56"/>
    <w:rsid w:val="3F7FA798"/>
    <w:rsid w:val="40668E5A"/>
    <w:rsid w:val="43A748EE"/>
    <w:rsid w:val="44F228B7"/>
    <w:rsid w:val="47F4873D"/>
    <w:rsid w:val="483C6B67"/>
    <w:rsid w:val="4892E937"/>
    <w:rsid w:val="48E7D820"/>
    <w:rsid w:val="4B6957C1"/>
    <w:rsid w:val="4C302A6B"/>
    <w:rsid w:val="4CFD3A9C"/>
    <w:rsid w:val="4D365F1C"/>
    <w:rsid w:val="4F198B1B"/>
    <w:rsid w:val="508090E3"/>
    <w:rsid w:val="557B2BE1"/>
    <w:rsid w:val="557E3269"/>
    <w:rsid w:val="56B9EEED"/>
    <w:rsid w:val="581E9BED"/>
    <w:rsid w:val="588BB141"/>
    <w:rsid w:val="592135C9"/>
    <w:rsid w:val="597FDAA5"/>
    <w:rsid w:val="59D27053"/>
    <w:rsid w:val="5C23FC64"/>
    <w:rsid w:val="5C5A1621"/>
    <w:rsid w:val="5D5669D9"/>
    <w:rsid w:val="5F5733C5"/>
    <w:rsid w:val="5F627CEC"/>
    <w:rsid w:val="60588F4D"/>
    <w:rsid w:val="61C459DB"/>
    <w:rsid w:val="6378B8A9"/>
    <w:rsid w:val="6454D655"/>
    <w:rsid w:val="647E5063"/>
    <w:rsid w:val="648E64B3"/>
    <w:rsid w:val="65691272"/>
    <w:rsid w:val="679CC8C8"/>
    <w:rsid w:val="690BDE82"/>
    <w:rsid w:val="6B3165C1"/>
    <w:rsid w:val="6C706E70"/>
    <w:rsid w:val="6D49DCDE"/>
    <w:rsid w:val="6EF7DFB9"/>
    <w:rsid w:val="6F3AD3D2"/>
    <w:rsid w:val="6FAAD62F"/>
    <w:rsid w:val="71327037"/>
    <w:rsid w:val="7187730D"/>
    <w:rsid w:val="7323436E"/>
    <w:rsid w:val="73F51C98"/>
    <w:rsid w:val="7F921063"/>
    <w:rsid w:val="7FF0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D228"/>
  <w15:chartTrackingRefBased/>
  <w15:docId w15:val="{2D64601E-B18F-42A0-BF8C-AF2FF28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5A8"/>
    <w:pPr>
      <w:ind w:left="720"/>
      <w:contextualSpacing/>
    </w:pPr>
  </w:style>
  <w:style w:type="table" w:styleId="TableGrid">
    <w:name w:val="Table Grid"/>
    <w:basedOn w:val="TableNormal"/>
    <w:uiPriority w:val="39"/>
    <w:rsid w:val="00AF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25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CB"/>
  </w:style>
  <w:style w:type="paragraph" w:styleId="Footer">
    <w:name w:val="footer"/>
    <w:basedOn w:val="Normal"/>
    <w:link w:val="FooterChar"/>
    <w:uiPriority w:val="99"/>
    <w:unhideWhenUsed/>
    <w:rsid w:val="00077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CB"/>
  </w:style>
  <w:style w:type="paragraph" w:customStyle="1" w:styleId="Logo">
    <w:name w:val="ŠLogo"/>
    <w:basedOn w:val="Normal"/>
    <w:uiPriority w:val="16"/>
    <w:qFormat/>
    <w:rsid w:val="00077FCB"/>
    <w:pPr>
      <w:tabs>
        <w:tab w:val="right" w:pos="10199"/>
      </w:tabs>
      <w:spacing w:before="240" w:after="0" w:line="300" w:lineRule="atLeast"/>
      <w:ind w:left="-567" w:right="-574"/>
    </w:pPr>
    <w:rPr>
      <w:rFonts w:ascii="Arial" w:eastAsia="SimSun" w:hAnsi="Arial" w:cs="Times New Roman"/>
      <w:b/>
      <w:color w:val="002060"/>
      <w:sz w:val="28"/>
      <w:szCs w:val="2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F55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0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5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F0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99672c4213fa461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igher.education@det.nsw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ducation.nsw.gov.au/about-us/our-people-and-structure/higher-education-and-tertiary-policy/education-strategic-research-fu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9005EAFE2B640A96E0729A79F3E0E" ma:contentTypeVersion="13" ma:contentTypeDescription="Create a new document." ma:contentTypeScope="" ma:versionID="af956051083dbdd72a15ba42229bd1b2">
  <xsd:schema xmlns:xsd="http://www.w3.org/2001/XMLSchema" xmlns:xs="http://www.w3.org/2001/XMLSchema" xmlns:p="http://schemas.microsoft.com/office/2006/metadata/properties" xmlns:ns2="f763efee-ab67-476f-b7f5-d087c2755b85" xmlns:ns3="2eb7655b-056b-4ce5-aae8-c89cf5472ec9" targetNamespace="http://schemas.microsoft.com/office/2006/metadata/properties" ma:root="true" ma:fieldsID="04a807595732e1b8149edf3a43385d0e" ns2:_="" ns3:_="">
    <xsd:import namespace="f763efee-ab67-476f-b7f5-d087c2755b85"/>
    <xsd:import namespace="2eb7655b-056b-4ce5-aae8-c89cf5472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efee-ab67-476f-b7f5-d087c2755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655b-056b-4ce5-aae8-c89cf5472ec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47EF4-010A-4F47-A546-B09EA3DC2232}">
  <ds:schemaRefs>
    <ds:schemaRef ds:uri="http://schemas.openxmlformats.org/package/2006/metadata/core-properties"/>
    <ds:schemaRef ds:uri="http://schemas.microsoft.com/office/2006/metadata/properties"/>
    <ds:schemaRef ds:uri="2eb7655b-056b-4ce5-aae8-c89cf5472ec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f763efee-ab67-476f-b7f5-d087c2755b8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704D3D-8D31-4551-9694-AC96D8EB8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D462E-5893-402F-95AB-0ACBF04BB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efee-ab67-476f-b7f5-d087c2755b85"/>
    <ds:schemaRef ds:uri="2eb7655b-056b-4ce5-aae8-c89cf5472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Semmelroggen, Isabel</dc:creator>
  <cp:keywords/>
  <dc:description/>
  <cp:lastModifiedBy>Josh Brown</cp:lastModifiedBy>
  <cp:revision>7</cp:revision>
  <cp:lastPrinted>2021-04-06T00:23:00Z</cp:lastPrinted>
  <dcterms:created xsi:type="dcterms:W3CDTF">2022-01-10T01:46:00Z</dcterms:created>
  <dcterms:modified xsi:type="dcterms:W3CDTF">2022-03-22T22:55:00Z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0x010100BA69005EAFE2B640A96E0729A79F3E0E</vt:lpwstr>
  </property>
</Properties>
</file>