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8925"/>
      </w:tblGrid>
      <w:tr w:rsidR="00530A05" w14:paraId="437CACC4" w14:textId="77777777" w:rsidTr="001E7931">
        <w:trPr>
          <w:trHeight w:val="1408"/>
        </w:trPr>
        <w:tc>
          <w:tcPr>
            <w:tcW w:w="1423" w:type="dxa"/>
          </w:tcPr>
          <w:p w14:paraId="3E3E5E96" w14:textId="410EF2E9" w:rsidR="00530A05" w:rsidRDefault="00B5061C" w:rsidP="00A23287">
            <w:pPr>
              <w:pStyle w:val="DescriptororName"/>
              <w:keepNext/>
              <w:suppressLineNumbers/>
              <w:ind w:left="-105"/>
            </w:pPr>
            <w:r w:rsidRPr="0051472C">
              <w:rPr>
                <w:rStyle w:val="Logo"/>
              </w:rPr>
              <w:drawing>
                <wp:inline distT="0" distB="0" distL="0" distR="0" wp14:anchorId="7589BE5E" wp14:editId="7429BC92">
                  <wp:extent cx="766445" cy="828675"/>
                  <wp:effectExtent l="0" t="0" r="0" b="0"/>
                  <wp:docPr id="3" name="Picture 3" descr="NSW Government logo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NSW Government logo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9" cy="83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5" w:type="dxa"/>
          </w:tcPr>
          <w:p w14:paraId="79BF85CB" w14:textId="260FA3E3" w:rsidR="00530A05" w:rsidRDefault="00B5061C" w:rsidP="00370A66">
            <w:pPr>
              <w:pStyle w:val="DescriptororName"/>
              <w:keepNext/>
              <w:suppressLineNumbers/>
              <w:jc w:val="right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E1BE2F1" wp14:editId="4FD3A386">
                  <wp:extent cx="1666875" cy="835013"/>
                  <wp:effectExtent l="0" t="0" r="0" b="3810"/>
                  <wp:docPr id="1" name="Graphic 1" descr="Australian Early Development Census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Australian Early Development Census logo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75" cy="83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35F04" w14:textId="77777777" w:rsidR="007F3BE1" w:rsidRDefault="007F3BE1" w:rsidP="0084510E">
      <w:pPr>
        <w:pStyle w:val="Heading1"/>
        <w:keepLines w:val="0"/>
        <w:suppressLineNumbers/>
        <w:rPr>
          <w:sz w:val="28"/>
        </w:rPr>
      </w:pPr>
    </w:p>
    <w:p w14:paraId="5450E25E" w14:textId="7A5B3806" w:rsidR="00BB126F" w:rsidRDefault="001048D6" w:rsidP="0084510E">
      <w:pPr>
        <w:pStyle w:val="Heading1"/>
        <w:keepLines w:val="0"/>
        <w:suppressLineNumbers/>
        <w:rPr>
          <w:sz w:val="28"/>
        </w:rPr>
      </w:pPr>
      <w:r>
        <w:rPr>
          <w:sz w:val="28"/>
        </w:rPr>
        <w:t>Small Talk</w:t>
      </w:r>
    </w:p>
    <w:p w14:paraId="126BA9C6" w14:textId="55D205DA" w:rsidR="009C163C" w:rsidRPr="00944B55" w:rsidRDefault="00B20BE0" w:rsidP="0084510E">
      <w:pPr>
        <w:pStyle w:val="Heading1"/>
        <w:keepLines w:val="0"/>
        <w:suppressLineNumbers/>
        <w:rPr>
          <w:sz w:val="48"/>
          <w:szCs w:val="48"/>
        </w:rPr>
      </w:pPr>
      <w:r>
        <w:rPr>
          <w:sz w:val="48"/>
          <w:szCs w:val="48"/>
        </w:rPr>
        <w:t>Milton Therapy and Learning Centre</w:t>
      </w:r>
    </w:p>
    <w:p w14:paraId="475CD4D1" w14:textId="068AF1D5" w:rsidR="00135F60" w:rsidRDefault="00135F60" w:rsidP="008C4C11">
      <w:pPr>
        <w:pStyle w:val="BodyText"/>
      </w:pPr>
    </w:p>
    <w:p w14:paraId="57417049" w14:textId="77777777" w:rsidR="00D9229C" w:rsidRDefault="00D9229C" w:rsidP="0084510E">
      <w:pPr>
        <w:pStyle w:val="Heading2"/>
        <w:keepLines w:val="0"/>
        <w:suppressLineNumbers/>
        <w:sectPr w:rsidR="00D9229C" w:rsidSect="00DB74C4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851" w:right="851" w:bottom="851" w:left="851" w:header="397" w:footer="283" w:gutter="0"/>
          <w:cols w:space="708"/>
          <w:titlePg/>
          <w:docGrid w:linePitch="360"/>
        </w:sectPr>
      </w:pPr>
    </w:p>
    <w:p w14:paraId="292DC12D" w14:textId="3F1DD422" w:rsidR="00465909" w:rsidRPr="00A1505C" w:rsidRDefault="00465909" w:rsidP="00A1505C">
      <w:pPr>
        <w:pStyle w:val="Heading2"/>
      </w:pPr>
      <w:r w:rsidRPr="00A1505C">
        <w:t>About the community</w:t>
      </w:r>
    </w:p>
    <w:tbl>
      <w:tblPr>
        <w:tblStyle w:val="ListTable3-Accent2"/>
        <w:tblpPr w:leftFromText="180" w:rightFromText="180" w:vertAnchor="text" w:horzAnchor="page" w:tblpX="6386" w:tblpY="346"/>
        <w:tblW w:w="538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  <w:tblDescription w:val="2021 AEDC data outlining the areas of Milton, Mollymook Beach, Ulladulla and NSW and their percentages in the domains of communication skills and general knowledge; social competence; and language and cognitive skills."/>
      </w:tblPr>
      <w:tblGrid>
        <w:gridCol w:w="1432"/>
        <w:gridCol w:w="1398"/>
        <w:gridCol w:w="1134"/>
        <w:gridCol w:w="1134"/>
      </w:tblGrid>
      <w:tr w:rsidR="00ED2859" w:rsidRPr="00A153D3" w14:paraId="53E2AFB9" w14:textId="77777777" w:rsidTr="00ED2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04" w:type="pct"/>
            <w:vAlign w:val="center"/>
          </w:tcPr>
          <w:p w14:paraId="0AA0500E" w14:textId="77777777" w:rsidR="00ED2859" w:rsidRPr="00A153D3" w:rsidRDefault="00ED2859" w:rsidP="00ED2859">
            <w:pPr>
              <w:pStyle w:val="BodyText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A153D3">
              <w:rPr>
                <w:b w:val="0"/>
                <w:bCs w:val="0"/>
                <w:color w:val="FFFFFF" w:themeColor="background1"/>
                <w:sz w:val="18"/>
                <w:szCs w:val="18"/>
              </w:rPr>
              <w:t xml:space="preserve">Developmentally </w:t>
            </w:r>
            <w:r>
              <w:rPr>
                <w:b w:val="0"/>
                <w:bCs w:val="0"/>
                <w:color w:val="FFFFFF" w:themeColor="background1"/>
                <w:sz w:val="18"/>
                <w:szCs w:val="18"/>
              </w:rPr>
              <w:t>‘at risk’</w:t>
            </w:r>
            <w:r w:rsidRPr="00A153D3">
              <w:rPr>
                <w:b w:val="0"/>
                <w:bCs w:val="0"/>
                <w:color w:val="FFFFFF" w:themeColor="background1"/>
                <w:sz w:val="18"/>
                <w:szCs w:val="18"/>
              </w:rPr>
              <w:t xml:space="preserve"> in 2021</w:t>
            </w:r>
          </w:p>
        </w:tc>
        <w:tc>
          <w:tcPr>
            <w:tcW w:w="1371" w:type="pct"/>
            <w:vAlign w:val="center"/>
          </w:tcPr>
          <w:p w14:paraId="432BEA59" w14:textId="77777777" w:rsidR="00ED2859" w:rsidRPr="00A153D3" w:rsidRDefault="00ED2859" w:rsidP="00ED285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  <w:r>
              <w:rPr>
                <w:b w:val="0"/>
                <w:bCs w:val="0"/>
                <w:color w:val="FFFFFF" w:themeColor="background1"/>
                <w:sz w:val="18"/>
                <w:szCs w:val="18"/>
              </w:rPr>
              <w:t>Communication skills and general knowledge</w:t>
            </w:r>
          </w:p>
        </w:tc>
        <w:tc>
          <w:tcPr>
            <w:tcW w:w="1112" w:type="pct"/>
            <w:vAlign w:val="center"/>
          </w:tcPr>
          <w:p w14:paraId="06CA3A31" w14:textId="77777777" w:rsidR="00ED2859" w:rsidRPr="00A153D3" w:rsidRDefault="00ED2859" w:rsidP="00ED285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  <w:r>
              <w:rPr>
                <w:b w:val="0"/>
                <w:bCs w:val="0"/>
                <w:color w:val="FFFFFF" w:themeColor="background1"/>
                <w:sz w:val="18"/>
                <w:szCs w:val="18"/>
              </w:rPr>
              <w:t>Social competence</w:t>
            </w:r>
          </w:p>
        </w:tc>
        <w:tc>
          <w:tcPr>
            <w:tcW w:w="1112" w:type="pct"/>
            <w:vAlign w:val="center"/>
          </w:tcPr>
          <w:p w14:paraId="172725D2" w14:textId="77777777" w:rsidR="00ED2859" w:rsidRPr="00A153D3" w:rsidRDefault="00ED2859" w:rsidP="00ED285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  <w:r>
              <w:rPr>
                <w:b w:val="0"/>
                <w:bCs w:val="0"/>
                <w:color w:val="FFFFFF" w:themeColor="background1"/>
                <w:sz w:val="18"/>
                <w:szCs w:val="18"/>
              </w:rPr>
              <w:t>Language and cognitive skills</w:t>
            </w:r>
          </w:p>
        </w:tc>
      </w:tr>
      <w:tr w:rsidR="00ED2859" w14:paraId="4F8F25C9" w14:textId="77777777" w:rsidTr="00ED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pct"/>
            <w:vAlign w:val="center"/>
          </w:tcPr>
          <w:p w14:paraId="3A7C1C28" w14:textId="77777777" w:rsidR="00ED2859" w:rsidRPr="00A153D3" w:rsidRDefault="00ED2859" w:rsidP="00ED2859">
            <w:pPr>
              <w:pStyle w:val="BodyTex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Milton</w:t>
            </w:r>
          </w:p>
        </w:tc>
        <w:tc>
          <w:tcPr>
            <w:tcW w:w="1371" w:type="pct"/>
            <w:vAlign w:val="center"/>
          </w:tcPr>
          <w:p w14:paraId="4650FD1A" w14:textId="77777777" w:rsidR="00ED2859" w:rsidRPr="005E27BD" w:rsidRDefault="00ED2859" w:rsidP="00ED285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549F">
              <w:rPr>
                <w:rFonts w:cs="Arial"/>
                <w:sz w:val="18"/>
                <w:szCs w:val="18"/>
              </w:rPr>
              <w:t>35.0%</w:t>
            </w:r>
          </w:p>
        </w:tc>
        <w:tc>
          <w:tcPr>
            <w:tcW w:w="1112" w:type="pct"/>
            <w:vAlign w:val="center"/>
          </w:tcPr>
          <w:p w14:paraId="2C0AAEBB" w14:textId="77777777" w:rsidR="00ED2859" w:rsidRPr="005E27BD" w:rsidRDefault="00ED2859" w:rsidP="00ED285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30E42">
              <w:rPr>
                <w:rFonts w:cs="Arial"/>
                <w:sz w:val="18"/>
                <w:szCs w:val="18"/>
              </w:rPr>
              <w:t>30.0%</w:t>
            </w:r>
          </w:p>
        </w:tc>
        <w:tc>
          <w:tcPr>
            <w:tcW w:w="1112" w:type="pct"/>
            <w:vAlign w:val="center"/>
          </w:tcPr>
          <w:p w14:paraId="30DDFF12" w14:textId="77777777" w:rsidR="00ED2859" w:rsidRPr="005E27BD" w:rsidRDefault="00ED2859" w:rsidP="00ED285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3751B">
              <w:rPr>
                <w:rFonts w:cs="Arial"/>
                <w:sz w:val="18"/>
                <w:szCs w:val="18"/>
              </w:rPr>
              <w:t>20.0%</w:t>
            </w:r>
          </w:p>
        </w:tc>
      </w:tr>
      <w:tr w:rsidR="00ED2859" w14:paraId="4D8299C8" w14:textId="77777777" w:rsidTr="00ED285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pct"/>
            <w:vAlign w:val="center"/>
          </w:tcPr>
          <w:p w14:paraId="41A97E77" w14:textId="77777777" w:rsidR="00ED2859" w:rsidRPr="00A153D3" w:rsidRDefault="00ED2859" w:rsidP="00ED2859">
            <w:pPr>
              <w:pStyle w:val="BodyText"/>
              <w:rPr>
                <w:b w:val="0"/>
                <w:bCs w:val="0"/>
                <w:sz w:val="18"/>
                <w:szCs w:val="18"/>
              </w:rPr>
            </w:pPr>
            <w:r w:rsidRPr="00F33936">
              <w:rPr>
                <w:b w:val="0"/>
                <w:bCs w:val="0"/>
                <w:sz w:val="18"/>
                <w:szCs w:val="18"/>
              </w:rPr>
              <w:t>Mollymook Beach</w:t>
            </w:r>
          </w:p>
        </w:tc>
        <w:tc>
          <w:tcPr>
            <w:tcW w:w="1371" w:type="pct"/>
            <w:vAlign w:val="center"/>
          </w:tcPr>
          <w:p w14:paraId="1E656B08" w14:textId="77777777" w:rsidR="00ED2859" w:rsidRPr="005E27BD" w:rsidRDefault="00ED2859" w:rsidP="00ED285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56B33">
              <w:rPr>
                <w:rFonts w:cs="Arial"/>
                <w:sz w:val="18"/>
                <w:szCs w:val="18"/>
              </w:rPr>
              <w:t>26.9%</w:t>
            </w:r>
          </w:p>
        </w:tc>
        <w:tc>
          <w:tcPr>
            <w:tcW w:w="1112" w:type="pct"/>
            <w:vAlign w:val="center"/>
          </w:tcPr>
          <w:p w14:paraId="33C7D68B" w14:textId="77777777" w:rsidR="00ED2859" w:rsidRPr="005E27BD" w:rsidRDefault="00ED2859" w:rsidP="00ED285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2AE3">
              <w:rPr>
                <w:rFonts w:cs="Arial"/>
                <w:sz w:val="18"/>
                <w:szCs w:val="18"/>
              </w:rPr>
              <w:t>7.7%</w:t>
            </w:r>
          </w:p>
        </w:tc>
        <w:tc>
          <w:tcPr>
            <w:tcW w:w="1112" w:type="pct"/>
            <w:vAlign w:val="center"/>
          </w:tcPr>
          <w:p w14:paraId="147E54A9" w14:textId="77777777" w:rsidR="00ED2859" w:rsidRPr="005E27BD" w:rsidRDefault="00ED2859" w:rsidP="00ED285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D2D5C">
              <w:rPr>
                <w:rFonts w:cs="Arial"/>
                <w:sz w:val="18"/>
                <w:szCs w:val="18"/>
              </w:rPr>
              <w:t>11.5%</w:t>
            </w:r>
          </w:p>
        </w:tc>
      </w:tr>
      <w:tr w:rsidR="00ED2859" w:rsidRPr="001B2E63" w14:paraId="47424BD6" w14:textId="77777777" w:rsidTr="00ED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pct"/>
            <w:vAlign w:val="center"/>
          </w:tcPr>
          <w:p w14:paraId="265264F3" w14:textId="77777777" w:rsidR="00ED2859" w:rsidRPr="00A153D3" w:rsidRDefault="00ED2859" w:rsidP="00ED2859">
            <w:pPr>
              <w:pStyle w:val="BodyText"/>
              <w:rPr>
                <w:b w:val="0"/>
                <w:bCs w:val="0"/>
                <w:sz w:val="18"/>
                <w:szCs w:val="18"/>
              </w:rPr>
            </w:pPr>
            <w:r w:rsidRPr="00852D1C">
              <w:rPr>
                <w:b w:val="0"/>
                <w:bCs w:val="0"/>
                <w:sz w:val="18"/>
                <w:szCs w:val="18"/>
              </w:rPr>
              <w:t xml:space="preserve">Ulladulla </w:t>
            </w:r>
          </w:p>
        </w:tc>
        <w:tc>
          <w:tcPr>
            <w:tcW w:w="1371" w:type="pct"/>
            <w:vAlign w:val="center"/>
          </w:tcPr>
          <w:p w14:paraId="41F78935" w14:textId="77777777" w:rsidR="00ED2859" w:rsidRPr="005E27BD" w:rsidRDefault="00ED2859" w:rsidP="00ED285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D152B">
              <w:rPr>
                <w:rFonts w:cs="Arial"/>
                <w:sz w:val="18"/>
                <w:szCs w:val="18"/>
              </w:rPr>
              <w:t>18.2%</w:t>
            </w:r>
          </w:p>
        </w:tc>
        <w:tc>
          <w:tcPr>
            <w:tcW w:w="1112" w:type="pct"/>
            <w:vAlign w:val="center"/>
          </w:tcPr>
          <w:p w14:paraId="5057824E" w14:textId="77777777" w:rsidR="00ED2859" w:rsidRPr="005E27BD" w:rsidRDefault="00ED2859" w:rsidP="00ED285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73E19">
              <w:rPr>
                <w:rFonts w:cs="Arial"/>
                <w:sz w:val="18"/>
                <w:szCs w:val="18"/>
              </w:rPr>
              <w:t>13.6%</w:t>
            </w:r>
          </w:p>
        </w:tc>
        <w:tc>
          <w:tcPr>
            <w:tcW w:w="1112" w:type="pct"/>
            <w:vAlign w:val="center"/>
          </w:tcPr>
          <w:p w14:paraId="482ED230" w14:textId="77777777" w:rsidR="00ED2859" w:rsidRPr="005E27BD" w:rsidRDefault="00ED2859" w:rsidP="00ED285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92C80">
              <w:rPr>
                <w:rFonts w:cs="Arial"/>
                <w:sz w:val="18"/>
                <w:szCs w:val="18"/>
              </w:rPr>
              <w:t>15.2%</w:t>
            </w:r>
          </w:p>
        </w:tc>
      </w:tr>
      <w:tr w:rsidR="00ED2859" w:rsidRPr="001B2E63" w14:paraId="6757DD43" w14:textId="77777777" w:rsidTr="00ED285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pct"/>
            <w:vAlign w:val="center"/>
          </w:tcPr>
          <w:p w14:paraId="556426C2" w14:textId="77777777" w:rsidR="00ED2859" w:rsidRPr="00852D1C" w:rsidRDefault="00ED2859" w:rsidP="00ED2859">
            <w:pPr>
              <w:pStyle w:val="BodyText"/>
              <w:rPr>
                <w:sz w:val="18"/>
                <w:szCs w:val="18"/>
              </w:rPr>
            </w:pPr>
            <w:r w:rsidRPr="00852D1C">
              <w:rPr>
                <w:b w:val="0"/>
                <w:bCs w:val="0"/>
                <w:sz w:val="18"/>
                <w:szCs w:val="18"/>
              </w:rPr>
              <w:t>NSW</w:t>
            </w:r>
          </w:p>
        </w:tc>
        <w:tc>
          <w:tcPr>
            <w:tcW w:w="1371" w:type="pct"/>
            <w:vAlign w:val="center"/>
          </w:tcPr>
          <w:p w14:paraId="7E2FCE65" w14:textId="77777777" w:rsidR="00ED2859" w:rsidRPr="005E27BD" w:rsidRDefault="00ED2859" w:rsidP="00ED285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5C77A7">
              <w:rPr>
                <w:rFonts w:cs="Arial"/>
                <w:sz w:val="18"/>
                <w:szCs w:val="18"/>
              </w:rPr>
              <w:t>8.4%</w:t>
            </w:r>
          </w:p>
        </w:tc>
        <w:tc>
          <w:tcPr>
            <w:tcW w:w="1112" w:type="pct"/>
            <w:vAlign w:val="center"/>
          </w:tcPr>
          <w:p w14:paraId="0B0DE471" w14:textId="77777777" w:rsidR="00ED2859" w:rsidRPr="005E27BD" w:rsidRDefault="00ED2859" w:rsidP="00ED285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91974">
              <w:rPr>
                <w:rFonts w:cs="Arial"/>
                <w:sz w:val="18"/>
                <w:szCs w:val="18"/>
              </w:rPr>
              <w:t>9.4%</w:t>
            </w:r>
          </w:p>
        </w:tc>
        <w:tc>
          <w:tcPr>
            <w:tcW w:w="1112" w:type="pct"/>
            <w:vAlign w:val="center"/>
          </w:tcPr>
          <w:p w14:paraId="2F017E52" w14:textId="77777777" w:rsidR="00ED2859" w:rsidRPr="005E27BD" w:rsidRDefault="00ED2859" w:rsidP="00ED285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561F7">
              <w:rPr>
                <w:rFonts w:cs="Arial"/>
                <w:sz w:val="18"/>
                <w:szCs w:val="18"/>
              </w:rPr>
              <w:t>6.2%</w:t>
            </w:r>
          </w:p>
        </w:tc>
      </w:tr>
    </w:tbl>
    <w:p w14:paraId="4C5CFD87" w14:textId="4EF52220" w:rsidR="00EE77C6" w:rsidRPr="00A1505C" w:rsidRDefault="00EE77C6" w:rsidP="00A1505C">
      <w:pPr>
        <w:pStyle w:val="BodyText"/>
      </w:pPr>
      <w:r w:rsidRPr="00A1505C">
        <w:t>Milton is a village located in the Shoalhaven region on the NSW South Coast. Milton is 220</w:t>
      </w:r>
      <w:r w:rsidR="00844238" w:rsidRPr="00A1505C">
        <w:t> </w:t>
      </w:r>
      <w:r w:rsidRPr="00A1505C">
        <w:t>km south of Sydney and is near the seaside towns of Mollymook and Ulladulla.</w:t>
      </w:r>
    </w:p>
    <w:p w14:paraId="67E6F08F" w14:textId="7C45A087" w:rsidR="00EE77C6" w:rsidRDefault="00EE77C6" w:rsidP="00A1505C">
      <w:pPr>
        <w:pStyle w:val="BodyText"/>
      </w:pPr>
      <w:r w:rsidRPr="00A1505C">
        <w:t>Milton Therapy and Learning Centre is a family</w:t>
      </w:r>
      <w:r w:rsidR="00844238" w:rsidRPr="00A1505C">
        <w:t>-</w:t>
      </w:r>
      <w:r w:rsidRPr="00A1505C">
        <w:t>centred multidisciplinary practice</w:t>
      </w:r>
      <w:r w:rsidRPr="00EE77C6">
        <w:t xml:space="preserve"> providing a range of services to Milton, </w:t>
      </w:r>
      <w:proofErr w:type="gramStart"/>
      <w:r w:rsidRPr="00EE77C6">
        <w:t>Ulladulla</w:t>
      </w:r>
      <w:proofErr w:type="gramEnd"/>
      <w:r w:rsidRPr="00EE77C6">
        <w:t xml:space="preserve"> and surrounding areas. Owned and operated by speech pathologist, Kate Kinch, Milton Therapy and Learning Centre offers speech pathology, occupational therapy, music therapy and early intervention services.</w:t>
      </w:r>
    </w:p>
    <w:p w14:paraId="3F60BD91" w14:textId="77777777" w:rsidR="00A32BF1" w:rsidRDefault="00A32BF1" w:rsidP="008A3999">
      <w:pPr>
        <w:pStyle w:val="Heading2"/>
      </w:pPr>
      <w:r>
        <w:rPr>
          <w:noProof/>
        </w:rPr>
        <w:drawing>
          <wp:inline distT="0" distB="0" distL="0" distR="0" wp14:anchorId="7F623BBA" wp14:editId="265E662A">
            <wp:extent cx="2621915" cy="1663823"/>
            <wp:effectExtent l="0" t="0" r="6985" b="0"/>
            <wp:docPr id="7" name="Picture 7" descr="A group of children clapp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children clapping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9718" cy="166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AEAC" w14:textId="5003DDCC" w:rsidR="00C7040B" w:rsidRDefault="00492394" w:rsidP="008A3999">
      <w:pPr>
        <w:pStyle w:val="Heading2"/>
      </w:pPr>
      <w:r w:rsidRPr="004C0188">
        <w:t>What did the data show?</w:t>
      </w:r>
    </w:p>
    <w:p w14:paraId="42307D46" w14:textId="4FE00809" w:rsidR="00492394" w:rsidRPr="0058126B" w:rsidRDefault="00492394" w:rsidP="0058126B">
      <w:pPr>
        <w:pStyle w:val="BodyText"/>
      </w:pPr>
      <w:r>
        <w:t xml:space="preserve">The Australian Early Development Census (AEDC) is a national measure of early childhood development </w:t>
      </w:r>
      <w:r w:rsidR="007506B4">
        <w:t xml:space="preserve">that is collected </w:t>
      </w:r>
      <w:r w:rsidR="002E21BD">
        <w:t>at</w:t>
      </w:r>
      <w:r>
        <w:t xml:space="preserve"> the time children commence their first year of full-time school. The AEDC collects data relating to </w:t>
      </w:r>
      <w:r w:rsidR="00844238">
        <w:t xml:space="preserve">5 </w:t>
      </w:r>
      <w:r>
        <w:t>key areas of early childhood development</w:t>
      </w:r>
      <w:r w:rsidR="007506B4">
        <w:t>,</w:t>
      </w:r>
      <w:r>
        <w:t xml:space="preserve"> referred to as </w:t>
      </w:r>
      <w:r w:rsidR="710EC349">
        <w:t>domains</w:t>
      </w:r>
      <w:r>
        <w:t xml:space="preserve">. The domains </w:t>
      </w:r>
      <w:bookmarkStart w:id="1" w:name="_Int_wYblK2VN"/>
      <w:proofErr w:type="gramStart"/>
      <w:r>
        <w:t>are</w:t>
      </w:r>
      <w:r w:rsidR="00D82B7E">
        <w:t>:</w:t>
      </w:r>
      <w:bookmarkEnd w:id="1"/>
      <w:proofErr w:type="gramEnd"/>
      <w:r>
        <w:t xml:space="preserve"> physical health and wellbeing; social competence; emotional maturity; language and cognitive skills (school-based); communication skills and general knowledge.</w:t>
      </w:r>
    </w:p>
    <w:p w14:paraId="60250C24" w14:textId="19EE6FC2" w:rsidR="00A32BF1" w:rsidRDefault="00D32A41" w:rsidP="002B4952">
      <w:pPr>
        <w:pStyle w:val="BodyText"/>
      </w:pPr>
      <w:r w:rsidRPr="0058126B">
        <w:t>According to the 2021 AEDC data, the areas of Milton, Mollymook and Ulladulla all had high percentages of developmentally at-risk children in the domains of communication skills and general knowledge</w:t>
      </w:r>
      <w:r w:rsidR="007506B4">
        <w:t>;</w:t>
      </w:r>
      <w:r w:rsidR="007506B4" w:rsidRPr="0058126B">
        <w:t xml:space="preserve"> </w:t>
      </w:r>
      <w:r w:rsidRPr="0058126B">
        <w:t>social competence</w:t>
      </w:r>
      <w:r w:rsidR="007506B4">
        <w:t>;</w:t>
      </w:r>
      <w:r w:rsidR="007506B4" w:rsidRPr="0058126B">
        <w:t xml:space="preserve"> </w:t>
      </w:r>
      <w:r w:rsidRPr="0058126B">
        <w:t xml:space="preserve">and language and cognitive skills (school-based) in comparison </w:t>
      </w:r>
      <w:r w:rsidR="007506B4">
        <w:t>with</w:t>
      </w:r>
      <w:r w:rsidR="007506B4" w:rsidRPr="0058126B">
        <w:t xml:space="preserve"> </w:t>
      </w:r>
      <w:r w:rsidRPr="0058126B">
        <w:t>other New South Wales regions:</w:t>
      </w:r>
      <w:r w:rsidR="00A32BF1" w:rsidRPr="00A32BF1">
        <w:rPr>
          <w:noProof/>
        </w:rPr>
        <w:t xml:space="preserve"> </w:t>
      </w:r>
    </w:p>
    <w:p w14:paraId="4740F548" w14:textId="1C23AD69" w:rsidR="006B50C0" w:rsidRPr="006B50C0" w:rsidRDefault="006B50C0" w:rsidP="008A3999">
      <w:pPr>
        <w:pStyle w:val="Heading2"/>
      </w:pPr>
      <w:r w:rsidRPr="004C0188">
        <w:t>Bringing about change</w:t>
      </w:r>
    </w:p>
    <w:p w14:paraId="5C617B63" w14:textId="3915432A" w:rsidR="007D559B" w:rsidRPr="00FD687C" w:rsidRDefault="007D559B" w:rsidP="00FD687C">
      <w:pPr>
        <w:pStyle w:val="BodyText"/>
      </w:pPr>
      <w:r w:rsidRPr="00FD687C">
        <w:t xml:space="preserve">The </w:t>
      </w:r>
      <w:r w:rsidR="005C42C0">
        <w:t>‘Small Talk</w:t>
      </w:r>
      <w:r w:rsidRPr="00FD687C">
        <w:t xml:space="preserve">' program was established to provide support to families with preschool aged children as well as early childhood educators who may be concerned about a child's speech, </w:t>
      </w:r>
      <w:proofErr w:type="gramStart"/>
      <w:r w:rsidRPr="00FD687C">
        <w:t>language</w:t>
      </w:r>
      <w:proofErr w:type="gramEnd"/>
      <w:r w:rsidRPr="00FD687C">
        <w:t xml:space="preserve"> and overall communication skills.</w:t>
      </w:r>
    </w:p>
    <w:p w14:paraId="22C76EC4" w14:textId="27EAB360" w:rsidR="007D559B" w:rsidRPr="00FD687C" w:rsidRDefault="007D559B" w:rsidP="00FD687C">
      <w:pPr>
        <w:pStyle w:val="BodyText"/>
      </w:pPr>
      <w:r w:rsidRPr="00FD687C">
        <w:t xml:space="preserve">The program involved connecting with early childhood education (ECE) service providers in the Milton and Ulladulla area to provide education, </w:t>
      </w:r>
      <w:proofErr w:type="gramStart"/>
      <w:r w:rsidRPr="00FD687C">
        <w:t>screening</w:t>
      </w:r>
      <w:proofErr w:type="gramEnd"/>
      <w:r w:rsidRPr="00FD687C">
        <w:t xml:space="preserve"> and recommendations. Drop-in clinics were set up to give families access to a speech pathologist in their community who could perform </w:t>
      </w:r>
      <w:r w:rsidR="00124A5B" w:rsidRPr="00124A5B">
        <w:t>speech and language screening sessions</w:t>
      </w:r>
      <w:r w:rsidRPr="00FD687C">
        <w:t xml:space="preserve"> and deliver education programs for educators and families.</w:t>
      </w:r>
    </w:p>
    <w:p w14:paraId="506BC0D0" w14:textId="4D454009" w:rsidR="007D559B" w:rsidRPr="00FD687C" w:rsidRDefault="007D559B" w:rsidP="00FD687C">
      <w:pPr>
        <w:pStyle w:val="BodyText"/>
      </w:pPr>
      <w:r w:rsidRPr="00FD687C">
        <w:t>Providing a community wide education program (including small talk education sessions for ECE educators</w:t>
      </w:r>
      <w:r w:rsidR="00BF6EB7">
        <w:t>,</w:t>
      </w:r>
      <w:r w:rsidRPr="00FD687C">
        <w:t xml:space="preserve"> and parent</w:t>
      </w:r>
      <w:r w:rsidR="00F00AEF">
        <w:t xml:space="preserve"> </w:t>
      </w:r>
      <w:r w:rsidR="00BF6EB7">
        <w:t>and</w:t>
      </w:r>
      <w:r w:rsidR="00F00AEF">
        <w:t xml:space="preserve"> </w:t>
      </w:r>
      <w:r w:rsidRPr="00FD687C">
        <w:t>carer education sessions) was intended to help families and educators increase their knowledge of speech and language development, as well as how and when to intervene.</w:t>
      </w:r>
    </w:p>
    <w:p w14:paraId="077EBE73" w14:textId="6D14BD60" w:rsidR="006A4702" w:rsidRPr="004C0188" w:rsidRDefault="006A4702" w:rsidP="008A3999">
      <w:pPr>
        <w:pStyle w:val="Heading2"/>
      </w:pPr>
      <w:r w:rsidRPr="004C0188">
        <w:t>Partnerships</w:t>
      </w:r>
    </w:p>
    <w:p w14:paraId="6AFAF59B" w14:textId="6AF213BF" w:rsidR="00CE5E15" w:rsidRDefault="00CE5E15" w:rsidP="00CE5E15">
      <w:pPr>
        <w:pStyle w:val="BodyText"/>
      </w:pPr>
      <w:r>
        <w:t xml:space="preserve">The </w:t>
      </w:r>
      <w:r w:rsidR="00F9422B">
        <w:t>‘Small Talk</w:t>
      </w:r>
      <w:r>
        <w:t>' program was a collaborative approach with the following ECE service providers and local playgroups:</w:t>
      </w:r>
    </w:p>
    <w:p w14:paraId="38AD1932" w14:textId="0C27A60E" w:rsidR="00CE5E15" w:rsidRDefault="00CE5E15" w:rsidP="00CE5E15">
      <w:pPr>
        <w:pStyle w:val="ListBullet"/>
      </w:pPr>
      <w:r>
        <w:t>Milton and Mollymook Early Foundations</w:t>
      </w:r>
    </w:p>
    <w:p w14:paraId="63AC5D91" w14:textId="4B25D549" w:rsidR="00CE5E15" w:rsidRDefault="00CE5E15" w:rsidP="00CE5E15">
      <w:pPr>
        <w:pStyle w:val="ListBullet"/>
      </w:pPr>
      <w:r>
        <w:lastRenderedPageBreak/>
        <w:t xml:space="preserve">Naturally Curious Early Education and Care Centre </w:t>
      </w:r>
    </w:p>
    <w:p w14:paraId="668E6BAD" w14:textId="170F0154" w:rsidR="00CE5E15" w:rsidRDefault="00CE5E15" w:rsidP="00CE5E15">
      <w:pPr>
        <w:pStyle w:val="ListBullet"/>
      </w:pPr>
      <w:r>
        <w:t>Myrtle Street Early Learning Centre</w:t>
      </w:r>
    </w:p>
    <w:p w14:paraId="00C5AA30" w14:textId="109A02DC" w:rsidR="00CE5E15" w:rsidRDefault="00CE5E15" w:rsidP="00CE5E15">
      <w:pPr>
        <w:pStyle w:val="ListBullet"/>
      </w:pPr>
      <w:r>
        <w:t>Milton Early Learning and Care</w:t>
      </w:r>
    </w:p>
    <w:p w14:paraId="3A1E9ADA" w14:textId="074A5FFD" w:rsidR="00CE5E15" w:rsidRDefault="00CE5E15" w:rsidP="00CE5E15">
      <w:pPr>
        <w:pStyle w:val="ListBullet"/>
      </w:pPr>
      <w:r>
        <w:t>Milton Ulladulla Preschool</w:t>
      </w:r>
    </w:p>
    <w:p w14:paraId="43276581" w14:textId="7D365348" w:rsidR="00CE5E15" w:rsidRDefault="00CE5E15" w:rsidP="00CE5E15">
      <w:pPr>
        <w:pStyle w:val="ListBullet"/>
      </w:pPr>
      <w:r>
        <w:t>Green Street Preschool</w:t>
      </w:r>
    </w:p>
    <w:p w14:paraId="596DCFAB" w14:textId="59BBEC8E" w:rsidR="00CE5E15" w:rsidRDefault="00CE5E15" w:rsidP="00CE5E15">
      <w:pPr>
        <w:pStyle w:val="ListBullet"/>
      </w:pPr>
      <w:r>
        <w:t>Ulladulla Children's Centre</w:t>
      </w:r>
    </w:p>
    <w:p w14:paraId="4618B648" w14:textId="15845DAC" w:rsidR="00DD7C2A" w:rsidRDefault="00DD7C2A" w:rsidP="00CE5E15">
      <w:pPr>
        <w:pStyle w:val="ListBullet"/>
      </w:pPr>
      <w:proofErr w:type="spellStart"/>
      <w:r>
        <w:t>Northside</w:t>
      </w:r>
      <w:proofErr w:type="spellEnd"/>
      <w:r>
        <w:t xml:space="preserve"> Early Learning Centre</w:t>
      </w:r>
    </w:p>
    <w:p w14:paraId="64C4A9BC" w14:textId="2FD2961F" w:rsidR="00CE5E15" w:rsidRDefault="00CE5E15" w:rsidP="00CE5E15">
      <w:pPr>
        <w:pStyle w:val="ListBullet"/>
      </w:pPr>
      <w:proofErr w:type="spellStart"/>
      <w:r>
        <w:t>Tabourie</w:t>
      </w:r>
      <w:proofErr w:type="spellEnd"/>
      <w:r>
        <w:t xml:space="preserve"> Childcare Centre</w:t>
      </w:r>
      <w:r w:rsidR="00DD7C2A">
        <w:t>.</w:t>
      </w:r>
    </w:p>
    <w:p w14:paraId="66830620" w14:textId="793A7382" w:rsidR="002A251E" w:rsidRDefault="00CE5E15" w:rsidP="00CE5E15">
      <w:pPr>
        <w:pStyle w:val="BodyText"/>
        <w:rPr>
          <w:noProof/>
        </w:rPr>
      </w:pPr>
      <w:r>
        <w:t xml:space="preserve">Milton Therapy and Learning Centre also has strong links with local general practitioners, </w:t>
      </w:r>
      <w:proofErr w:type="gramStart"/>
      <w:r>
        <w:t>nurses</w:t>
      </w:r>
      <w:proofErr w:type="gramEnd"/>
      <w:r>
        <w:t xml:space="preserve"> and other allied health professionals in the community. The centre works closely with </w:t>
      </w:r>
      <w:proofErr w:type="spellStart"/>
      <w:r>
        <w:t>Lifestart</w:t>
      </w:r>
      <w:proofErr w:type="spellEnd"/>
      <w:r>
        <w:t xml:space="preserve">, the early intervention </w:t>
      </w:r>
      <w:r w:rsidR="00236E37" w:rsidRPr="00236E37">
        <w:t xml:space="preserve">National Disability Insurance Scheme </w:t>
      </w:r>
      <w:r w:rsidR="00236E37">
        <w:t>(</w:t>
      </w:r>
      <w:r>
        <w:t>NDIS</w:t>
      </w:r>
      <w:r w:rsidR="00236E37">
        <w:t>)</w:t>
      </w:r>
      <w:r>
        <w:t xml:space="preserve"> planners in the area, to support families in accessing services.</w:t>
      </w:r>
    </w:p>
    <w:p w14:paraId="45E14CD0" w14:textId="7853A8C9" w:rsidR="006A4702" w:rsidRPr="00207509" w:rsidRDefault="006A4702" w:rsidP="008A3999">
      <w:pPr>
        <w:pStyle w:val="Heading2"/>
      </w:pPr>
      <w:r w:rsidRPr="00207509">
        <w:t>Achievements</w:t>
      </w:r>
    </w:p>
    <w:p w14:paraId="4541D630" w14:textId="4AC45F60" w:rsidR="00C26BF0" w:rsidRDefault="00C26BF0" w:rsidP="00C26BF0">
      <w:pPr>
        <w:pStyle w:val="BodyText"/>
      </w:pPr>
      <w:r>
        <w:t>The</w:t>
      </w:r>
      <w:r w:rsidR="008D5DC7">
        <w:t xml:space="preserve"> ‘Small Talk</w:t>
      </w:r>
      <w:r>
        <w:t>' program has led to increased engagement and collaboration between ECE service providers and families to support developmental at-risk domains in the Milton community. More children who are developmentally at-risk or vulnerable have been able to access initial appointments with a speech pathologist in the community, which is expected to be reflected in improvements in their language and communication skills over time.</w:t>
      </w:r>
      <w:r w:rsidR="00766579" w:rsidRPr="00766579">
        <w:rPr>
          <w:noProof/>
        </w:rPr>
        <w:t xml:space="preserve"> </w:t>
      </w:r>
    </w:p>
    <w:p w14:paraId="09C2B98C" w14:textId="77397A51" w:rsidR="00C26BF0" w:rsidRDefault="00C26BF0" w:rsidP="00C26BF0">
      <w:pPr>
        <w:pStyle w:val="BodyText"/>
      </w:pPr>
      <w:r>
        <w:t xml:space="preserve">Under the </w:t>
      </w:r>
      <w:r w:rsidR="0046368D">
        <w:t>‘Small Talk</w:t>
      </w:r>
      <w:r>
        <w:t xml:space="preserve">' program, 30-minute speech and language screening sessions were completed for 24 children and a short summary report was provided to their families following the </w:t>
      </w:r>
      <w:r w:rsidR="0046368D">
        <w:t>session</w:t>
      </w:r>
      <w:r>
        <w:t xml:space="preserve">. </w:t>
      </w:r>
      <w:r w:rsidR="00AB5A7D">
        <w:t xml:space="preserve">These reports supported several families to partner with </w:t>
      </w:r>
      <w:proofErr w:type="spellStart"/>
      <w:r w:rsidR="00AB5A7D">
        <w:t>Lifestart</w:t>
      </w:r>
      <w:proofErr w:type="spellEnd"/>
      <w:r w:rsidR="00026828">
        <w:t xml:space="preserve"> and access NDIS funding. </w:t>
      </w:r>
      <w:r w:rsidR="002D78C8">
        <w:t xml:space="preserve">All </w:t>
      </w:r>
      <w:r>
        <w:t>parent and carers found these screening sessions and the provision of practical information about what to do</w:t>
      </w:r>
      <w:r w:rsidR="00907483">
        <w:t xml:space="preserve">, </w:t>
      </w:r>
      <w:r>
        <w:t>who to contact</w:t>
      </w:r>
      <w:r w:rsidR="00907483">
        <w:t xml:space="preserve"> and</w:t>
      </w:r>
      <w:r w:rsidR="000030A8">
        <w:t xml:space="preserve"> </w:t>
      </w:r>
      <w:r>
        <w:t xml:space="preserve">what the next steps should be regarding their child’s speech, </w:t>
      </w:r>
      <w:proofErr w:type="gramStart"/>
      <w:r>
        <w:t>language</w:t>
      </w:r>
      <w:proofErr w:type="gramEnd"/>
      <w:r>
        <w:t xml:space="preserve"> or communication concerns </w:t>
      </w:r>
      <w:bookmarkStart w:id="2" w:name="_Int_xyCuOqMY"/>
      <w:r>
        <w:t>very useful</w:t>
      </w:r>
      <w:bookmarkEnd w:id="2"/>
      <w:r>
        <w:t>.</w:t>
      </w:r>
      <w:r w:rsidR="006751EC" w:rsidRPr="742F0216">
        <w:rPr>
          <w:noProof/>
        </w:rPr>
        <w:t xml:space="preserve"> </w:t>
      </w:r>
    </w:p>
    <w:p w14:paraId="3B7FDDAF" w14:textId="77777777" w:rsidR="00766579" w:rsidRDefault="00907483" w:rsidP="00C26BF0">
      <w:pPr>
        <w:pStyle w:val="BodyText"/>
        <w:rPr>
          <w:noProof/>
        </w:rPr>
      </w:pPr>
      <w:r>
        <w:t xml:space="preserve">Two </w:t>
      </w:r>
      <w:r w:rsidR="00C26BF0">
        <w:t xml:space="preserve">preliminary education sessions (with 15 attendees) and </w:t>
      </w:r>
      <w:r>
        <w:t xml:space="preserve">one </w:t>
      </w:r>
      <w:r w:rsidR="00C26BF0">
        <w:t>follow</w:t>
      </w:r>
      <w:r>
        <w:t>-</w:t>
      </w:r>
      <w:r w:rsidR="00C26BF0">
        <w:t xml:space="preserve">up small talk education session (with 10 attendees) were held for ECE educators. Educators attending the sessions responded in a survey that they </w:t>
      </w:r>
      <w:r w:rsidR="00C26BF0">
        <w:t xml:space="preserve">had increased confidence after the sessions regarding identifying whether a child </w:t>
      </w:r>
      <w:r>
        <w:t xml:space="preserve">was </w:t>
      </w:r>
      <w:r w:rsidR="00C26BF0">
        <w:t>reaching age-appropriate developmental milestones, identifying speech and language errors, bringing up speech and language concerns with parents</w:t>
      </w:r>
      <w:r>
        <w:t xml:space="preserve"> </w:t>
      </w:r>
      <w:r w:rsidR="00BF6EB7">
        <w:t>and</w:t>
      </w:r>
      <w:r>
        <w:t xml:space="preserve"> </w:t>
      </w:r>
      <w:r w:rsidR="00C26BF0">
        <w:t>carers and referring people to the right services.</w:t>
      </w:r>
      <w:r w:rsidR="006751EC" w:rsidRPr="006751EC">
        <w:rPr>
          <w:noProof/>
        </w:rPr>
        <w:t xml:space="preserve"> </w:t>
      </w:r>
    </w:p>
    <w:p w14:paraId="0E54D5A0" w14:textId="25369F09" w:rsidR="00C26BF0" w:rsidRDefault="00766579" w:rsidP="00C26BF0">
      <w:pPr>
        <w:pStyle w:val="BodyText"/>
      </w:pPr>
      <w:r>
        <w:rPr>
          <w:noProof/>
        </w:rPr>
        <w:drawing>
          <wp:inline distT="0" distB="0" distL="0" distR="0" wp14:anchorId="5AC2E366" wp14:editId="019AA849">
            <wp:extent cx="2734786" cy="1854679"/>
            <wp:effectExtent l="0" t="0" r="8890" b="0"/>
            <wp:docPr id="8" name="Picture 8" descr="A mother and child interacting with an allied health profession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mother and child interacting with an allied health professional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146" cy="187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FCDF" w14:textId="52DD6152" w:rsidR="003542E1" w:rsidRDefault="00C26BF0" w:rsidP="008C4C11">
      <w:pPr>
        <w:pStyle w:val="BodyText"/>
      </w:pPr>
      <w:r>
        <w:t>A parent</w:t>
      </w:r>
      <w:r w:rsidR="00657CE3">
        <w:t xml:space="preserve"> and </w:t>
      </w:r>
      <w:r>
        <w:t xml:space="preserve">carer information session </w:t>
      </w:r>
      <w:bookmarkStart w:id="3" w:name="_Int_Lof4jA3c"/>
      <w:proofErr w:type="gramStart"/>
      <w:r>
        <w:t>was</w:t>
      </w:r>
      <w:bookmarkEnd w:id="3"/>
      <w:proofErr w:type="gramEnd"/>
      <w:r>
        <w:t xml:space="preserve"> also facilitated by Milton Therapy and Learning Centre, which had 12 attendees. Positive feedback was received from parents</w:t>
      </w:r>
      <w:r w:rsidR="00657CE3">
        <w:t xml:space="preserve"> and </w:t>
      </w:r>
      <w:r>
        <w:t xml:space="preserve">carers attending the sessions who felt they had increased knowledge and confidence in identifying whether a child </w:t>
      </w:r>
      <w:r w:rsidR="00657CE3">
        <w:t>was</w:t>
      </w:r>
      <w:r>
        <w:t xml:space="preserve"> reaching age-appropriate developmental milestones and knowing the right health services to </w:t>
      </w:r>
      <w:r w:rsidR="68518AB6">
        <w:t>contact</w:t>
      </w:r>
      <w:r>
        <w:t xml:space="preserve"> if they </w:t>
      </w:r>
      <w:r w:rsidR="00657CE3">
        <w:t>had</w:t>
      </w:r>
      <w:r>
        <w:t xml:space="preserve"> speech or language concerns about their child.</w:t>
      </w:r>
    </w:p>
    <w:p w14:paraId="03D341A1" w14:textId="2573C33A" w:rsidR="006A4702" w:rsidRPr="004C0188" w:rsidRDefault="006A4702" w:rsidP="00F32539">
      <w:pPr>
        <w:pStyle w:val="Heading2"/>
      </w:pPr>
      <w:r w:rsidRPr="004C0188">
        <w:t>Looking ahead</w:t>
      </w:r>
    </w:p>
    <w:p w14:paraId="39970E80" w14:textId="6EEDBEAE" w:rsidR="00E95CC9" w:rsidRDefault="00E95CC9" w:rsidP="00E95CC9">
      <w:pPr>
        <w:pStyle w:val="BodyText"/>
      </w:pPr>
      <w:r>
        <w:t>Milton Therapy and Learning Centre has continued offering speech and language screening sessions to families to meet the ongoing needs of the community, with parents paying a small supplemental fee for the service.</w:t>
      </w:r>
    </w:p>
    <w:p w14:paraId="042E31B9" w14:textId="67F4912E" w:rsidR="00E95CC9" w:rsidRDefault="00E95CC9" w:rsidP="00E95CC9">
      <w:pPr>
        <w:pStyle w:val="BodyText"/>
      </w:pPr>
      <w:r>
        <w:t xml:space="preserve">They hope to expand their </w:t>
      </w:r>
      <w:r w:rsidR="003D557D">
        <w:t>‘Small Talk</w:t>
      </w:r>
      <w:r>
        <w:t>' program by partnering with more local service providers in the future to continue to foster and achieve better outcomes for children and families in the Milton local area.</w:t>
      </w:r>
    </w:p>
    <w:p w14:paraId="0F81440E" w14:textId="1F44FD1F" w:rsidR="0066322D" w:rsidRDefault="00AD783A" w:rsidP="003B17A1">
      <w:pPr>
        <w:pStyle w:val="FeatureBox2"/>
        <w:keepNext/>
      </w:pPr>
      <w:r w:rsidRPr="00C07EAB">
        <w:t>For more information</w:t>
      </w:r>
      <w:r w:rsidR="004C0FF5">
        <w:t>,</w:t>
      </w:r>
      <w:r w:rsidR="00C07EAB" w:rsidRPr="00C07EAB">
        <w:t xml:space="preserve"> contact </w:t>
      </w:r>
      <w:r w:rsidR="004020F6">
        <w:t xml:space="preserve">the </w:t>
      </w:r>
      <w:r w:rsidRPr="00C07EAB">
        <w:t xml:space="preserve">AEDC NSW </w:t>
      </w:r>
      <w:r w:rsidR="00B366F4">
        <w:t>Project Team</w:t>
      </w:r>
      <w:r w:rsidR="004020F6">
        <w:t>:</w:t>
      </w:r>
    </w:p>
    <w:p w14:paraId="01C658ED" w14:textId="17FAE631" w:rsidR="0066322D" w:rsidRDefault="00AD783A" w:rsidP="0066322D">
      <w:pPr>
        <w:pStyle w:val="FeatureBox2"/>
        <w:keepNext/>
        <w:spacing w:before="0"/>
      </w:pPr>
      <w:r w:rsidRPr="00E32D20">
        <w:t xml:space="preserve">Phone: </w:t>
      </w:r>
      <w:r w:rsidR="00B366F4">
        <w:t>1300 083 698</w:t>
      </w:r>
    </w:p>
    <w:p w14:paraId="4EEFF56E" w14:textId="53C68417" w:rsidR="003B17A1" w:rsidRPr="00207509" w:rsidRDefault="00AD783A" w:rsidP="0066322D">
      <w:pPr>
        <w:pStyle w:val="FeatureBox2"/>
        <w:keepNext/>
        <w:spacing w:before="0"/>
        <w:rPr>
          <w:b/>
          <w:bCs/>
        </w:rPr>
        <w:sectPr w:rsidR="003B17A1" w:rsidRPr="00207509" w:rsidSect="0000020E">
          <w:type w:val="continuous"/>
          <w:pgSz w:w="11906" w:h="16838" w:code="9"/>
          <w:pgMar w:top="851" w:right="851" w:bottom="709" w:left="851" w:header="397" w:footer="218" w:gutter="0"/>
          <w:cols w:num="2" w:space="708"/>
          <w:titlePg/>
          <w:docGrid w:linePitch="360"/>
        </w:sectPr>
      </w:pPr>
      <w:r>
        <w:t>Email: aedc@det.nsw.edu.</w:t>
      </w:r>
      <w:r w:rsidR="00CF7183">
        <w:t>a</w:t>
      </w:r>
      <w:r w:rsidR="008F571B">
        <w:t>u</w:t>
      </w:r>
    </w:p>
    <w:p w14:paraId="29AEAF95" w14:textId="23FEDD06" w:rsidR="006D2FD4" w:rsidRPr="00336799" w:rsidRDefault="006D2FD4" w:rsidP="00844238">
      <w:pPr>
        <w:pStyle w:val="BodyText"/>
      </w:pPr>
    </w:p>
    <w:sectPr w:rsidR="006D2FD4" w:rsidRPr="00336799" w:rsidSect="0000020E">
      <w:type w:val="continuous"/>
      <w:pgSz w:w="11906" w:h="16838" w:code="9"/>
      <w:pgMar w:top="1418" w:right="851" w:bottom="851" w:left="851" w:header="397" w:footer="6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B3BF0" w14:textId="77777777" w:rsidR="00366964" w:rsidRDefault="00366964" w:rsidP="00921FD3">
      <w:r>
        <w:separator/>
      </w:r>
    </w:p>
  </w:endnote>
  <w:endnote w:type="continuationSeparator" w:id="0">
    <w:p w14:paraId="44C42881" w14:textId="77777777" w:rsidR="00366964" w:rsidRDefault="00366964" w:rsidP="00921FD3">
      <w:r>
        <w:continuationSeparator/>
      </w:r>
    </w:p>
  </w:endnote>
  <w:endnote w:type="continuationNotice" w:id="1">
    <w:p w14:paraId="64E18FD1" w14:textId="77777777" w:rsidR="00366964" w:rsidRDefault="003669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66EC5B60-26C9-425A-9643-15F80AA8880A}"/>
    <w:embedBold r:id="rId2" w:fontKey="{3CD66269-8164-4DDE-8585-8F526CD893C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subsetted="1" w:fontKey="{A611034C-DF65-4123-8F4C-BD717C4277E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361D8" w14:textId="5942C504" w:rsidR="00610A2D" w:rsidRPr="008645D7" w:rsidRDefault="00000000" w:rsidP="00844238">
    <w:pPr>
      <w:pStyle w:val="Footer"/>
      <w:tabs>
        <w:tab w:val="right" w:pos="9639"/>
      </w:tabs>
      <w:spacing w:before="0"/>
    </w:pPr>
    <w:hyperlink r:id="rId1" w:history="1">
      <w:r w:rsidR="00102061" w:rsidRPr="00151F75">
        <w:rPr>
          <w:rStyle w:val="Hyperlink"/>
        </w:rPr>
        <w:t>© State of New South Wales (Department of Education)</w:t>
      </w:r>
    </w:hyperlink>
    <w:r w:rsidR="00102061" w:rsidRPr="00151F75">
      <w:t xml:space="preserve">, </w:t>
    </w:r>
    <w:r w:rsidR="00102061" w:rsidRPr="00102061">
      <w:rPr>
        <w:color w:val="002664" w:themeColor="accent2"/>
      </w:rPr>
      <w:t>2023.</w:t>
    </w:r>
    <w:r w:rsidR="00785B2A">
      <w:rPr>
        <w:b/>
        <w:noProof/>
        <w:sz w:val="28"/>
        <w:szCs w:val="28"/>
      </w:rPr>
      <w:tab/>
    </w:r>
    <w:r w:rsidR="00785B2A">
      <w:ptab w:relativeTo="margin" w:alignment="right" w:leader="none"/>
    </w:r>
    <w:r w:rsidR="00785B2A">
      <w:rPr>
        <w:b/>
        <w:noProof/>
        <w:sz w:val="28"/>
        <w:szCs w:val="28"/>
      </w:rPr>
      <w:drawing>
        <wp:inline distT="0" distB="0" distL="0" distR="0" wp14:anchorId="67BB963B" wp14:editId="227F3FE9">
          <wp:extent cx="571500" cy="190500"/>
          <wp:effectExtent l="0" t="0" r="0" b="0"/>
          <wp:docPr id="9" name="Picture 9" descr="Creative Commons Attribution license logo.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reative Commons Attribution license logo.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45D7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5F11" w14:textId="14478090" w:rsidR="004B73BD" w:rsidRPr="004B73BD" w:rsidRDefault="00000000" w:rsidP="001963C2">
    <w:pPr>
      <w:pStyle w:val="Footer"/>
      <w:tabs>
        <w:tab w:val="right" w:pos="9639"/>
      </w:tabs>
    </w:pPr>
    <w:hyperlink r:id="rId1" w:history="1">
      <w:r w:rsidR="00102061" w:rsidRPr="00151F75">
        <w:rPr>
          <w:rStyle w:val="Hyperlink"/>
        </w:rPr>
        <w:t>© State of New South Wales (Department of Education)</w:t>
      </w:r>
    </w:hyperlink>
    <w:r w:rsidR="00102061" w:rsidRPr="00151F75">
      <w:t xml:space="preserve">, </w:t>
    </w:r>
    <w:r w:rsidR="00102061" w:rsidRPr="00102061">
      <w:rPr>
        <w:color w:val="002664" w:themeColor="accent2"/>
      </w:rPr>
      <w:t>2023.</w:t>
    </w:r>
    <w:r w:rsidR="001963C2">
      <w:rPr>
        <w:b/>
        <w:noProof/>
        <w:sz w:val="28"/>
        <w:szCs w:val="28"/>
      </w:rPr>
      <w:tab/>
    </w:r>
    <w:r w:rsidR="004B73BD">
      <w:ptab w:relativeTo="margin" w:alignment="right" w:leader="none"/>
    </w:r>
    <w:r w:rsidR="001963C2">
      <w:rPr>
        <w:b/>
        <w:noProof/>
        <w:sz w:val="28"/>
        <w:szCs w:val="28"/>
      </w:rPr>
      <w:drawing>
        <wp:inline distT="0" distB="0" distL="0" distR="0" wp14:anchorId="03A881A2" wp14:editId="7281E809">
          <wp:extent cx="571500" cy="190500"/>
          <wp:effectExtent l="0" t="0" r="0" b="0"/>
          <wp:docPr id="10" name="Picture 10" descr="Creative Commons Attribution license logo.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reative Commons Attribution license logo.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CDC55" w14:textId="77777777" w:rsidR="00366964" w:rsidRDefault="00366964" w:rsidP="00921FD3">
      <w:bookmarkStart w:id="0" w:name="_Hlk140581156"/>
      <w:bookmarkEnd w:id="0"/>
      <w:r>
        <w:separator/>
      </w:r>
    </w:p>
  </w:footnote>
  <w:footnote w:type="continuationSeparator" w:id="0">
    <w:p w14:paraId="0FC2CA29" w14:textId="77777777" w:rsidR="00366964" w:rsidRDefault="00366964" w:rsidP="00921FD3">
      <w:r>
        <w:continuationSeparator/>
      </w:r>
    </w:p>
  </w:footnote>
  <w:footnote w:type="continuationNotice" w:id="1">
    <w:p w14:paraId="23387320" w14:textId="77777777" w:rsidR="00366964" w:rsidRDefault="003669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DEBB" w14:textId="6A30E34E" w:rsidR="00C52929" w:rsidRDefault="00B20BE0">
    <w:pPr>
      <w:pStyle w:val="Header"/>
    </w:pPr>
    <w:r>
      <w:t>Milton Therapy and Learning Centre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44EAD" w14:textId="77777777" w:rsidR="004B73BD" w:rsidRDefault="004B73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75B7C09" wp14:editId="0BB2656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0000" cy="2340000"/>
              <wp:effectExtent l="0" t="0" r="22225" b="22225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0000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3">
                        <a:schemeClr val="lt1"/>
                      </a:lnRef>
                      <a:fillRef idx="1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rect id="Rectangle 5" style="position:absolute;margin-left:0;margin-top:0;width:595.3pt;height:184.2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alt="&quot;&quot;" o:spid="_x0000_s1026" fillcolor="#cbedfd [3208]" strokecolor="white [3201]" strokeweight="1.5pt" w14:anchorId="60A68F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5676C"/>
    <w:multiLevelType w:val="hybridMultilevel"/>
    <w:tmpl w:val="E9C6FEBE"/>
    <w:lvl w:ilvl="0" w:tplc="E0803700">
      <w:start w:val="1"/>
      <w:numFmt w:val="lowerLetter"/>
      <w:pStyle w:val="ListNumber2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8942059"/>
    <w:multiLevelType w:val="hybridMultilevel"/>
    <w:tmpl w:val="FADEB06E"/>
    <w:lvl w:ilvl="0" w:tplc="0554D3E8">
      <w:start w:val="1"/>
      <w:numFmt w:val="decimal"/>
      <w:pStyle w:val="ListNumber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56394"/>
    <w:multiLevelType w:val="hybridMultilevel"/>
    <w:tmpl w:val="69EE43A6"/>
    <w:lvl w:ilvl="0" w:tplc="D2C2E362">
      <w:start w:val="1"/>
      <w:numFmt w:val="lowerRoman"/>
      <w:pStyle w:val="ListNumber3"/>
      <w:lvlText w:val="%1."/>
      <w:lvlJc w:val="left"/>
      <w:pPr>
        <w:tabs>
          <w:tab w:val="num" w:pos="1072"/>
        </w:tabs>
        <w:ind w:left="1072" w:hanging="358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2154" w:hanging="360"/>
      </w:pPr>
    </w:lvl>
    <w:lvl w:ilvl="2" w:tplc="0C09001B" w:tentative="1">
      <w:start w:val="1"/>
      <w:numFmt w:val="lowerRoman"/>
      <w:lvlText w:val="%3."/>
      <w:lvlJc w:val="right"/>
      <w:pPr>
        <w:ind w:left="2874" w:hanging="180"/>
      </w:pPr>
    </w:lvl>
    <w:lvl w:ilvl="3" w:tplc="0C09000F" w:tentative="1">
      <w:start w:val="1"/>
      <w:numFmt w:val="decimal"/>
      <w:lvlText w:val="%4."/>
      <w:lvlJc w:val="left"/>
      <w:pPr>
        <w:ind w:left="3594" w:hanging="360"/>
      </w:pPr>
    </w:lvl>
    <w:lvl w:ilvl="4" w:tplc="0C090019" w:tentative="1">
      <w:start w:val="1"/>
      <w:numFmt w:val="lowerLetter"/>
      <w:lvlText w:val="%5."/>
      <w:lvlJc w:val="left"/>
      <w:pPr>
        <w:ind w:left="4314" w:hanging="360"/>
      </w:pPr>
    </w:lvl>
    <w:lvl w:ilvl="5" w:tplc="0C09001B" w:tentative="1">
      <w:start w:val="1"/>
      <w:numFmt w:val="lowerRoman"/>
      <w:lvlText w:val="%6."/>
      <w:lvlJc w:val="right"/>
      <w:pPr>
        <w:ind w:left="5034" w:hanging="180"/>
      </w:pPr>
    </w:lvl>
    <w:lvl w:ilvl="6" w:tplc="0C09000F" w:tentative="1">
      <w:start w:val="1"/>
      <w:numFmt w:val="decimal"/>
      <w:lvlText w:val="%7."/>
      <w:lvlJc w:val="left"/>
      <w:pPr>
        <w:ind w:left="5754" w:hanging="360"/>
      </w:pPr>
    </w:lvl>
    <w:lvl w:ilvl="7" w:tplc="0C090019" w:tentative="1">
      <w:start w:val="1"/>
      <w:numFmt w:val="lowerLetter"/>
      <w:lvlText w:val="%8."/>
      <w:lvlJc w:val="left"/>
      <w:pPr>
        <w:ind w:left="6474" w:hanging="360"/>
      </w:pPr>
    </w:lvl>
    <w:lvl w:ilvl="8" w:tplc="0C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 w15:restartNumberingAfterBreak="0">
    <w:nsid w:val="357D4695"/>
    <w:multiLevelType w:val="hybridMultilevel"/>
    <w:tmpl w:val="2E666274"/>
    <w:lvl w:ilvl="0" w:tplc="534CDACA">
      <w:start w:val="1"/>
      <w:numFmt w:val="bullet"/>
      <w:pStyle w:val="ListBullet3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hint="default"/>
        <w:b w:val="0"/>
        <w:i w:val="0"/>
        <w:color w:val="000000" w:themeColor="text1"/>
        <w:sz w:val="16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505C1821"/>
    <w:multiLevelType w:val="hybridMultilevel"/>
    <w:tmpl w:val="A1C22A2A"/>
    <w:lvl w:ilvl="0" w:tplc="55BEC886">
      <w:start w:val="1"/>
      <w:numFmt w:val="bullet"/>
      <w:pStyle w:val="List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E79B5"/>
    <w:multiLevelType w:val="hybridMultilevel"/>
    <w:tmpl w:val="23F6EB12"/>
    <w:lvl w:ilvl="0" w:tplc="F3D00BA6">
      <w:start w:val="1"/>
      <w:numFmt w:val="bullet"/>
      <w:pStyle w:val="ListBullet2"/>
      <w:lvlText w:val="—"/>
      <w:lvlJc w:val="left"/>
      <w:pPr>
        <w:tabs>
          <w:tab w:val="num" w:pos="714"/>
        </w:tabs>
        <w:ind w:left="714" w:hanging="357"/>
      </w:pPr>
      <w:rPr>
        <w:rFonts w:ascii="Public Sans Light" w:hAnsi="Public Sans Light" w:cs="Times New Roman" w:hint="default"/>
        <w:b w:val="0"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703441E8"/>
    <w:multiLevelType w:val="hybridMultilevel"/>
    <w:tmpl w:val="40A69C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362954">
    <w:abstractNumId w:val="4"/>
  </w:num>
  <w:num w:numId="2" w16cid:durableId="871919322">
    <w:abstractNumId w:val="5"/>
  </w:num>
  <w:num w:numId="3" w16cid:durableId="265428377">
    <w:abstractNumId w:val="3"/>
  </w:num>
  <w:num w:numId="4" w16cid:durableId="1525944155">
    <w:abstractNumId w:val="0"/>
  </w:num>
  <w:num w:numId="5" w16cid:durableId="487402734">
    <w:abstractNumId w:val="2"/>
  </w:num>
  <w:num w:numId="6" w16cid:durableId="1306157818">
    <w:abstractNumId w:val="1"/>
  </w:num>
  <w:num w:numId="7" w16cid:durableId="1560048215">
    <w:abstractNumId w:val="1"/>
    <w:lvlOverride w:ilvl="0">
      <w:startOverride w:val="1"/>
    </w:lvlOverride>
  </w:num>
  <w:num w:numId="8" w16cid:durableId="1684549027">
    <w:abstractNumId w:val="0"/>
    <w:lvlOverride w:ilvl="0">
      <w:startOverride w:val="1"/>
    </w:lvlOverride>
  </w:num>
  <w:num w:numId="9" w16cid:durableId="1539507736">
    <w:abstractNumId w:val="2"/>
    <w:lvlOverride w:ilvl="0">
      <w:startOverride w:val="1"/>
    </w:lvlOverride>
  </w:num>
  <w:num w:numId="10" w16cid:durableId="563562029">
    <w:abstractNumId w:val="4"/>
  </w:num>
  <w:num w:numId="11" w16cid:durableId="1406681167">
    <w:abstractNumId w:val="1"/>
  </w:num>
  <w:num w:numId="12" w16cid:durableId="1196311767">
    <w:abstractNumId w:val="5"/>
  </w:num>
  <w:num w:numId="13" w16cid:durableId="423065916">
    <w:abstractNumId w:val="3"/>
  </w:num>
  <w:num w:numId="14" w16cid:durableId="1555431906">
    <w:abstractNumId w:val="0"/>
  </w:num>
  <w:num w:numId="15" w16cid:durableId="72624916">
    <w:abstractNumId w:val="2"/>
  </w:num>
  <w:num w:numId="16" w16cid:durableId="2097163878">
    <w:abstractNumId w:val="5"/>
  </w:num>
  <w:num w:numId="17" w16cid:durableId="1888103601">
    <w:abstractNumId w:val="3"/>
  </w:num>
  <w:num w:numId="18" w16cid:durableId="1231038896">
    <w:abstractNumId w:val="4"/>
  </w:num>
  <w:num w:numId="19" w16cid:durableId="826243363">
    <w:abstractNumId w:val="0"/>
  </w:num>
  <w:num w:numId="20" w16cid:durableId="1663463645">
    <w:abstractNumId w:val="2"/>
  </w:num>
  <w:num w:numId="21" w16cid:durableId="231236848">
    <w:abstractNumId w:val="1"/>
  </w:num>
  <w:num w:numId="22" w16cid:durableId="1489399718">
    <w:abstractNumId w:val="4"/>
    <w:lvlOverride w:ilvl="0">
      <w:startOverride w:val="1"/>
    </w:lvlOverride>
  </w:num>
  <w:num w:numId="23" w16cid:durableId="820082096">
    <w:abstractNumId w:val="5"/>
    <w:lvlOverride w:ilvl="0">
      <w:startOverride w:val="1"/>
    </w:lvlOverride>
  </w:num>
  <w:num w:numId="24" w16cid:durableId="1209103268">
    <w:abstractNumId w:val="3"/>
    <w:lvlOverride w:ilvl="0">
      <w:startOverride w:val="1"/>
    </w:lvlOverride>
  </w:num>
  <w:num w:numId="25" w16cid:durableId="2021393611">
    <w:abstractNumId w:val="4"/>
  </w:num>
  <w:num w:numId="26" w16cid:durableId="782190099">
    <w:abstractNumId w:val="1"/>
  </w:num>
  <w:num w:numId="27" w16cid:durableId="1711297513">
    <w:abstractNumId w:val="1"/>
    <w:lvlOverride w:ilvl="0">
      <w:startOverride w:val="1"/>
    </w:lvlOverride>
  </w:num>
  <w:num w:numId="28" w16cid:durableId="5912604">
    <w:abstractNumId w:val="1"/>
    <w:lvlOverride w:ilvl="0">
      <w:startOverride w:val="1"/>
    </w:lvlOverride>
  </w:num>
  <w:num w:numId="29" w16cid:durableId="1756977030">
    <w:abstractNumId w:val="0"/>
    <w:lvlOverride w:ilvl="0">
      <w:startOverride w:val="1"/>
    </w:lvlOverride>
  </w:num>
  <w:num w:numId="30" w16cid:durableId="126898441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AA7"/>
    <w:rsid w:val="0000020E"/>
    <w:rsid w:val="00002C93"/>
    <w:rsid w:val="000030A8"/>
    <w:rsid w:val="000100A3"/>
    <w:rsid w:val="000106AC"/>
    <w:rsid w:val="00011994"/>
    <w:rsid w:val="000160E6"/>
    <w:rsid w:val="00016268"/>
    <w:rsid w:val="00025E7F"/>
    <w:rsid w:val="00026828"/>
    <w:rsid w:val="00030C2E"/>
    <w:rsid w:val="00030FD2"/>
    <w:rsid w:val="000319D3"/>
    <w:rsid w:val="000319DF"/>
    <w:rsid w:val="00033066"/>
    <w:rsid w:val="000369F8"/>
    <w:rsid w:val="00042ED7"/>
    <w:rsid w:val="00046ACD"/>
    <w:rsid w:val="0005359F"/>
    <w:rsid w:val="0005618A"/>
    <w:rsid w:val="000829D3"/>
    <w:rsid w:val="000963D6"/>
    <w:rsid w:val="0009764F"/>
    <w:rsid w:val="000A065F"/>
    <w:rsid w:val="000A3A88"/>
    <w:rsid w:val="000A74B6"/>
    <w:rsid w:val="000B7EF6"/>
    <w:rsid w:val="000C34C5"/>
    <w:rsid w:val="000C4D14"/>
    <w:rsid w:val="000C7700"/>
    <w:rsid w:val="000D6B77"/>
    <w:rsid w:val="000E0F87"/>
    <w:rsid w:val="00102061"/>
    <w:rsid w:val="001048D6"/>
    <w:rsid w:val="001106A0"/>
    <w:rsid w:val="00111775"/>
    <w:rsid w:val="00124A5B"/>
    <w:rsid w:val="001260C7"/>
    <w:rsid w:val="0013204F"/>
    <w:rsid w:val="0013421B"/>
    <w:rsid w:val="00135F60"/>
    <w:rsid w:val="001403BF"/>
    <w:rsid w:val="0014157C"/>
    <w:rsid w:val="001419CE"/>
    <w:rsid w:val="00144F93"/>
    <w:rsid w:val="001455B6"/>
    <w:rsid w:val="001467C3"/>
    <w:rsid w:val="0015035F"/>
    <w:rsid w:val="00150CAE"/>
    <w:rsid w:val="001554D7"/>
    <w:rsid w:val="00161785"/>
    <w:rsid w:val="00162093"/>
    <w:rsid w:val="001631AD"/>
    <w:rsid w:val="00163D68"/>
    <w:rsid w:val="00163DF6"/>
    <w:rsid w:val="001668B1"/>
    <w:rsid w:val="00171A0C"/>
    <w:rsid w:val="001728CA"/>
    <w:rsid w:val="00173F70"/>
    <w:rsid w:val="001800FA"/>
    <w:rsid w:val="001815F4"/>
    <w:rsid w:val="001821A3"/>
    <w:rsid w:val="00184301"/>
    <w:rsid w:val="00186697"/>
    <w:rsid w:val="00193D21"/>
    <w:rsid w:val="001945EC"/>
    <w:rsid w:val="001963C2"/>
    <w:rsid w:val="00196D6C"/>
    <w:rsid w:val="001A186C"/>
    <w:rsid w:val="001A3CFA"/>
    <w:rsid w:val="001A628B"/>
    <w:rsid w:val="001B0831"/>
    <w:rsid w:val="001C0651"/>
    <w:rsid w:val="001C2AD2"/>
    <w:rsid w:val="001D0210"/>
    <w:rsid w:val="001D4825"/>
    <w:rsid w:val="001D4C98"/>
    <w:rsid w:val="001D754D"/>
    <w:rsid w:val="001E04AA"/>
    <w:rsid w:val="001E0762"/>
    <w:rsid w:val="001E0C83"/>
    <w:rsid w:val="001E62B7"/>
    <w:rsid w:val="001E7931"/>
    <w:rsid w:val="001F757C"/>
    <w:rsid w:val="001F7B79"/>
    <w:rsid w:val="00207509"/>
    <w:rsid w:val="00211023"/>
    <w:rsid w:val="00216B6C"/>
    <w:rsid w:val="00224DDA"/>
    <w:rsid w:val="00233115"/>
    <w:rsid w:val="00236E37"/>
    <w:rsid w:val="002409AB"/>
    <w:rsid w:val="002432E9"/>
    <w:rsid w:val="00246190"/>
    <w:rsid w:val="00247B09"/>
    <w:rsid w:val="002530BB"/>
    <w:rsid w:val="002605EC"/>
    <w:rsid w:val="00262045"/>
    <w:rsid w:val="00274B76"/>
    <w:rsid w:val="00275F0C"/>
    <w:rsid w:val="0027645B"/>
    <w:rsid w:val="00276A3B"/>
    <w:rsid w:val="00280506"/>
    <w:rsid w:val="00284DA5"/>
    <w:rsid w:val="00287597"/>
    <w:rsid w:val="002911EF"/>
    <w:rsid w:val="00292550"/>
    <w:rsid w:val="00297E89"/>
    <w:rsid w:val="002A251E"/>
    <w:rsid w:val="002A39DF"/>
    <w:rsid w:val="002B4952"/>
    <w:rsid w:val="002C4F01"/>
    <w:rsid w:val="002C4FBA"/>
    <w:rsid w:val="002C7806"/>
    <w:rsid w:val="002D06D6"/>
    <w:rsid w:val="002D0FCF"/>
    <w:rsid w:val="002D615C"/>
    <w:rsid w:val="002D78C8"/>
    <w:rsid w:val="002D7A8C"/>
    <w:rsid w:val="002E21BD"/>
    <w:rsid w:val="002E235A"/>
    <w:rsid w:val="002E34BF"/>
    <w:rsid w:val="002F54E8"/>
    <w:rsid w:val="00305D69"/>
    <w:rsid w:val="0030656B"/>
    <w:rsid w:val="00316B63"/>
    <w:rsid w:val="003173D2"/>
    <w:rsid w:val="003226D8"/>
    <w:rsid w:val="00324E0D"/>
    <w:rsid w:val="003266CA"/>
    <w:rsid w:val="00326B78"/>
    <w:rsid w:val="00332670"/>
    <w:rsid w:val="00332DBA"/>
    <w:rsid w:val="00333458"/>
    <w:rsid w:val="00340CA0"/>
    <w:rsid w:val="00343BB5"/>
    <w:rsid w:val="003450AA"/>
    <w:rsid w:val="003452A6"/>
    <w:rsid w:val="003503CC"/>
    <w:rsid w:val="003522CE"/>
    <w:rsid w:val="003542E1"/>
    <w:rsid w:val="00357235"/>
    <w:rsid w:val="00360042"/>
    <w:rsid w:val="00366964"/>
    <w:rsid w:val="00370677"/>
    <w:rsid w:val="00370A66"/>
    <w:rsid w:val="00371F6A"/>
    <w:rsid w:val="0037399B"/>
    <w:rsid w:val="00373E19"/>
    <w:rsid w:val="00376323"/>
    <w:rsid w:val="00383037"/>
    <w:rsid w:val="00387695"/>
    <w:rsid w:val="003A0A0D"/>
    <w:rsid w:val="003A44F5"/>
    <w:rsid w:val="003B17A1"/>
    <w:rsid w:val="003B19B3"/>
    <w:rsid w:val="003B523A"/>
    <w:rsid w:val="003B59F9"/>
    <w:rsid w:val="003C3E43"/>
    <w:rsid w:val="003C40DA"/>
    <w:rsid w:val="003C5BB1"/>
    <w:rsid w:val="003D557D"/>
    <w:rsid w:val="003E530F"/>
    <w:rsid w:val="003F2324"/>
    <w:rsid w:val="003F2482"/>
    <w:rsid w:val="003F5577"/>
    <w:rsid w:val="004020F6"/>
    <w:rsid w:val="00402E8F"/>
    <w:rsid w:val="00403322"/>
    <w:rsid w:val="004043CC"/>
    <w:rsid w:val="0040461B"/>
    <w:rsid w:val="00404B96"/>
    <w:rsid w:val="00414BBA"/>
    <w:rsid w:val="0042374C"/>
    <w:rsid w:val="00423FF7"/>
    <w:rsid w:val="0043431C"/>
    <w:rsid w:val="0043445D"/>
    <w:rsid w:val="00434A59"/>
    <w:rsid w:val="00437204"/>
    <w:rsid w:val="004377BB"/>
    <w:rsid w:val="004412A4"/>
    <w:rsid w:val="004412A6"/>
    <w:rsid w:val="00442D54"/>
    <w:rsid w:val="0045338A"/>
    <w:rsid w:val="004609D1"/>
    <w:rsid w:val="00461B8C"/>
    <w:rsid w:val="0046368D"/>
    <w:rsid w:val="00465909"/>
    <w:rsid w:val="00473FB7"/>
    <w:rsid w:val="004747A0"/>
    <w:rsid w:val="00475E3A"/>
    <w:rsid w:val="00482C64"/>
    <w:rsid w:val="00482E74"/>
    <w:rsid w:val="00491CFA"/>
    <w:rsid w:val="00492394"/>
    <w:rsid w:val="00494710"/>
    <w:rsid w:val="00496F42"/>
    <w:rsid w:val="004978AD"/>
    <w:rsid w:val="004A4836"/>
    <w:rsid w:val="004A6226"/>
    <w:rsid w:val="004B0EE6"/>
    <w:rsid w:val="004B19B4"/>
    <w:rsid w:val="004B48EB"/>
    <w:rsid w:val="004B63AC"/>
    <w:rsid w:val="004B73BD"/>
    <w:rsid w:val="004C02EC"/>
    <w:rsid w:val="004C0FF5"/>
    <w:rsid w:val="004C1A21"/>
    <w:rsid w:val="004C35B2"/>
    <w:rsid w:val="004D1302"/>
    <w:rsid w:val="004D152B"/>
    <w:rsid w:val="004D2D5C"/>
    <w:rsid w:val="004D5BE5"/>
    <w:rsid w:val="004E225E"/>
    <w:rsid w:val="004E2B21"/>
    <w:rsid w:val="004E454F"/>
    <w:rsid w:val="004F37B7"/>
    <w:rsid w:val="004F4880"/>
    <w:rsid w:val="004F6D4C"/>
    <w:rsid w:val="004F77CB"/>
    <w:rsid w:val="00500AA7"/>
    <w:rsid w:val="00500B67"/>
    <w:rsid w:val="00501F04"/>
    <w:rsid w:val="005117E3"/>
    <w:rsid w:val="00514A1E"/>
    <w:rsid w:val="005171C1"/>
    <w:rsid w:val="00520735"/>
    <w:rsid w:val="00530A05"/>
    <w:rsid w:val="0053238E"/>
    <w:rsid w:val="00534EB6"/>
    <w:rsid w:val="005376CA"/>
    <w:rsid w:val="00541464"/>
    <w:rsid w:val="00542E6F"/>
    <w:rsid w:val="00544641"/>
    <w:rsid w:val="00544E33"/>
    <w:rsid w:val="00544E58"/>
    <w:rsid w:val="00550F70"/>
    <w:rsid w:val="00560F6E"/>
    <w:rsid w:val="00562C19"/>
    <w:rsid w:val="0056309E"/>
    <w:rsid w:val="005668BE"/>
    <w:rsid w:val="00573306"/>
    <w:rsid w:val="00574907"/>
    <w:rsid w:val="005758D2"/>
    <w:rsid w:val="0058126B"/>
    <w:rsid w:val="0058194F"/>
    <w:rsid w:val="00586CF7"/>
    <w:rsid w:val="0059207E"/>
    <w:rsid w:val="00594DAC"/>
    <w:rsid w:val="00595377"/>
    <w:rsid w:val="005A1041"/>
    <w:rsid w:val="005A3365"/>
    <w:rsid w:val="005A3D3C"/>
    <w:rsid w:val="005A4D28"/>
    <w:rsid w:val="005B2F8C"/>
    <w:rsid w:val="005C302B"/>
    <w:rsid w:val="005C42C0"/>
    <w:rsid w:val="005C5152"/>
    <w:rsid w:val="005C618D"/>
    <w:rsid w:val="005C77A7"/>
    <w:rsid w:val="005C7C60"/>
    <w:rsid w:val="005D2D7A"/>
    <w:rsid w:val="005D42B2"/>
    <w:rsid w:val="005D66AB"/>
    <w:rsid w:val="005E04AB"/>
    <w:rsid w:val="005E549F"/>
    <w:rsid w:val="005E5EC0"/>
    <w:rsid w:val="005F1786"/>
    <w:rsid w:val="005F252B"/>
    <w:rsid w:val="005F4E21"/>
    <w:rsid w:val="005F7889"/>
    <w:rsid w:val="006048D7"/>
    <w:rsid w:val="00610A2D"/>
    <w:rsid w:val="006141E5"/>
    <w:rsid w:val="00624351"/>
    <w:rsid w:val="00640A75"/>
    <w:rsid w:val="00643642"/>
    <w:rsid w:val="00647DBD"/>
    <w:rsid w:val="006519D7"/>
    <w:rsid w:val="00657CE3"/>
    <w:rsid w:val="0066322D"/>
    <w:rsid w:val="00672942"/>
    <w:rsid w:val="006751EC"/>
    <w:rsid w:val="006A4702"/>
    <w:rsid w:val="006A53A5"/>
    <w:rsid w:val="006A53BA"/>
    <w:rsid w:val="006B1D31"/>
    <w:rsid w:val="006B3A51"/>
    <w:rsid w:val="006B423C"/>
    <w:rsid w:val="006B50C0"/>
    <w:rsid w:val="006B6339"/>
    <w:rsid w:val="006B7139"/>
    <w:rsid w:val="006C4799"/>
    <w:rsid w:val="006C5F4C"/>
    <w:rsid w:val="006C5FD2"/>
    <w:rsid w:val="006D2FD4"/>
    <w:rsid w:val="006D64E0"/>
    <w:rsid w:val="006D6ABA"/>
    <w:rsid w:val="006E1919"/>
    <w:rsid w:val="006E1E20"/>
    <w:rsid w:val="006E4A18"/>
    <w:rsid w:val="006E5A44"/>
    <w:rsid w:val="006E76C9"/>
    <w:rsid w:val="006E79DB"/>
    <w:rsid w:val="006F1B7B"/>
    <w:rsid w:val="006F4699"/>
    <w:rsid w:val="00705E32"/>
    <w:rsid w:val="0071665D"/>
    <w:rsid w:val="0072008C"/>
    <w:rsid w:val="00722529"/>
    <w:rsid w:val="00740716"/>
    <w:rsid w:val="00742F66"/>
    <w:rsid w:val="007432AD"/>
    <w:rsid w:val="00746C9F"/>
    <w:rsid w:val="007506B4"/>
    <w:rsid w:val="007515EA"/>
    <w:rsid w:val="00754DD8"/>
    <w:rsid w:val="0076385B"/>
    <w:rsid w:val="00763C24"/>
    <w:rsid w:val="007649A1"/>
    <w:rsid w:val="00766579"/>
    <w:rsid w:val="00773649"/>
    <w:rsid w:val="007772E3"/>
    <w:rsid w:val="00785B2A"/>
    <w:rsid w:val="00790147"/>
    <w:rsid w:val="00790E91"/>
    <w:rsid w:val="0079383C"/>
    <w:rsid w:val="007A0B4D"/>
    <w:rsid w:val="007A2961"/>
    <w:rsid w:val="007A3BC4"/>
    <w:rsid w:val="007A40B2"/>
    <w:rsid w:val="007A4A79"/>
    <w:rsid w:val="007A7FA3"/>
    <w:rsid w:val="007B67D7"/>
    <w:rsid w:val="007B75E6"/>
    <w:rsid w:val="007C2CF7"/>
    <w:rsid w:val="007C7436"/>
    <w:rsid w:val="007D00D3"/>
    <w:rsid w:val="007D2C4E"/>
    <w:rsid w:val="007D559B"/>
    <w:rsid w:val="007E3FA7"/>
    <w:rsid w:val="007E4B9B"/>
    <w:rsid w:val="007E51BF"/>
    <w:rsid w:val="007F31F9"/>
    <w:rsid w:val="007F3BE1"/>
    <w:rsid w:val="007F661A"/>
    <w:rsid w:val="007F6D16"/>
    <w:rsid w:val="00802278"/>
    <w:rsid w:val="00802606"/>
    <w:rsid w:val="00804E77"/>
    <w:rsid w:val="00805FCF"/>
    <w:rsid w:val="008126E9"/>
    <w:rsid w:val="00821F7E"/>
    <w:rsid w:val="00822D56"/>
    <w:rsid w:val="008274FF"/>
    <w:rsid w:val="00830E42"/>
    <w:rsid w:val="00836860"/>
    <w:rsid w:val="008375CE"/>
    <w:rsid w:val="0084244C"/>
    <w:rsid w:val="0084309C"/>
    <w:rsid w:val="008433D6"/>
    <w:rsid w:val="00844238"/>
    <w:rsid w:val="0084510E"/>
    <w:rsid w:val="00852196"/>
    <w:rsid w:val="00852D1C"/>
    <w:rsid w:val="0086224D"/>
    <w:rsid w:val="008645D7"/>
    <w:rsid w:val="00864B67"/>
    <w:rsid w:val="008667B1"/>
    <w:rsid w:val="0087593C"/>
    <w:rsid w:val="008864B8"/>
    <w:rsid w:val="00892C80"/>
    <w:rsid w:val="00894241"/>
    <w:rsid w:val="0089447F"/>
    <w:rsid w:val="00897AAA"/>
    <w:rsid w:val="00897B7A"/>
    <w:rsid w:val="008A3999"/>
    <w:rsid w:val="008B7327"/>
    <w:rsid w:val="008C2B5F"/>
    <w:rsid w:val="008C4C11"/>
    <w:rsid w:val="008C5F0D"/>
    <w:rsid w:val="008D5DC7"/>
    <w:rsid w:val="008D5F35"/>
    <w:rsid w:val="008D6CEE"/>
    <w:rsid w:val="008E2561"/>
    <w:rsid w:val="008E262F"/>
    <w:rsid w:val="008E6EBB"/>
    <w:rsid w:val="008F571B"/>
    <w:rsid w:val="008F671A"/>
    <w:rsid w:val="009022C6"/>
    <w:rsid w:val="00905970"/>
    <w:rsid w:val="00907377"/>
    <w:rsid w:val="00907483"/>
    <w:rsid w:val="00911595"/>
    <w:rsid w:val="00911FE7"/>
    <w:rsid w:val="00914F51"/>
    <w:rsid w:val="00915A6D"/>
    <w:rsid w:val="00921FD3"/>
    <w:rsid w:val="009220D7"/>
    <w:rsid w:val="00926F5D"/>
    <w:rsid w:val="00931697"/>
    <w:rsid w:val="00934B1C"/>
    <w:rsid w:val="0093753B"/>
    <w:rsid w:val="00940A26"/>
    <w:rsid w:val="00942939"/>
    <w:rsid w:val="0094365D"/>
    <w:rsid w:val="00944B55"/>
    <w:rsid w:val="00946C9F"/>
    <w:rsid w:val="009520A0"/>
    <w:rsid w:val="00952F49"/>
    <w:rsid w:val="009561F7"/>
    <w:rsid w:val="00956C67"/>
    <w:rsid w:val="00957BDD"/>
    <w:rsid w:val="0096220F"/>
    <w:rsid w:val="00973604"/>
    <w:rsid w:val="009820AF"/>
    <w:rsid w:val="00983DB2"/>
    <w:rsid w:val="00986B43"/>
    <w:rsid w:val="00992EEC"/>
    <w:rsid w:val="00992F13"/>
    <w:rsid w:val="009931E1"/>
    <w:rsid w:val="00994AF2"/>
    <w:rsid w:val="009950D3"/>
    <w:rsid w:val="009977D9"/>
    <w:rsid w:val="00997A69"/>
    <w:rsid w:val="00997B05"/>
    <w:rsid w:val="009A31A2"/>
    <w:rsid w:val="009B0C2F"/>
    <w:rsid w:val="009B15CE"/>
    <w:rsid w:val="009B315B"/>
    <w:rsid w:val="009B5355"/>
    <w:rsid w:val="009B7829"/>
    <w:rsid w:val="009C163C"/>
    <w:rsid w:val="009C3D05"/>
    <w:rsid w:val="009C5090"/>
    <w:rsid w:val="009D6CFB"/>
    <w:rsid w:val="009F14B2"/>
    <w:rsid w:val="00A00CBC"/>
    <w:rsid w:val="00A05561"/>
    <w:rsid w:val="00A12D64"/>
    <w:rsid w:val="00A1505C"/>
    <w:rsid w:val="00A165AF"/>
    <w:rsid w:val="00A20D01"/>
    <w:rsid w:val="00A20DBA"/>
    <w:rsid w:val="00A23287"/>
    <w:rsid w:val="00A247A6"/>
    <w:rsid w:val="00A263B1"/>
    <w:rsid w:val="00A32BF1"/>
    <w:rsid w:val="00A32CAE"/>
    <w:rsid w:val="00A41201"/>
    <w:rsid w:val="00A42E9D"/>
    <w:rsid w:val="00A5765A"/>
    <w:rsid w:val="00A66AB0"/>
    <w:rsid w:val="00A7358D"/>
    <w:rsid w:val="00A75153"/>
    <w:rsid w:val="00A762DA"/>
    <w:rsid w:val="00A76A97"/>
    <w:rsid w:val="00A76E76"/>
    <w:rsid w:val="00A84C91"/>
    <w:rsid w:val="00AA410E"/>
    <w:rsid w:val="00AA591D"/>
    <w:rsid w:val="00AB1AAA"/>
    <w:rsid w:val="00AB27C8"/>
    <w:rsid w:val="00AB5A7D"/>
    <w:rsid w:val="00AB7435"/>
    <w:rsid w:val="00AC17F8"/>
    <w:rsid w:val="00AC5770"/>
    <w:rsid w:val="00AC6DF0"/>
    <w:rsid w:val="00AD0379"/>
    <w:rsid w:val="00AD053A"/>
    <w:rsid w:val="00AD2763"/>
    <w:rsid w:val="00AD783A"/>
    <w:rsid w:val="00AE51F8"/>
    <w:rsid w:val="00AE62E2"/>
    <w:rsid w:val="00AE6A1F"/>
    <w:rsid w:val="00AF2046"/>
    <w:rsid w:val="00AF33A6"/>
    <w:rsid w:val="00AF4937"/>
    <w:rsid w:val="00AF7E94"/>
    <w:rsid w:val="00B04FAF"/>
    <w:rsid w:val="00B05DC2"/>
    <w:rsid w:val="00B076C0"/>
    <w:rsid w:val="00B1005A"/>
    <w:rsid w:val="00B17909"/>
    <w:rsid w:val="00B20BE0"/>
    <w:rsid w:val="00B21ED9"/>
    <w:rsid w:val="00B2245E"/>
    <w:rsid w:val="00B269E7"/>
    <w:rsid w:val="00B33A2D"/>
    <w:rsid w:val="00B366F4"/>
    <w:rsid w:val="00B373A3"/>
    <w:rsid w:val="00B37EEA"/>
    <w:rsid w:val="00B4618E"/>
    <w:rsid w:val="00B5061C"/>
    <w:rsid w:val="00B559CC"/>
    <w:rsid w:val="00B5628B"/>
    <w:rsid w:val="00B83A9B"/>
    <w:rsid w:val="00B8774E"/>
    <w:rsid w:val="00B91AC1"/>
    <w:rsid w:val="00B94730"/>
    <w:rsid w:val="00BA087C"/>
    <w:rsid w:val="00BA2B93"/>
    <w:rsid w:val="00BA4AF8"/>
    <w:rsid w:val="00BA4D15"/>
    <w:rsid w:val="00BB00A2"/>
    <w:rsid w:val="00BB126F"/>
    <w:rsid w:val="00BB5A2E"/>
    <w:rsid w:val="00BB5E96"/>
    <w:rsid w:val="00BB6571"/>
    <w:rsid w:val="00BC2680"/>
    <w:rsid w:val="00BC2AE3"/>
    <w:rsid w:val="00BC2C2E"/>
    <w:rsid w:val="00BC303F"/>
    <w:rsid w:val="00BC38E2"/>
    <w:rsid w:val="00BC5CD6"/>
    <w:rsid w:val="00BC6216"/>
    <w:rsid w:val="00BC6ADB"/>
    <w:rsid w:val="00BD5B4B"/>
    <w:rsid w:val="00BD5BB9"/>
    <w:rsid w:val="00BD6F06"/>
    <w:rsid w:val="00BE02CE"/>
    <w:rsid w:val="00BE3982"/>
    <w:rsid w:val="00BE3F7B"/>
    <w:rsid w:val="00BF2D20"/>
    <w:rsid w:val="00BF3ECB"/>
    <w:rsid w:val="00BF6EB7"/>
    <w:rsid w:val="00BF7033"/>
    <w:rsid w:val="00C05CFB"/>
    <w:rsid w:val="00C05E58"/>
    <w:rsid w:val="00C07EAB"/>
    <w:rsid w:val="00C12988"/>
    <w:rsid w:val="00C1506D"/>
    <w:rsid w:val="00C15462"/>
    <w:rsid w:val="00C165A5"/>
    <w:rsid w:val="00C1730F"/>
    <w:rsid w:val="00C17355"/>
    <w:rsid w:val="00C26BF0"/>
    <w:rsid w:val="00C30927"/>
    <w:rsid w:val="00C31D1F"/>
    <w:rsid w:val="00C3455A"/>
    <w:rsid w:val="00C405A8"/>
    <w:rsid w:val="00C44C03"/>
    <w:rsid w:val="00C509DC"/>
    <w:rsid w:val="00C515B8"/>
    <w:rsid w:val="00C52929"/>
    <w:rsid w:val="00C52B28"/>
    <w:rsid w:val="00C570D1"/>
    <w:rsid w:val="00C572B1"/>
    <w:rsid w:val="00C578EF"/>
    <w:rsid w:val="00C620A4"/>
    <w:rsid w:val="00C62FCD"/>
    <w:rsid w:val="00C635F0"/>
    <w:rsid w:val="00C64023"/>
    <w:rsid w:val="00C649CD"/>
    <w:rsid w:val="00C65691"/>
    <w:rsid w:val="00C7040B"/>
    <w:rsid w:val="00C84E1F"/>
    <w:rsid w:val="00CA23DA"/>
    <w:rsid w:val="00CA4083"/>
    <w:rsid w:val="00CB3C7E"/>
    <w:rsid w:val="00CC0686"/>
    <w:rsid w:val="00CD179E"/>
    <w:rsid w:val="00CD40DE"/>
    <w:rsid w:val="00CD4B86"/>
    <w:rsid w:val="00CD6668"/>
    <w:rsid w:val="00CE00DA"/>
    <w:rsid w:val="00CE4725"/>
    <w:rsid w:val="00CE5E15"/>
    <w:rsid w:val="00CF2162"/>
    <w:rsid w:val="00CF652B"/>
    <w:rsid w:val="00CF7183"/>
    <w:rsid w:val="00D0131E"/>
    <w:rsid w:val="00D015E0"/>
    <w:rsid w:val="00D056F8"/>
    <w:rsid w:val="00D1583E"/>
    <w:rsid w:val="00D16E49"/>
    <w:rsid w:val="00D201E5"/>
    <w:rsid w:val="00D201EE"/>
    <w:rsid w:val="00D20F63"/>
    <w:rsid w:val="00D3139F"/>
    <w:rsid w:val="00D32A41"/>
    <w:rsid w:val="00D4026B"/>
    <w:rsid w:val="00D43B4A"/>
    <w:rsid w:val="00D4642D"/>
    <w:rsid w:val="00D4739F"/>
    <w:rsid w:val="00D47920"/>
    <w:rsid w:val="00D507EE"/>
    <w:rsid w:val="00D51B8A"/>
    <w:rsid w:val="00D5466F"/>
    <w:rsid w:val="00D55671"/>
    <w:rsid w:val="00D56B33"/>
    <w:rsid w:val="00D67134"/>
    <w:rsid w:val="00D70EBF"/>
    <w:rsid w:val="00D72644"/>
    <w:rsid w:val="00D82B7E"/>
    <w:rsid w:val="00D833D1"/>
    <w:rsid w:val="00D847B1"/>
    <w:rsid w:val="00D87EC4"/>
    <w:rsid w:val="00D91974"/>
    <w:rsid w:val="00D9229C"/>
    <w:rsid w:val="00D96F3A"/>
    <w:rsid w:val="00DA0CFA"/>
    <w:rsid w:val="00DA7F7A"/>
    <w:rsid w:val="00DB30BF"/>
    <w:rsid w:val="00DB74C4"/>
    <w:rsid w:val="00DB7BED"/>
    <w:rsid w:val="00DD3473"/>
    <w:rsid w:val="00DD372A"/>
    <w:rsid w:val="00DD502A"/>
    <w:rsid w:val="00DD7C2A"/>
    <w:rsid w:val="00DE001E"/>
    <w:rsid w:val="00DE360E"/>
    <w:rsid w:val="00DF11EE"/>
    <w:rsid w:val="00DF3D48"/>
    <w:rsid w:val="00DF4166"/>
    <w:rsid w:val="00DF4884"/>
    <w:rsid w:val="00E03D68"/>
    <w:rsid w:val="00E1175E"/>
    <w:rsid w:val="00E1351C"/>
    <w:rsid w:val="00E26B15"/>
    <w:rsid w:val="00E313D9"/>
    <w:rsid w:val="00E35D92"/>
    <w:rsid w:val="00E3751B"/>
    <w:rsid w:val="00E56242"/>
    <w:rsid w:val="00E62BCD"/>
    <w:rsid w:val="00E675BF"/>
    <w:rsid w:val="00E750C1"/>
    <w:rsid w:val="00E80FD1"/>
    <w:rsid w:val="00E81762"/>
    <w:rsid w:val="00E848D4"/>
    <w:rsid w:val="00E854ED"/>
    <w:rsid w:val="00E90E9E"/>
    <w:rsid w:val="00E92CE5"/>
    <w:rsid w:val="00E95CC9"/>
    <w:rsid w:val="00E96EBF"/>
    <w:rsid w:val="00EA0098"/>
    <w:rsid w:val="00EA016D"/>
    <w:rsid w:val="00EA186E"/>
    <w:rsid w:val="00EA1AD7"/>
    <w:rsid w:val="00EA2CFB"/>
    <w:rsid w:val="00EA5586"/>
    <w:rsid w:val="00EB443F"/>
    <w:rsid w:val="00EC0EE2"/>
    <w:rsid w:val="00EC152C"/>
    <w:rsid w:val="00EC1935"/>
    <w:rsid w:val="00EC72BA"/>
    <w:rsid w:val="00ED2859"/>
    <w:rsid w:val="00ED5FD6"/>
    <w:rsid w:val="00ED6454"/>
    <w:rsid w:val="00ED6A10"/>
    <w:rsid w:val="00ED7794"/>
    <w:rsid w:val="00EE2622"/>
    <w:rsid w:val="00EE3B0F"/>
    <w:rsid w:val="00EE77C6"/>
    <w:rsid w:val="00EF07A7"/>
    <w:rsid w:val="00EF1C2A"/>
    <w:rsid w:val="00EF3B12"/>
    <w:rsid w:val="00EF66A8"/>
    <w:rsid w:val="00EF7160"/>
    <w:rsid w:val="00F000F3"/>
    <w:rsid w:val="00F00AEF"/>
    <w:rsid w:val="00F06145"/>
    <w:rsid w:val="00F1307B"/>
    <w:rsid w:val="00F2157A"/>
    <w:rsid w:val="00F245B4"/>
    <w:rsid w:val="00F31B2D"/>
    <w:rsid w:val="00F32539"/>
    <w:rsid w:val="00F33936"/>
    <w:rsid w:val="00F35372"/>
    <w:rsid w:val="00F37E5F"/>
    <w:rsid w:val="00F50673"/>
    <w:rsid w:val="00F54B50"/>
    <w:rsid w:val="00F603E4"/>
    <w:rsid w:val="00F654C0"/>
    <w:rsid w:val="00F6553F"/>
    <w:rsid w:val="00F65C85"/>
    <w:rsid w:val="00F75C5B"/>
    <w:rsid w:val="00F80106"/>
    <w:rsid w:val="00F815D0"/>
    <w:rsid w:val="00F82311"/>
    <w:rsid w:val="00F83ECF"/>
    <w:rsid w:val="00F9078F"/>
    <w:rsid w:val="00F9422B"/>
    <w:rsid w:val="00FA0FC5"/>
    <w:rsid w:val="00FB65A9"/>
    <w:rsid w:val="00FC2D5A"/>
    <w:rsid w:val="00FC3449"/>
    <w:rsid w:val="00FC3DA8"/>
    <w:rsid w:val="00FC44CB"/>
    <w:rsid w:val="00FC6062"/>
    <w:rsid w:val="00FC792C"/>
    <w:rsid w:val="00FD3B1E"/>
    <w:rsid w:val="00FD687C"/>
    <w:rsid w:val="00FE00E5"/>
    <w:rsid w:val="00FE0C95"/>
    <w:rsid w:val="00FE13E3"/>
    <w:rsid w:val="00FE3150"/>
    <w:rsid w:val="00FE6260"/>
    <w:rsid w:val="00FF60C2"/>
    <w:rsid w:val="33B11923"/>
    <w:rsid w:val="68518AB6"/>
    <w:rsid w:val="710EC349"/>
    <w:rsid w:val="742F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6E3BA"/>
  <w15:chartTrackingRefBased/>
  <w15:docId w15:val="{9C84EBCB-4BB8-4DB4-A9A7-746A9CFA0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semiHidden="1" w:uiPriority="9" w:qFormat="1"/>
    <w:lsdException w:name="heading 9" w:semiHidden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2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0"/>
    <w:lsdException w:name="List Bullet" w:uiPriority="10" w:qFormat="1"/>
    <w:lsdException w:name="List Number" w:uiPriority="10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0" w:qFormat="1"/>
    <w:lsdException w:name="List Bullet 3" w:qFormat="1"/>
    <w:lsdException w:name="List Bullet 4" w:semiHidden="1"/>
    <w:lsdException w:name="List Bullet 5" w:semiHidden="1"/>
    <w:lsdException w:name="List Number 2" w:uiPriority="10" w:qFormat="1"/>
    <w:lsdException w:name="List Number 3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qFormat="1"/>
    <w:lsdException w:name="Emphasis" w:uiPriority="1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rsid w:val="00B04FAF"/>
    <w:pPr>
      <w:suppressAutoHyphens/>
      <w:spacing w:after="0" w:line="240" w:lineRule="auto"/>
    </w:pPr>
    <w:rPr>
      <w:rFonts w:ascii="Calibri" w:eastAsia="Calibri" w:hAnsi="Calibri" w:cs="Calibri"/>
      <w:color w:val="FF0000"/>
      <w:sz w:val="20"/>
      <w:szCs w:val="20"/>
    </w:rPr>
  </w:style>
  <w:style w:type="paragraph" w:styleId="Heading1">
    <w:name w:val="heading 1"/>
    <w:next w:val="BodyText"/>
    <w:link w:val="Heading1Char"/>
    <w:uiPriority w:val="9"/>
    <w:qFormat/>
    <w:rsid w:val="001F757C"/>
    <w:pPr>
      <w:keepNext/>
      <w:keepLines/>
      <w:suppressAutoHyphens/>
      <w:spacing w:after="0" w:line="240" w:lineRule="auto"/>
      <w:outlineLvl w:val="0"/>
    </w:pPr>
    <w:rPr>
      <w:color w:val="002664" w:themeColor="text2"/>
      <w:sz w:val="36"/>
    </w:rPr>
  </w:style>
  <w:style w:type="paragraph" w:styleId="Heading2">
    <w:name w:val="heading 2"/>
    <w:next w:val="BodyText"/>
    <w:link w:val="Heading2Char"/>
    <w:uiPriority w:val="9"/>
    <w:qFormat/>
    <w:rsid w:val="001F757C"/>
    <w:pPr>
      <w:keepNext/>
      <w:keepLines/>
      <w:suppressAutoHyphens/>
      <w:spacing w:before="240" w:after="240" w:line="240" w:lineRule="auto"/>
      <w:outlineLvl w:val="1"/>
    </w:pPr>
    <w:rPr>
      <w:color w:val="002664" w:themeColor="text2"/>
      <w:sz w:val="28"/>
    </w:rPr>
  </w:style>
  <w:style w:type="paragraph" w:styleId="Heading3">
    <w:name w:val="heading 3"/>
    <w:basedOn w:val="BodyText"/>
    <w:next w:val="BodyText"/>
    <w:link w:val="Heading3Char"/>
    <w:uiPriority w:val="9"/>
    <w:qFormat/>
    <w:rsid w:val="00207509"/>
    <w:pPr>
      <w:spacing w:before="300" w:after="120"/>
      <w:outlineLvl w:val="2"/>
    </w:pPr>
    <w:rPr>
      <w:rFonts w:asciiTheme="majorHAnsi" w:hAnsiTheme="majorHAnsi"/>
      <w:noProof/>
      <w:color w:val="002664" w:themeColor="text2"/>
      <w:sz w:val="24"/>
      <w:szCs w:val="24"/>
    </w:rPr>
  </w:style>
  <w:style w:type="paragraph" w:styleId="Heading4">
    <w:name w:val="heading 4"/>
    <w:next w:val="BodyText"/>
    <w:link w:val="Heading4Char"/>
    <w:uiPriority w:val="9"/>
    <w:rsid w:val="002C4FBA"/>
    <w:pPr>
      <w:keepNext/>
      <w:keepLines/>
      <w:suppressAutoHyphens/>
      <w:spacing w:before="120" w:after="120" w:line="240" w:lineRule="auto"/>
      <w:outlineLvl w:val="3"/>
    </w:pPr>
    <w:rPr>
      <w:rFonts w:asciiTheme="majorHAnsi" w:eastAsiaTheme="majorEastAsia" w:hAnsiTheme="majorHAnsi" w:cstheme="majorBidi"/>
      <w:iCs/>
      <w:color w:val="000000" w:themeColor="text1"/>
    </w:rPr>
  </w:style>
  <w:style w:type="paragraph" w:styleId="Heading5">
    <w:name w:val="heading 5"/>
    <w:next w:val="BodyText"/>
    <w:link w:val="Heading5Char"/>
    <w:uiPriority w:val="9"/>
    <w:semiHidden/>
    <w:rsid w:val="00BA087C"/>
    <w:pPr>
      <w:keepNext/>
      <w:keepLines/>
      <w:suppressAutoHyphens/>
      <w:spacing w:before="120" w:after="120" w:line="240" w:lineRule="auto"/>
      <w:outlineLvl w:val="4"/>
    </w:pPr>
    <w:rPr>
      <w:rFonts w:asciiTheme="majorHAnsi" w:eastAsiaTheme="majorEastAsia" w:hAnsiTheme="majorHAnsi" w:cstheme="majorBidi"/>
      <w:color w:val="CBEDFD" w:themeColor="background2"/>
    </w:rPr>
  </w:style>
  <w:style w:type="paragraph" w:styleId="Heading6">
    <w:name w:val="heading 6"/>
    <w:next w:val="BodyText"/>
    <w:link w:val="Heading6Char"/>
    <w:uiPriority w:val="9"/>
    <w:semiHidden/>
    <w:rsid w:val="004F77CB"/>
    <w:pPr>
      <w:keepLines/>
      <w:suppressAutoHyphens/>
      <w:spacing w:before="120" w:after="120"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000000" w:themeColor="text1"/>
    </w:rPr>
  </w:style>
  <w:style w:type="paragraph" w:styleId="Heading7">
    <w:name w:val="heading 7"/>
    <w:next w:val="BodyText"/>
    <w:link w:val="Heading7Char"/>
    <w:uiPriority w:val="9"/>
    <w:semiHidden/>
    <w:rsid w:val="004F77CB"/>
    <w:pPr>
      <w:keepLines/>
      <w:suppressAutoHyphens/>
      <w:spacing w:before="120" w:after="120"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7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4F77CB"/>
    <w:pPr>
      <w:spacing w:after="0" w:line="240" w:lineRule="auto"/>
    </w:pPr>
    <w:tblPr>
      <w:tblStyleRowBandSize w:val="1"/>
      <w:tblStyleColBandSize w:val="1"/>
      <w:tblBorders>
        <w:top w:val="single" w:sz="4" w:space="0" w:color="FFE2E5" w:themeColor="accent6" w:themeTint="66"/>
        <w:left w:val="single" w:sz="4" w:space="0" w:color="FFE2E5" w:themeColor="accent6" w:themeTint="66"/>
        <w:bottom w:val="single" w:sz="4" w:space="0" w:color="FFE2E5" w:themeColor="accent6" w:themeTint="66"/>
        <w:right w:val="single" w:sz="4" w:space="0" w:color="FFE2E5" w:themeColor="accent6" w:themeTint="66"/>
        <w:insideH w:val="single" w:sz="4" w:space="0" w:color="FFE2E5" w:themeColor="accent6" w:themeTint="66"/>
        <w:insideV w:val="single" w:sz="4" w:space="0" w:color="FFE2E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4D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4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basedOn w:val="Normal"/>
    <w:next w:val="Normal"/>
    <w:uiPriority w:val="39"/>
    <w:semiHidden/>
    <w:rsid w:val="004F77CB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4F77CB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4F77CB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4F77CB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4F77CB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4F77CB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4F77CB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4F77CB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4F77CB"/>
    <w:pPr>
      <w:spacing w:after="100"/>
      <w:ind w:left="1760"/>
    </w:pPr>
  </w:style>
  <w:style w:type="character" w:customStyle="1" w:styleId="Heading1Char">
    <w:name w:val="Heading 1 Char"/>
    <w:basedOn w:val="DefaultParagraphFont"/>
    <w:link w:val="Heading1"/>
    <w:uiPriority w:val="9"/>
    <w:rsid w:val="001F757C"/>
    <w:rPr>
      <w:color w:val="002664" w:themeColor="text2"/>
      <w:sz w:val="36"/>
    </w:rPr>
  </w:style>
  <w:style w:type="paragraph" w:styleId="TOCHeading">
    <w:name w:val="TOC Heading"/>
    <w:basedOn w:val="Heading1"/>
    <w:next w:val="Normal"/>
    <w:uiPriority w:val="39"/>
    <w:semiHidden/>
    <w:rsid w:val="004F77CB"/>
    <w:pPr>
      <w:outlineLvl w:val="9"/>
    </w:pPr>
  </w:style>
  <w:style w:type="paragraph" w:styleId="Index1">
    <w:name w:val="index 1"/>
    <w:basedOn w:val="Normal"/>
    <w:next w:val="Normal"/>
    <w:uiPriority w:val="99"/>
    <w:semiHidden/>
    <w:rsid w:val="004F77CB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4F77CB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4F77CB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4F77CB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4F77CB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4F77CB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4F77CB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4F77CB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4F77CB"/>
    <w:pPr>
      <w:ind w:left="1980" w:hanging="220"/>
    </w:pPr>
  </w:style>
  <w:style w:type="paragraph" w:styleId="Header">
    <w:name w:val="header"/>
    <w:link w:val="HeaderChar"/>
    <w:uiPriority w:val="99"/>
    <w:rsid w:val="00C165A5"/>
    <w:pPr>
      <w:suppressAutoHyphens/>
      <w:spacing w:after="240" w:line="240" w:lineRule="auto"/>
    </w:pPr>
    <w:rPr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165A5"/>
    <w:rPr>
      <w:color w:val="000000" w:themeColor="text1"/>
      <w:sz w:val="18"/>
    </w:rPr>
  </w:style>
  <w:style w:type="paragraph" w:styleId="Footer">
    <w:name w:val="footer"/>
    <w:aliases w:val="ŠFooter"/>
    <w:link w:val="FooterChar"/>
    <w:uiPriority w:val="99"/>
    <w:rsid w:val="004F6D4C"/>
    <w:pPr>
      <w:tabs>
        <w:tab w:val="left" w:pos="2552"/>
        <w:tab w:val="left" w:pos="6237"/>
        <w:tab w:val="right" w:pos="10206"/>
      </w:tabs>
      <w:suppressAutoHyphens/>
      <w:spacing w:before="120" w:after="120" w:line="240" w:lineRule="auto"/>
      <w:contextualSpacing/>
    </w:pPr>
    <w:rPr>
      <w:color w:val="000000" w:themeColor="text1"/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99"/>
    <w:rsid w:val="004F6D4C"/>
    <w:rPr>
      <w:color w:val="000000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4F77CB"/>
    <w:rPr>
      <w:color w:val="808080"/>
    </w:rPr>
  </w:style>
  <w:style w:type="paragraph" w:customStyle="1" w:styleId="DocumentType">
    <w:name w:val="Document Type"/>
    <w:next w:val="Heading1"/>
    <w:uiPriority w:val="2"/>
    <w:qFormat/>
    <w:rsid w:val="001F757C"/>
    <w:pPr>
      <w:suppressAutoHyphens/>
      <w:spacing w:before="360" w:after="0" w:line="240" w:lineRule="auto"/>
      <w:contextualSpacing/>
    </w:pPr>
    <w:rPr>
      <w:rFonts w:asciiTheme="majorHAnsi" w:hAnsiTheme="majorHAnsi"/>
      <w:color w:val="002664" w:themeColor="text2"/>
      <w:sz w:val="36"/>
    </w:rPr>
  </w:style>
  <w:style w:type="character" w:styleId="Emphasis">
    <w:name w:val="Emphasis"/>
    <w:aliases w:val="Italic"/>
    <w:basedOn w:val="DefaultParagraphFont"/>
    <w:uiPriority w:val="19"/>
    <w:qFormat/>
    <w:rsid w:val="004F77CB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4F77CB"/>
    <w:rPr>
      <w:b/>
      <w:bCs/>
    </w:rPr>
  </w:style>
  <w:style w:type="paragraph" w:styleId="ListBullet">
    <w:name w:val="List Bullet"/>
    <w:autoRedefine/>
    <w:uiPriority w:val="10"/>
    <w:qFormat/>
    <w:rsid w:val="00672942"/>
    <w:pPr>
      <w:numPr>
        <w:numId w:val="25"/>
      </w:numPr>
      <w:suppressAutoHyphens/>
      <w:spacing w:before="120" w:after="120" w:line="240" w:lineRule="auto"/>
    </w:pPr>
    <w:rPr>
      <w:rFonts w:eastAsia="Arial" w:cs="Arial"/>
      <w:color w:val="000000" w:themeColor="text1"/>
      <w:szCs w:val="20"/>
      <w:lang w:eastAsia="en-US"/>
    </w:rPr>
  </w:style>
  <w:style w:type="paragraph" w:styleId="ListNumber">
    <w:name w:val="List Number"/>
    <w:uiPriority w:val="10"/>
    <w:qFormat/>
    <w:rsid w:val="00672942"/>
    <w:pPr>
      <w:numPr>
        <w:numId w:val="26"/>
      </w:numPr>
      <w:suppressAutoHyphens/>
      <w:spacing w:before="120" w:after="120" w:line="240" w:lineRule="auto"/>
    </w:pPr>
    <w:rPr>
      <w:color w:val="000000" w:themeColor="text1"/>
    </w:rPr>
  </w:style>
  <w:style w:type="paragraph" w:styleId="FootnoteText">
    <w:name w:val="footnote text"/>
    <w:link w:val="FootnoteTextChar"/>
    <w:uiPriority w:val="99"/>
    <w:semiHidden/>
    <w:rsid w:val="004F77CB"/>
    <w:pPr>
      <w:spacing w:before="60" w:after="60" w:line="240" w:lineRule="auto"/>
    </w:pPr>
    <w:rPr>
      <w:color w:val="000000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7CB"/>
    <w:rPr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4F77CB"/>
    <w:rPr>
      <w:vertAlign w:val="superscript"/>
    </w:rPr>
  </w:style>
  <w:style w:type="paragraph" w:styleId="BodyText">
    <w:name w:val="Body Text"/>
    <w:link w:val="BodyTextChar"/>
    <w:qFormat/>
    <w:rsid w:val="008C4C11"/>
    <w:pPr>
      <w:suppressAutoHyphens/>
      <w:spacing w:before="120" w:line="240" w:lineRule="auto"/>
    </w:pPr>
    <w:rPr>
      <w:color w:val="000000" w:themeColor="text1"/>
      <w:spacing w:val="-2"/>
    </w:rPr>
  </w:style>
  <w:style w:type="character" w:customStyle="1" w:styleId="BodyTextChar">
    <w:name w:val="Body Text Char"/>
    <w:basedOn w:val="DefaultParagraphFont"/>
    <w:link w:val="BodyText"/>
    <w:rsid w:val="008C4C11"/>
    <w:rPr>
      <w:color w:val="000000" w:themeColor="text1"/>
      <w:spacing w:val="-2"/>
    </w:rPr>
  </w:style>
  <w:style w:type="character" w:customStyle="1" w:styleId="Heading2Char">
    <w:name w:val="Heading 2 Char"/>
    <w:basedOn w:val="DefaultParagraphFont"/>
    <w:link w:val="Heading2"/>
    <w:uiPriority w:val="9"/>
    <w:rsid w:val="001F757C"/>
    <w:rPr>
      <w:color w:val="002664" w:themeColor="text2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07509"/>
    <w:rPr>
      <w:rFonts w:asciiTheme="majorHAnsi" w:hAnsiTheme="majorHAnsi"/>
      <w:noProof/>
      <w:color w:val="002664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C4FBA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087C"/>
    <w:rPr>
      <w:rFonts w:asciiTheme="majorHAnsi" w:eastAsiaTheme="majorEastAsia" w:hAnsiTheme="majorHAnsi" w:cstheme="majorBidi"/>
      <w:color w:val="CBEDFD" w:themeColor="background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77CB"/>
    <w:rPr>
      <w:rFonts w:asciiTheme="majorHAnsi" w:eastAsiaTheme="majorEastAsia" w:hAnsiTheme="majorHAnsi" w:cstheme="majorBidi"/>
      <w:b/>
      <w:i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77CB"/>
    <w:rPr>
      <w:rFonts w:asciiTheme="majorHAnsi" w:eastAsiaTheme="majorEastAsia" w:hAnsiTheme="majorHAnsi" w:cstheme="majorBidi"/>
      <w:i/>
      <w:iCs/>
      <w:color w:val="000000" w:themeColor="text1"/>
    </w:rPr>
  </w:style>
  <w:style w:type="character" w:styleId="Hyperlink">
    <w:name w:val="Hyperlink"/>
    <w:basedOn w:val="DefaultParagraphFont"/>
    <w:uiPriority w:val="99"/>
    <w:rsid w:val="00672942"/>
    <w:rPr>
      <w:color w:val="002664" w:themeColor="text2"/>
      <w:u w:val="single"/>
    </w:rPr>
  </w:style>
  <w:style w:type="paragraph" w:styleId="ListBullet2">
    <w:name w:val="List Bullet 2"/>
    <w:uiPriority w:val="10"/>
    <w:qFormat/>
    <w:rsid w:val="00672942"/>
    <w:pPr>
      <w:numPr>
        <w:numId w:val="16"/>
      </w:numPr>
      <w:suppressAutoHyphens/>
      <w:spacing w:before="120" w:after="120" w:line="240" w:lineRule="auto"/>
    </w:pPr>
    <w:rPr>
      <w:rFonts w:eastAsia="Arial" w:cs="ArialMT"/>
      <w:color w:val="000000" w:themeColor="text1"/>
      <w:szCs w:val="24"/>
      <w:lang w:eastAsia="en-US"/>
    </w:rPr>
  </w:style>
  <w:style w:type="paragraph" w:styleId="ListBullet3">
    <w:name w:val="List Bullet 3"/>
    <w:uiPriority w:val="10"/>
    <w:qFormat/>
    <w:rsid w:val="0059207E"/>
    <w:pPr>
      <w:numPr>
        <w:numId w:val="17"/>
      </w:numPr>
      <w:suppressAutoHyphens/>
      <w:spacing w:before="120" w:after="120" w:line="240" w:lineRule="auto"/>
      <w:ind w:left="1071" w:hanging="357"/>
    </w:pPr>
    <w:rPr>
      <w:rFonts w:eastAsia="Arial" w:cs="Times New Roman"/>
      <w:color w:val="000000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4F77CB"/>
  </w:style>
  <w:style w:type="paragraph" w:styleId="ListNumber3">
    <w:name w:val="List Number 3"/>
    <w:uiPriority w:val="10"/>
    <w:qFormat/>
    <w:rsid w:val="00F54B50"/>
    <w:pPr>
      <w:numPr>
        <w:numId w:val="20"/>
      </w:numPr>
      <w:suppressAutoHyphens/>
      <w:spacing w:before="120" w:after="120" w:line="240" w:lineRule="auto"/>
      <w:ind w:left="1071" w:hanging="357"/>
    </w:pPr>
    <w:rPr>
      <w:rFonts w:eastAsia="Arial" w:cs="Times New Roman"/>
      <w:color w:val="000000" w:themeColor="text1"/>
      <w:szCs w:val="24"/>
      <w:lang w:eastAsia="en-US"/>
    </w:rPr>
  </w:style>
  <w:style w:type="paragraph" w:styleId="ListNumber2">
    <w:name w:val="List Number 2"/>
    <w:uiPriority w:val="10"/>
    <w:qFormat/>
    <w:rsid w:val="0059207E"/>
    <w:pPr>
      <w:numPr>
        <w:numId w:val="19"/>
      </w:numPr>
      <w:suppressAutoHyphens/>
      <w:spacing w:before="120" w:after="120" w:line="240" w:lineRule="auto"/>
    </w:pPr>
    <w:rPr>
      <w:rFonts w:eastAsia="Arial" w:cs="Times New Roman"/>
      <w:color w:val="000000" w:themeColor="text1"/>
      <w:szCs w:val="24"/>
      <w:lang w:eastAsia="en-US"/>
    </w:rPr>
  </w:style>
  <w:style w:type="paragraph" w:customStyle="1" w:styleId="DescriptororName">
    <w:name w:val="Descriptor or Name"/>
    <w:next w:val="BodyText"/>
    <w:uiPriority w:val="1"/>
    <w:qFormat/>
    <w:rsid w:val="001F757C"/>
    <w:pPr>
      <w:tabs>
        <w:tab w:val="right" w:pos="10206"/>
      </w:tabs>
      <w:suppressAutoHyphens/>
      <w:spacing w:after="0" w:line="240" w:lineRule="auto"/>
      <w:contextualSpacing/>
    </w:pPr>
    <w:rPr>
      <w:rFonts w:asciiTheme="majorHAnsi" w:hAnsiTheme="majorHAnsi"/>
      <w:color w:val="002664" w:themeColor="text2"/>
      <w:sz w:val="28"/>
    </w:rPr>
  </w:style>
  <w:style w:type="character" w:customStyle="1" w:styleId="BoldItalic">
    <w:name w:val="Bold Italic"/>
    <w:basedOn w:val="DefaultParagraphFont"/>
    <w:uiPriority w:val="19"/>
    <w:qFormat/>
    <w:rsid w:val="007A3BC4"/>
    <w:rPr>
      <w:b/>
      <w:bCs w:val="0"/>
      <w:i/>
      <w:iCs w:val="0"/>
    </w:rPr>
  </w:style>
  <w:style w:type="table" w:styleId="ListTable3-Accent1">
    <w:name w:val="List Table 3 Accent 1"/>
    <w:basedOn w:val="TableNormal"/>
    <w:uiPriority w:val="48"/>
    <w:rsid w:val="006B423C"/>
    <w:pPr>
      <w:spacing w:after="0" w:line="240" w:lineRule="auto"/>
    </w:pPr>
    <w:tblPr>
      <w:tblStyleRowBandSize w:val="1"/>
      <w:tblStyleColBandSize w:val="1"/>
      <w:tblBorders>
        <w:top w:val="single" w:sz="4" w:space="0" w:color="D7153A" w:themeColor="accent1"/>
        <w:left w:val="single" w:sz="4" w:space="0" w:color="D7153A" w:themeColor="accent1"/>
        <w:bottom w:val="single" w:sz="4" w:space="0" w:color="D7153A" w:themeColor="accent1"/>
        <w:right w:val="single" w:sz="4" w:space="0" w:color="D715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7153A" w:themeFill="accent1"/>
      </w:tcPr>
    </w:tblStylePr>
    <w:tblStylePr w:type="lastRow">
      <w:rPr>
        <w:b/>
        <w:bCs/>
      </w:rPr>
      <w:tblPr/>
      <w:tcPr>
        <w:tcBorders>
          <w:top w:val="double" w:sz="4" w:space="0" w:color="D715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7153A" w:themeColor="accent1"/>
          <w:right w:val="single" w:sz="4" w:space="0" w:color="D7153A" w:themeColor="accent1"/>
        </w:tcBorders>
      </w:tcPr>
    </w:tblStylePr>
    <w:tblStylePr w:type="band1Horz">
      <w:tblPr/>
      <w:tcPr>
        <w:tcBorders>
          <w:top w:val="single" w:sz="4" w:space="0" w:color="D7153A" w:themeColor="accent1"/>
          <w:bottom w:val="single" w:sz="4" w:space="0" w:color="D715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7153A" w:themeColor="accent1"/>
          <w:left w:val="nil"/>
        </w:tcBorders>
      </w:tcPr>
    </w:tblStylePr>
    <w:tblStylePr w:type="swCell">
      <w:tblPr/>
      <w:tcPr>
        <w:tcBorders>
          <w:top w:val="double" w:sz="4" w:space="0" w:color="D715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423C"/>
    <w:pPr>
      <w:spacing w:after="0" w:line="240" w:lineRule="auto"/>
    </w:pPr>
    <w:tblPr>
      <w:tblStyleRowBandSize w:val="1"/>
      <w:tblStyleColBandSize w:val="1"/>
      <w:tblBorders>
        <w:top w:val="single" w:sz="4" w:space="0" w:color="002664" w:themeColor="accent2"/>
        <w:left w:val="single" w:sz="4" w:space="0" w:color="002664" w:themeColor="accent2"/>
        <w:bottom w:val="single" w:sz="4" w:space="0" w:color="002664" w:themeColor="accent2"/>
        <w:right w:val="single" w:sz="4" w:space="0" w:color="0026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2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2"/>
          <w:right w:val="single" w:sz="4" w:space="0" w:color="002664" w:themeColor="accent2"/>
        </w:tcBorders>
      </w:tcPr>
    </w:tblStylePr>
    <w:tblStylePr w:type="band1Horz">
      <w:tblPr/>
      <w:tcPr>
        <w:tcBorders>
          <w:top w:val="single" w:sz="4" w:space="0" w:color="002664" w:themeColor="accent2"/>
          <w:bottom w:val="single" w:sz="4" w:space="0" w:color="0026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2"/>
          <w:left w:val="nil"/>
        </w:tcBorders>
      </w:tcPr>
    </w:tblStylePr>
    <w:tblStylePr w:type="swCell">
      <w:tblPr/>
      <w:tcPr>
        <w:tcBorders>
          <w:top w:val="double" w:sz="4" w:space="0" w:color="00266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423C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1D3E67" w:themeColor="accent3" w:themeShade="80"/>
        <w:left w:val="single" w:sz="4" w:space="0" w:color="1D3E67" w:themeColor="accent3" w:themeShade="80"/>
        <w:bottom w:val="single" w:sz="4" w:space="0" w:color="1D3E67" w:themeColor="accent3" w:themeShade="80"/>
        <w:right w:val="single" w:sz="4" w:space="0" w:color="1D3E67" w:themeColor="accent3" w:themeShade="80"/>
        <w:insideH w:val="single" w:sz="4" w:space="0" w:color="1D3E67" w:themeColor="accent3" w:themeShade="80"/>
        <w:insideV w:val="single" w:sz="4" w:space="0" w:color="1D3E67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  <w:shd w:val="clear" w:color="auto" w:fill="407EC9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</w:tcPr>
    </w:tblStylePr>
    <w:tblStylePr w:type="band2Vert"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</w:tcPr>
    </w:tblStylePr>
    <w:tblStylePr w:type="band1Horz"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</w:tcPr>
    </w:tblStylePr>
    <w:tblStylePr w:type="band2Horz"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</w:tcPr>
    </w:tblStylePr>
    <w:tblStylePr w:type="neCell"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</w:tcPr>
    </w:tblStylePr>
    <w:tblStylePr w:type="nwCell"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</w:tcPr>
    </w:tblStylePr>
    <w:tblStylePr w:type="seCell"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</w:tcPr>
    </w:tblStylePr>
    <w:tblStylePr w:type="swCell">
      <w:tblPr/>
      <w:tcPr>
        <w:tcBorders>
          <w:top w:val="single" w:sz="4" w:space="0" w:color="1D3E67" w:themeColor="accent3" w:themeShade="80"/>
          <w:left w:val="single" w:sz="4" w:space="0" w:color="1D3E67" w:themeColor="accent3" w:themeShade="80"/>
          <w:bottom w:val="single" w:sz="4" w:space="0" w:color="1D3E67" w:themeColor="accent3" w:themeShade="80"/>
          <w:right w:val="single" w:sz="4" w:space="0" w:color="1D3E67" w:themeColor="accent3" w:themeShade="80"/>
          <w:insideH w:val="single" w:sz="4" w:space="0" w:color="1D3E67" w:themeColor="accent3" w:themeShade="80"/>
          <w:insideV w:val="single" w:sz="4" w:space="0" w:color="1D3E67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6B423C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407EC9" w:themeColor="accent3"/>
        <w:left w:val="single" w:sz="4" w:space="0" w:color="407EC9" w:themeColor="accent3"/>
        <w:bottom w:val="single" w:sz="4" w:space="0" w:color="407EC9" w:themeColor="accent3"/>
        <w:right w:val="single" w:sz="4" w:space="0" w:color="407EC9" w:themeColor="accent3"/>
        <w:insideH w:val="single" w:sz="4" w:space="0" w:color="407EC9" w:themeColor="accent3"/>
        <w:insideV w:val="single" w:sz="4" w:space="0" w:color="407EC9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  <w:shd w:val="clear" w:color="auto" w:fill="6CACE4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</w:tcPr>
    </w:tblStylePr>
    <w:tblStylePr w:type="band2Vert"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</w:tcPr>
    </w:tblStylePr>
    <w:tblStylePr w:type="band1Horz"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</w:tcPr>
    </w:tblStylePr>
    <w:tblStylePr w:type="band2Horz"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</w:tcPr>
    </w:tblStylePr>
    <w:tblStylePr w:type="neCell"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</w:tcPr>
    </w:tblStylePr>
    <w:tblStylePr w:type="nwCell"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</w:tcPr>
    </w:tblStylePr>
    <w:tblStylePr w:type="seCell"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</w:tcPr>
    </w:tblStylePr>
    <w:tblStylePr w:type="swCell">
      <w:tblPr/>
      <w:tcPr>
        <w:tcBorders>
          <w:top w:val="single" w:sz="4" w:space="0" w:color="407EC9" w:themeColor="accent3"/>
          <w:left w:val="single" w:sz="4" w:space="0" w:color="407EC9" w:themeColor="accent3"/>
          <w:bottom w:val="single" w:sz="4" w:space="0" w:color="407EC9" w:themeColor="accent3"/>
          <w:right w:val="single" w:sz="4" w:space="0" w:color="407EC9" w:themeColor="accent3"/>
          <w:insideH w:val="single" w:sz="4" w:space="0" w:color="407EC9" w:themeColor="accent3"/>
          <w:insideV w:val="single" w:sz="4" w:space="0" w:color="407EC9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6B423C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2Vert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neCell">
      <w:tblPr/>
      <w:tcPr>
        <w:shd w:val="clear" w:color="auto" w:fill="F2F2F2" w:themeFill="background1" w:themeFillShade="F2"/>
      </w:tcPr>
    </w:tblStylePr>
    <w:tblStylePr w:type="nwCell">
      <w:tblPr/>
      <w:tcPr>
        <w:shd w:val="clear" w:color="auto" w:fill="F2F2F2" w:themeFill="background1" w:themeFillShade="F2"/>
      </w:tcPr>
    </w:tblStylePr>
    <w:tblStylePr w:type="seCell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swCell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</w:style>
  <w:style w:type="table" w:styleId="ListTable3-Accent6">
    <w:name w:val="List Table 3 Accent 6"/>
    <w:basedOn w:val="TableNormal"/>
    <w:uiPriority w:val="48"/>
    <w:rsid w:val="006B423C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DC001B" w:themeColor="accent6" w:themeShade="80"/>
        <w:left w:val="single" w:sz="4" w:space="0" w:color="DC001B" w:themeColor="accent6" w:themeShade="80"/>
        <w:bottom w:val="single" w:sz="4" w:space="0" w:color="DC001B" w:themeColor="accent6" w:themeShade="80"/>
        <w:right w:val="single" w:sz="4" w:space="0" w:color="DC001B" w:themeColor="accent6" w:themeShade="80"/>
        <w:insideH w:val="single" w:sz="4" w:space="0" w:color="DC001B" w:themeColor="accent6" w:themeShade="80"/>
        <w:insideV w:val="single" w:sz="4" w:space="0" w:color="DC001B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FFB8C1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</w:tcPr>
    </w:tblStylePr>
    <w:tblStylePr w:type="band2Vert"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</w:tcPr>
    </w:tblStylePr>
    <w:tblStylePr w:type="band1Horz"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</w:tcPr>
    </w:tblStylePr>
    <w:tblStylePr w:type="band2Horz"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</w:tcPr>
    </w:tblStylePr>
    <w:tblStylePr w:type="neCell"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</w:tcPr>
    </w:tblStylePr>
    <w:tblStylePr w:type="nwCell"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</w:tcPr>
    </w:tblStylePr>
    <w:tblStylePr w:type="seCell"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</w:tcPr>
    </w:tblStylePr>
    <w:tblStylePr w:type="swCell">
      <w:tblPr/>
      <w:tcPr>
        <w:tcBorders>
          <w:top w:val="single" w:sz="4" w:space="0" w:color="DC001B" w:themeColor="accent6" w:themeShade="80"/>
          <w:left w:val="single" w:sz="4" w:space="0" w:color="DC001B" w:themeColor="accent6" w:themeShade="80"/>
          <w:bottom w:val="single" w:sz="4" w:space="0" w:color="DC001B" w:themeColor="accent6" w:themeShade="80"/>
          <w:right w:val="single" w:sz="4" w:space="0" w:color="DC001B" w:themeColor="accent6" w:themeShade="80"/>
          <w:insideH w:val="single" w:sz="4" w:space="0" w:color="DC001B" w:themeColor="accent6" w:themeShade="80"/>
          <w:insideV w:val="single" w:sz="4" w:space="0" w:color="DC001B" w:themeColor="accent6" w:themeShade="80"/>
        </w:tcBorders>
      </w:tcPr>
    </w:tblStylePr>
  </w:style>
  <w:style w:type="character" w:customStyle="1" w:styleId="Logo">
    <w:name w:val="Logo"/>
    <w:basedOn w:val="DefaultParagraphFont"/>
    <w:uiPriority w:val="1"/>
    <w:rsid w:val="00F815D0"/>
    <w:rPr>
      <w:noProof/>
      <w:position w:val="-86"/>
    </w:rPr>
  </w:style>
  <w:style w:type="paragraph" w:customStyle="1" w:styleId="HeaderFooterSensitivityLabelSpace">
    <w:name w:val="Header&amp;Footer Sensitivity Label Space"/>
    <w:next w:val="Header"/>
    <w:uiPriority w:val="99"/>
    <w:rsid w:val="00997A69"/>
    <w:pPr>
      <w:suppressAutoHyphens/>
      <w:spacing w:before="240" w:after="240" w:line="240" w:lineRule="auto"/>
    </w:pPr>
    <w:rPr>
      <w:color w:val="002664" w:themeColor="text2"/>
    </w:rPr>
  </w:style>
  <w:style w:type="paragraph" w:customStyle="1" w:styleId="ReleasedDate">
    <w:name w:val="Released Date"/>
    <w:uiPriority w:val="3"/>
    <w:qFormat/>
    <w:rsid w:val="00EA186E"/>
    <w:pPr>
      <w:suppressAutoHyphens/>
      <w:spacing w:before="360" w:after="360" w:line="240" w:lineRule="auto"/>
      <w:contextualSpacing/>
    </w:pPr>
    <w:rPr>
      <w:rFonts w:asciiTheme="majorHAnsi" w:hAnsiTheme="majorHAnsi"/>
      <w:color w:val="000000" w:themeColor="text1"/>
    </w:rPr>
  </w:style>
  <w:style w:type="character" w:customStyle="1" w:styleId="PublicSansLight">
    <w:name w:val="Public Sans Light"/>
    <w:basedOn w:val="DefaultParagraphFont"/>
    <w:uiPriority w:val="19"/>
    <w:qFormat/>
    <w:rsid w:val="00FE00E5"/>
    <w:rPr>
      <w:rFonts w:asciiTheme="minorHAnsi" w:hAnsiTheme="minorHAnsi"/>
    </w:rPr>
  </w:style>
  <w:style w:type="paragraph" w:styleId="Caption">
    <w:name w:val="caption"/>
    <w:next w:val="BodyText"/>
    <w:uiPriority w:val="2"/>
    <w:qFormat/>
    <w:rsid w:val="001F757C"/>
    <w:pPr>
      <w:suppressAutoHyphens/>
      <w:spacing w:before="120" w:after="120" w:line="240" w:lineRule="auto"/>
    </w:pPr>
    <w:rPr>
      <w:iCs/>
      <w:color w:val="002664" w:themeColor="text2"/>
      <w:sz w:val="18"/>
      <w:szCs w:val="18"/>
    </w:rPr>
  </w:style>
  <w:style w:type="paragraph" w:customStyle="1" w:styleId="Pulloutquote">
    <w:name w:val="Pull out quote"/>
    <w:uiPriority w:val="35"/>
    <w:qFormat/>
    <w:rsid w:val="00672942"/>
    <w:pPr>
      <w:pBdr>
        <w:left w:val="single" w:sz="4" w:space="8" w:color="D7153A" w:themeColor="accent1"/>
      </w:pBdr>
      <w:suppressAutoHyphens/>
      <w:spacing w:before="120" w:after="120" w:line="240" w:lineRule="auto"/>
      <w:ind w:left="227" w:right="57"/>
    </w:pPr>
    <w:rPr>
      <w:color w:val="002664" w:themeColor="text2"/>
      <w:sz w:val="28"/>
    </w:rPr>
  </w:style>
  <w:style w:type="table" w:styleId="ListTable3">
    <w:name w:val="List Table 3"/>
    <w:basedOn w:val="TableNormal"/>
    <w:uiPriority w:val="48"/>
    <w:rsid w:val="00B269E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72942"/>
    <w:rPr>
      <w:color w:val="605E5C"/>
      <w:shd w:val="clear" w:color="auto" w:fill="E1DFDD"/>
    </w:rPr>
  </w:style>
  <w:style w:type="paragraph" w:customStyle="1" w:styleId="FeatureBox">
    <w:name w:val="Feature Box"/>
    <w:basedOn w:val="Normal"/>
    <w:next w:val="Normal"/>
    <w:qFormat/>
    <w:rsid w:val="006D2FD4"/>
    <w:pPr>
      <w:pBdr>
        <w:top w:val="single" w:sz="24" w:space="10" w:color="002664" w:themeColor="accent2"/>
        <w:left w:val="single" w:sz="24" w:space="10" w:color="002664" w:themeColor="accent2"/>
        <w:bottom w:val="single" w:sz="24" w:space="10" w:color="002664" w:themeColor="accent2"/>
        <w:right w:val="single" w:sz="24" w:space="10" w:color="002664" w:themeColor="accent2"/>
      </w:pBdr>
      <w:suppressAutoHyphens w:val="0"/>
      <w:spacing w:before="240" w:line="276" w:lineRule="auto"/>
    </w:pPr>
    <w:rPr>
      <w:rFonts w:asciiTheme="minorHAnsi" w:eastAsiaTheme="minorHAnsi" w:hAnsiTheme="minorHAnsi" w:cs="Arial"/>
      <w:color w:val="auto"/>
      <w:sz w:val="22"/>
      <w:szCs w:val="24"/>
    </w:rPr>
  </w:style>
  <w:style w:type="paragraph" w:customStyle="1" w:styleId="FeatureBox2">
    <w:name w:val="Feature Box 2"/>
    <w:basedOn w:val="FeatureBox"/>
    <w:next w:val="Normal"/>
    <w:qFormat/>
    <w:rsid w:val="006D2FD4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BEDFD" w:themeFill="accent5"/>
    </w:pPr>
  </w:style>
  <w:style w:type="paragraph" w:customStyle="1" w:styleId="AEDCHeading2">
    <w:name w:val="AEDC Heading 2"/>
    <w:basedOn w:val="Heading2"/>
    <w:rsid w:val="001E0C83"/>
    <w:pPr>
      <w:suppressAutoHyphens w:val="0"/>
      <w:spacing w:before="80" w:after="40" w:line="288" w:lineRule="auto"/>
    </w:pPr>
    <w:rPr>
      <w:rFonts w:ascii="Arial" w:eastAsiaTheme="majorEastAsia" w:hAnsi="Arial" w:cs="Arial"/>
      <w:color w:val="00883E"/>
      <w:szCs w:val="2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E0C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0C83"/>
    <w:pPr>
      <w:suppressAutoHyphens w:val="0"/>
      <w:spacing w:after="160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0C83"/>
    <w:rPr>
      <w:rFonts w:ascii="Arial" w:eastAsiaTheme="minorHAnsi" w:hAnsi="Arial"/>
      <w:sz w:val="20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A4702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rsid w:val="00844238"/>
    <w:rPr>
      <w:color w:val="407EC9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238"/>
    <w:pPr>
      <w:suppressAutoHyphens/>
      <w:spacing w:after="0"/>
    </w:pPr>
    <w:rPr>
      <w:rFonts w:ascii="Calibri" w:eastAsia="Calibri" w:hAnsi="Calibri" w:cs="Calibri"/>
      <w:b/>
      <w:bCs/>
      <w:color w:val="FF0000"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4238"/>
    <w:rPr>
      <w:rFonts w:ascii="Calibri" w:eastAsia="Calibri" w:hAnsi="Calibri" w:cs="Calibri"/>
      <w:b/>
      <w:bCs/>
      <w:color w:val="FF0000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844238"/>
    <w:pPr>
      <w:spacing w:after="0" w:line="240" w:lineRule="auto"/>
    </w:pPr>
    <w:rPr>
      <w:rFonts w:ascii="Calibri" w:eastAsia="Calibri" w:hAnsi="Calibri" w:cs="Calibri"/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4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hyperlink" Target="https://education.nsw.gov.au/rights-and-accountability/copyrigh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hyperlink" Target="https://education.nsw.gov.au/rights-and-accountability/copyright" TargetMode="External"/></Relationships>
</file>

<file path=word/theme/theme1.xml><?xml version="1.0" encoding="utf-8"?>
<a:theme xmlns:a="http://schemas.openxmlformats.org/drawingml/2006/main" name="Office Theme">
  <a:themeElements>
    <a:clrScheme name="DoE Colours">
      <a:dk1>
        <a:srgbClr val="000000"/>
      </a:dk1>
      <a:lt1>
        <a:srgbClr val="FFFFFF"/>
      </a:lt1>
      <a:dk2>
        <a:srgbClr val="002664"/>
      </a:dk2>
      <a:lt2>
        <a:srgbClr val="CBEDFD"/>
      </a:lt2>
      <a:accent1>
        <a:srgbClr val="D7153A"/>
      </a:accent1>
      <a:accent2>
        <a:srgbClr val="002664"/>
      </a:accent2>
      <a:accent3>
        <a:srgbClr val="407EC9"/>
      </a:accent3>
      <a:accent4>
        <a:srgbClr val="6CACE4"/>
      </a:accent4>
      <a:accent5>
        <a:srgbClr val="CBEDFD"/>
      </a:accent5>
      <a:accent6>
        <a:srgbClr val="FFB8C1"/>
      </a:accent6>
      <a:hlink>
        <a:srgbClr val="002664"/>
      </a:hlink>
      <a:folHlink>
        <a:srgbClr val="407EC9"/>
      </a:folHlink>
    </a:clrScheme>
    <a:fontScheme name="NSW GOV 1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Milton Therapy and Learning Centre</dc:title>
  <dc:subject/>
  <dc:creator>NSW Department of Education</dc:creator>
  <cp:keywords/>
  <dc:description/>
  <dcterms:created xsi:type="dcterms:W3CDTF">2023-09-21T02:19:00Z</dcterms:created>
  <dcterms:modified xsi:type="dcterms:W3CDTF">2023-09-21T02:19:00Z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2023-09-21T02:19:55Z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f10a71c5-6c04-49a9-8c1c-f3b6d2636003</vt:lpwstr>
  </property>
  <property fmtid="{D5CDD505-2E9C-101B-9397-08002B2CF9AE}" pid="8" name="MSIP_Label_b603dfd7-d93a-4381-a340-2995d8282205_ContentBits">
    <vt:lpwstr>0</vt:lpwstr>
  </property>
</Properties>
</file>