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19DC1" w14:textId="10FB5FA6" w:rsidR="00BE75CF" w:rsidRDefault="00D435F2" w:rsidP="00734023">
      <w:pPr>
        <w:pStyle w:val="Title"/>
      </w:pPr>
      <w:r>
        <w:t>Technology</w:t>
      </w:r>
      <w:r w:rsidR="00BE75CF">
        <w:t xml:space="preserve"> 7–8</w:t>
      </w:r>
      <w:r w:rsidR="0033245C">
        <w:t xml:space="preserve"> – Food and agricultural practices – </w:t>
      </w:r>
    </w:p>
    <w:p w14:paraId="4B5E4637" w14:textId="6DEDBA55" w:rsidR="00087D95" w:rsidRDefault="0033245C" w:rsidP="00734023">
      <w:pPr>
        <w:pStyle w:val="Title"/>
      </w:pPr>
      <w:r>
        <w:t>s</w:t>
      </w:r>
      <w:r w:rsidR="00087D95">
        <w:t>ample assessment task</w:t>
      </w:r>
      <w:r w:rsidR="00602782">
        <w:t xml:space="preserve"> </w:t>
      </w:r>
      <w:r w:rsidR="00153DEF">
        <w:t xml:space="preserve">1 </w:t>
      </w:r>
      <w:r w:rsidR="00087D95">
        <w:t>notification</w:t>
      </w:r>
    </w:p>
    <w:p w14:paraId="3A3E01DE" w14:textId="19232B28" w:rsidR="001B2E36" w:rsidRDefault="00D435F2" w:rsidP="00FD6D6A">
      <w:pPr>
        <w:pStyle w:val="Subtitle0"/>
      </w:pPr>
      <w:r>
        <w:t xml:space="preserve">Grow up! – </w:t>
      </w:r>
      <w:r w:rsidR="008B3D6E">
        <w:t>v</w:t>
      </w:r>
      <w:r>
        <w:t>ertical garden adventure</w:t>
      </w:r>
    </w:p>
    <w:p w14:paraId="1E580564" w14:textId="7EA5D089" w:rsidR="0008611F" w:rsidRPr="001B2E36" w:rsidRDefault="0008611F" w:rsidP="001B2E36">
      <w:r>
        <w:br w:type="page"/>
      </w:r>
    </w:p>
    <w:sdt>
      <w:sdtPr>
        <w:rPr>
          <w:rFonts w:eastAsiaTheme="minorEastAsia"/>
          <w:b/>
          <w:bCs w:val="0"/>
          <w:color w:val="auto"/>
          <w:sz w:val="24"/>
          <w:szCs w:val="24"/>
        </w:rPr>
        <w:id w:val="-269702453"/>
        <w:docPartObj>
          <w:docPartGallery w:val="Table of Contents"/>
          <w:docPartUnique/>
        </w:docPartObj>
      </w:sdtPr>
      <w:sdtEndPr>
        <w:rPr>
          <w:b w:val="0"/>
          <w:sz w:val="22"/>
          <w:szCs w:val="22"/>
        </w:rPr>
      </w:sdtEndPr>
      <w:sdtContent>
        <w:p w14:paraId="33728591" w14:textId="01274007" w:rsidR="00FD44CF" w:rsidRDefault="00FD44CF" w:rsidP="006F1A55">
          <w:pPr>
            <w:pStyle w:val="TOCHeading"/>
          </w:pPr>
          <w:r>
            <w:t>Contents</w:t>
          </w:r>
        </w:p>
        <w:p w14:paraId="4B816654" w14:textId="441F0E4D" w:rsidR="0051643C" w:rsidRDefault="004C1DED">
          <w:pPr>
            <w:pStyle w:val="TOC1"/>
            <w:rPr>
              <w:rFonts w:asciiTheme="minorHAnsi" w:eastAsiaTheme="minorEastAsia" w:hAnsiTheme="minorHAnsi" w:cstheme="minorBidi"/>
              <w:b w:val="0"/>
              <w:kern w:val="2"/>
              <w:sz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175563521" w:history="1">
            <w:r w:rsidR="0051643C" w:rsidRPr="0095538C">
              <w:rPr>
                <w:rStyle w:val="Hyperlink"/>
              </w:rPr>
              <w:t>Task description</w:t>
            </w:r>
            <w:r w:rsidR="0051643C">
              <w:rPr>
                <w:webHidden/>
              </w:rPr>
              <w:tab/>
            </w:r>
            <w:r w:rsidR="0051643C">
              <w:rPr>
                <w:webHidden/>
              </w:rPr>
              <w:fldChar w:fldCharType="begin"/>
            </w:r>
            <w:r w:rsidR="0051643C">
              <w:rPr>
                <w:webHidden/>
              </w:rPr>
              <w:instrText xml:space="preserve"> PAGEREF _Toc175563521 \h </w:instrText>
            </w:r>
            <w:r w:rsidR="0051643C">
              <w:rPr>
                <w:webHidden/>
              </w:rPr>
            </w:r>
            <w:r w:rsidR="0051643C">
              <w:rPr>
                <w:webHidden/>
              </w:rPr>
              <w:fldChar w:fldCharType="separate"/>
            </w:r>
            <w:r w:rsidR="0051643C">
              <w:rPr>
                <w:webHidden/>
              </w:rPr>
              <w:t>2</w:t>
            </w:r>
            <w:r w:rsidR="0051643C">
              <w:rPr>
                <w:webHidden/>
              </w:rPr>
              <w:fldChar w:fldCharType="end"/>
            </w:r>
          </w:hyperlink>
        </w:p>
        <w:p w14:paraId="3E3F8267" w14:textId="35EB655E" w:rsidR="0051643C" w:rsidRDefault="00000000">
          <w:pPr>
            <w:pStyle w:val="TOC2"/>
            <w:rPr>
              <w:rFonts w:asciiTheme="minorHAnsi" w:eastAsiaTheme="minorEastAsia" w:hAnsiTheme="minorHAnsi" w:cstheme="minorBidi"/>
              <w:kern w:val="2"/>
              <w:sz w:val="24"/>
              <w:lang w:eastAsia="en-AU"/>
              <w14:ligatures w14:val="standardContextual"/>
            </w:rPr>
          </w:pPr>
          <w:hyperlink w:anchor="_Toc175563522" w:history="1">
            <w:r w:rsidR="0051643C" w:rsidRPr="0095538C">
              <w:rPr>
                <w:rStyle w:val="Hyperlink"/>
              </w:rPr>
              <w:t>Submission details</w:t>
            </w:r>
            <w:r w:rsidR="0051643C">
              <w:rPr>
                <w:webHidden/>
              </w:rPr>
              <w:tab/>
            </w:r>
            <w:r w:rsidR="0051643C">
              <w:rPr>
                <w:webHidden/>
              </w:rPr>
              <w:fldChar w:fldCharType="begin"/>
            </w:r>
            <w:r w:rsidR="0051643C">
              <w:rPr>
                <w:webHidden/>
              </w:rPr>
              <w:instrText xml:space="preserve"> PAGEREF _Toc175563522 \h </w:instrText>
            </w:r>
            <w:r w:rsidR="0051643C">
              <w:rPr>
                <w:webHidden/>
              </w:rPr>
            </w:r>
            <w:r w:rsidR="0051643C">
              <w:rPr>
                <w:webHidden/>
              </w:rPr>
              <w:fldChar w:fldCharType="separate"/>
            </w:r>
            <w:r w:rsidR="0051643C">
              <w:rPr>
                <w:webHidden/>
              </w:rPr>
              <w:t>4</w:t>
            </w:r>
            <w:r w:rsidR="0051643C">
              <w:rPr>
                <w:webHidden/>
              </w:rPr>
              <w:fldChar w:fldCharType="end"/>
            </w:r>
          </w:hyperlink>
        </w:p>
        <w:p w14:paraId="257A73C0" w14:textId="22107DBB" w:rsidR="0051643C" w:rsidRDefault="00000000">
          <w:pPr>
            <w:pStyle w:val="TOC1"/>
            <w:rPr>
              <w:rFonts w:asciiTheme="minorHAnsi" w:eastAsiaTheme="minorEastAsia" w:hAnsiTheme="minorHAnsi" w:cstheme="minorBidi"/>
              <w:b w:val="0"/>
              <w:kern w:val="2"/>
              <w:sz w:val="24"/>
              <w:lang w:eastAsia="en-AU"/>
              <w14:ligatures w14:val="standardContextual"/>
            </w:rPr>
          </w:pPr>
          <w:hyperlink w:anchor="_Toc175563523" w:history="1">
            <w:r w:rsidR="0051643C" w:rsidRPr="0095538C">
              <w:rPr>
                <w:rStyle w:val="Hyperlink"/>
              </w:rPr>
              <w:t>Steps to success</w:t>
            </w:r>
            <w:r w:rsidR="0051643C">
              <w:rPr>
                <w:webHidden/>
              </w:rPr>
              <w:tab/>
            </w:r>
            <w:r w:rsidR="0051643C">
              <w:rPr>
                <w:webHidden/>
              </w:rPr>
              <w:fldChar w:fldCharType="begin"/>
            </w:r>
            <w:r w:rsidR="0051643C">
              <w:rPr>
                <w:webHidden/>
              </w:rPr>
              <w:instrText xml:space="preserve"> PAGEREF _Toc175563523 \h </w:instrText>
            </w:r>
            <w:r w:rsidR="0051643C">
              <w:rPr>
                <w:webHidden/>
              </w:rPr>
            </w:r>
            <w:r w:rsidR="0051643C">
              <w:rPr>
                <w:webHidden/>
              </w:rPr>
              <w:fldChar w:fldCharType="separate"/>
            </w:r>
            <w:r w:rsidR="0051643C">
              <w:rPr>
                <w:webHidden/>
              </w:rPr>
              <w:t>5</w:t>
            </w:r>
            <w:r w:rsidR="0051643C">
              <w:rPr>
                <w:webHidden/>
              </w:rPr>
              <w:fldChar w:fldCharType="end"/>
            </w:r>
          </w:hyperlink>
        </w:p>
        <w:p w14:paraId="65B7476B" w14:textId="2854816C" w:rsidR="0051643C" w:rsidRDefault="00000000">
          <w:pPr>
            <w:pStyle w:val="TOC1"/>
            <w:rPr>
              <w:rFonts w:asciiTheme="minorHAnsi" w:eastAsiaTheme="minorEastAsia" w:hAnsiTheme="minorHAnsi" w:cstheme="minorBidi"/>
              <w:b w:val="0"/>
              <w:kern w:val="2"/>
              <w:sz w:val="24"/>
              <w:lang w:eastAsia="en-AU"/>
              <w14:ligatures w14:val="standardContextual"/>
            </w:rPr>
          </w:pPr>
          <w:hyperlink w:anchor="_Toc175563524" w:history="1">
            <w:r w:rsidR="0051643C" w:rsidRPr="0095538C">
              <w:rPr>
                <w:rStyle w:val="Hyperlink"/>
              </w:rPr>
              <w:t>What is the teacher looking for?</w:t>
            </w:r>
            <w:r w:rsidR="0051643C">
              <w:rPr>
                <w:webHidden/>
              </w:rPr>
              <w:tab/>
            </w:r>
            <w:r w:rsidR="0051643C">
              <w:rPr>
                <w:webHidden/>
              </w:rPr>
              <w:fldChar w:fldCharType="begin"/>
            </w:r>
            <w:r w:rsidR="0051643C">
              <w:rPr>
                <w:webHidden/>
              </w:rPr>
              <w:instrText xml:space="preserve"> PAGEREF _Toc175563524 \h </w:instrText>
            </w:r>
            <w:r w:rsidR="0051643C">
              <w:rPr>
                <w:webHidden/>
              </w:rPr>
            </w:r>
            <w:r w:rsidR="0051643C">
              <w:rPr>
                <w:webHidden/>
              </w:rPr>
              <w:fldChar w:fldCharType="separate"/>
            </w:r>
            <w:r w:rsidR="0051643C">
              <w:rPr>
                <w:webHidden/>
              </w:rPr>
              <w:t>7</w:t>
            </w:r>
            <w:r w:rsidR="0051643C">
              <w:rPr>
                <w:webHidden/>
              </w:rPr>
              <w:fldChar w:fldCharType="end"/>
            </w:r>
          </w:hyperlink>
        </w:p>
        <w:p w14:paraId="433BB654" w14:textId="4DEF3A12" w:rsidR="0051643C" w:rsidRDefault="00000000">
          <w:pPr>
            <w:pStyle w:val="TOC1"/>
            <w:rPr>
              <w:rFonts w:asciiTheme="minorHAnsi" w:eastAsiaTheme="minorEastAsia" w:hAnsiTheme="minorHAnsi" w:cstheme="minorBidi"/>
              <w:b w:val="0"/>
              <w:kern w:val="2"/>
              <w:sz w:val="24"/>
              <w:lang w:eastAsia="en-AU"/>
              <w14:ligatures w14:val="standardContextual"/>
            </w:rPr>
          </w:pPr>
          <w:hyperlink w:anchor="_Toc175563525" w:history="1">
            <w:r w:rsidR="0051643C" w:rsidRPr="0095538C">
              <w:rPr>
                <w:rStyle w:val="Hyperlink"/>
              </w:rPr>
              <w:t>Marking guidelines</w:t>
            </w:r>
            <w:r w:rsidR="0051643C">
              <w:rPr>
                <w:webHidden/>
              </w:rPr>
              <w:tab/>
            </w:r>
            <w:r w:rsidR="0051643C">
              <w:rPr>
                <w:webHidden/>
              </w:rPr>
              <w:fldChar w:fldCharType="begin"/>
            </w:r>
            <w:r w:rsidR="0051643C">
              <w:rPr>
                <w:webHidden/>
              </w:rPr>
              <w:instrText xml:space="preserve"> PAGEREF _Toc175563525 \h </w:instrText>
            </w:r>
            <w:r w:rsidR="0051643C">
              <w:rPr>
                <w:webHidden/>
              </w:rPr>
            </w:r>
            <w:r w:rsidR="0051643C">
              <w:rPr>
                <w:webHidden/>
              </w:rPr>
              <w:fldChar w:fldCharType="separate"/>
            </w:r>
            <w:r w:rsidR="0051643C">
              <w:rPr>
                <w:webHidden/>
              </w:rPr>
              <w:t>8</w:t>
            </w:r>
            <w:r w:rsidR="0051643C">
              <w:rPr>
                <w:webHidden/>
              </w:rPr>
              <w:fldChar w:fldCharType="end"/>
            </w:r>
          </w:hyperlink>
        </w:p>
        <w:p w14:paraId="64CE81EA" w14:textId="428955A0" w:rsidR="0051643C" w:rsidRDefault="00000000">
          <w:pPr>
            <w:pStyle w:val="TOC1"/>
            <w:rPr>
              <w:rFonts w:asciiTheme="minorHAnsi" w:eastAsiaTheme="minorEastAsia" w:hAnsiTheme="minorHAnsi" w:cstheme="minorBidi"/>
              <w:b w:val="0"/>
              <w:kern w:val="2"/>
              <w:sz w:val="24"/>
              <w:lang w:eastAsia="en-AU"/>
              <w14:ligatures w14:val="standardContextual"/>
            </w:rPr>
          </w:pPr>
          <w:hyperlink w:anchor="_Toc175563526" w:history="1">
            <w:r w:rsidR="0051643C" w:rsidRPr="0095538C">
              <w:rPr>
                <w:rStyle w:val="Hyperlink"/>
              </w:rPr>
              <w:t>Student-facing rubric</w:t>
            </w:r>
            <w:r w:rsidR="0051643C">
              <w:rPr>
                <w:webHidden/>
              </w:rPr>
              <w:tab/>
            </w:r>
            <w:r w:rsidR="0051643C">
              <w:rPr>
                <w:webHidden/>
              </w:rPr>
              <w:fldChar w:fldCharType="begin"/>
            </w:r>
            <w:r w:rsidR="0051643C">
              <w:rPr>
                <w:webHidden/>
              </w:rPr>
              <w:instrText xml:space="preserve"> PAGEREF _Toc175563526 \h </w:instrText>
            </w:r>
            <w:r w:rsidR="0051643C">
              <w:rPr>
                <w:webHidden/>
              </w:rPr>
            </w:r>
            <w:r w:rsidR="0051643C">
              <w:rPr>
                <w:webHidden/>
              </w:rPr>
              <w:fldChar w:fldCharType="separate"/>
            </w:r>
            <w:r w:rsidR="0051643C">
              <w:rPr>
                <w:webHidden/>
              </w:rPr>
              <w:t>10</w:t>
            </w:r>
            <w:r w:rsidR="0051643C">
              <w:rPr>
                <w:webHidden/>
              </w:rPr>
              <w:fldChar w:fldCharType="end"/>
            </w:r>
          </w:hyperlink>
        </w:p>
        <w:p w14:paraId="615AE032" w14:textId="7CD31F98" w:rsidR="0051643C" w:rsidRDefault="00000000">
          <w:pPr>
            <w:pStyle w:val="TOC1"/>
            <w:rPr>
              <w:rFonts w:asciiTheme="minorHAnsi" w:eastAsiaTheme="minorEastAsia" w:hAnsiTheme="minorHAnsi" w:cstheme="minorBidi"/>
              <w:b w:val="0"/>
              <w:kern w:val="2"/>
              <w:sz w:val="24"/>
              <w:lang w:eastAsia="en-AU"/>
              <w14:ligatures w14:val="standardContextual"/>
            </w:rPr>
          </w:pPr>
          <w:hyperlink w:anchor="_Toc175563527" w:history="1">
            <w:r w:rsidR="0051643C" w:rsidRPr="0095538C">
              <w:rPr>
                <w:rStyle w:val="Hyperlink"/>
              </w:rPr>
              <w:t>Support and alignment</w:t>
            </w:r>
            <w:r w:rsidR="0051643C">
              <w:rPr>
                <w:webHidden/>
              </w:rPr>
              <w:tab/>
            </w:r>
            <w:r w:rsidR="0051643C">
              <w:rPr>
                <w:webHidden/>
              </w:rPr>
              <w:fldChar w:fldCharType="begin"/>
            </w:r>
            <w:r w:rsidR="0051643C">
              <w:rPr>
                <w:webHidden/>
              </w:rPr>
              <w:instrText xml:space="preserve"> PAGEREF _Toc175563527 \h </w:instrText>
            </w:r>
            <w:r w:rsidR="0051643C">
              <w:rPr>
                <w:webHidden/>
              </w:rPr>
            </w:r>
            <w:r w:rsidR="0051643C">
              <w:rPr>
                <w:webHidden/>
              </w:rPr>
              <w:fldChar w:fldCharType="separate"/>
            </w:r>
            <w:r w:rsidR="0051643C">
              <w:rPr>
                <w:webHidden/>
              </w:rPr>
              <w:t>12</w:t>
            </w:r>
            <w:r w:rsidR="0051643C">
              <w:rPr>
                <w:webHidden/>
              </w:rPr>
              <w:fldChar w:fldCharType="end"/>
            </w:r>
          </w:hyperlink>
        </w:p>
        <w:p w14:paraId="7657D778" w14:textId="602E737A" w:rsidR="0051643C" w:rsidRDefault="00000000">
          <w:pPr>
            <w:pStyle w:val="TOC1"/>
            <w:rPr>
              <w:rFonts w:asciiTheme="minorHAnsi" w:eastAsiaTheme="minorEastAsia" w:hAnsiTheme="minorHAnsi" w:cstheme="minorBidi"/>
              <w:b w:val="0"/>
              <w:kern w:val="2"/>
              <w:sz w:val="24"/>
              <w:lang w:eastAsia="en-AU"/>
              <w14:ligatures w14:val="standardContextual"/>
            </w:rPr>
          </w:pPr>
          <w:hyperlink w:anchor="_Toc175563528" w:history="1">
            <w:r w:rsidR="0051643C" w:rsidRPr="0095538C">
              <w:rPr>
                <w:rStyle w:val="Hyperlink"/>
              </w:rPr>
              <w:t>References</w:t>
            </w:r>
            <w:r w:rsidR="0051643C">
              <w:rPr>
                <w:webHidden/>
              </w:rPr>
              <w:tab/>
            </w:r>
            <w:r w:rsidR="0051643C">
              <w:rPr>
                <w:webHidden/>
              </w:rPr>
              <w:fldChar w:fldCharType="begin"/>
            </w:r>
            <w:r w:rsidR="0051643C">
              <w:rPr>
                <w:webHidden/>
              </w:rPr>
              <w:instrText xml:space="preserve"> PAGEREF _Toc175563528 \h </w:instrText>
            </w:r>
            <w:r w:rsidR="0051643C">
              <w:rPr>
                <w:webHidden/>
              </w:rPr>
            </w:r>
            <w:r w:rsidR="0051643C">
              <w:rPr>
                <w:webHidden/>
              </w:rPr>
              <w:fldChar w:fldCharType="separate"/>
            </w:r>
            <w:r w:rsidR="0051643C">
              <w:rPr>
                <w:webHidden/>
              </w:rPr>
              <w:t>13</w:t>
            </w:r>
            <w:r w:rsidR="0051643C">
              <w:rPr>
                <w:webHidden/>
              </w:rPr>
              <w:fldChar w:fldCharType="end"/>
            </w:r>
          </w:hyperlink>
        </w:p>
        <w:p w14:paraId="4B7ADA93" w14:textId="22F219B8" w:rsidR="00FD44CF" w:rsidRDefault="004C1DED">
          <w:r>
            <w:rPr>
              <w:b/>
              <w:noProof/>
            </w:rPr>
            <w:fldChar w:fldCharType="end"/>
          </w:r>
        </w:p>
      </w:sdtContent>
    </w:sdt>
    <w:p w14:paraId="5301D86C" w14:textId="268159C9" w:rsidR="009F17E2" w:rsidRDefault="009F17E2" w:rsidP="00CF0AB3">
      <w:pPr>
        <w:spacing w:before="100" w:after="100"/>
      </w:pPr>
      <w:r>
        <w:br w:type="page"/>
      </w:r>
    </w:p>
    <w:p w14:paraId="3BE9B783" w14:textId="2096050B" w:rsidR="00F12D5C" w:rsidRDefault="00F12D5C" w:rsidP="00D435F2">
      <w:pPr>
        <w:pStyle w:val="Heading1"/>
        <w:tabs>
          <w:tab w:val="left" w:pos="5930"/>
        </w:tabs>
      </w:pPr>
      <w:bookmarkStart w:id="0" w:name="_Toc175563521"/>
      <w:r>
        <w:lastRenderedPageBreak/>
        <w:t xml:space="preserve">Task </w:t>
      </w:r>
      <w:r w:rsidR="0064780D" w:rsidRPr="006F1A55">
        <w:t>description</w:t>
      </w:r>
      <w:bookmarkEnd w:id="0"/>
    </w:p>
    <w:p w14:paraId="66F960AB" w14:textId="55A4541E" w:rsidR="009975DA" w:rsidRDefault="0008611F" w:rsidP="00B65B31">
      <w:r w:rsidRPr="008C0C29">
        <w:rPr>
          <w:rStyle w:val="Strong"/>
        </w:rPr>
        <w:t>Type of task</w:t>
      </w:r>
      <w:r w:rsidRPr="008C0C29">
        <w:t>:</w:t>
      </w:r>
      <w:r w:rsidR="00B65B31">
        <w:t xml:space="preserve"> </w:t>
      </w:r>
      <w:r w:rsidR="002222F3">
        <w:t>sustainability in the supply chain flowchart.</w:t>
      </w:r>
    </w:p>
    <w:p w14:paraId="793F0C99" w14:textId="33687B32" w:rsidR="0008611F" w:rsidRDefault="0008611F" w:rsidP="0008611F">
      <w:r w:rsidRPr="008C0C29">
        <w:rPr>
          <w:rStyle w:val="Strong"/>
        </w:rPr>
        <w:t>Outcomes being assessed</w:t>
      </w:r>
      <w:r w:rsidRPr="008C0C29">
        <w:t>:</w:t>
      </w:r>
    </w:p>
    <w:p w14:paraId="40FCA777" w14:textId="27F5AC41" w:rsidR="00EA4101" w:rsidRPr="00CE69F8" w:rsidRDefault="00EA4101" w:rsidP="0008611F">
      <w:r w:rsidRPr="00CE69F8">
        <w:t>A student:</w:t>
      </w:r>
    </w:p>
    <w:p w14:paraId="55822C12" w14:textId="05E99563" w:rsidR="00D435F2" w:rsidRPr="00322EB3" w:rsidRDefault="00D435F2" w:rsidP="00D435F2">
      <w:pPr>
        <w:pStyle w:val="ListBullet"/>
        <w:rPr>
          <w:rStyle w:val="Strong"/>
          <w:b w:val="0"/>
          <w:bCs w:val="0"/>
          <w:noProof/>
        </w:rPr>
      </w:pPr>
      <w:r>
        <w:rPr>
          <w:noProof/>
        </w:rPr>
        <w:t>explains relation</w:t>
      </w:r>
      <w:r w:rsidR="00B80E8B">
        <w:rPr>
          <w:noProof/>
        </w:rPr>
        <w:t>s</w:t>
      </w:r>
      <w:r>
        <w:rPr>
          <w:noProof/>
        </w:rPr>
        <w:t xml:space="preserve">hips between sustainability, design and production </w:t>
      </w:r>
      <w:r>
        <w:rPr>
          <w:rStyle w:val="Strong"/>
        </w:rPr>
        <w:t>TE4-SDP-01</w:t>
      </w:r>
    </w:p>
    <w:p w14:paraId="7DE1A260" w14:textId="77777777" w:rsidR="00D435F2" w:rsidRPr="005A348A" w:rsidRDefault="00D435F2" w:rsidP="00D435F2">
      <w:pPr>
        <w:pStyle w:val="ListBullet"/>
        <w:rPr>
          <w:rStyle w:val="Strong"/>
          <w:b w:val="0"/>
          <w:bCs w:val="0"/>
          <w:noProof/>
        </w:rPr>
      </w:pPr>
      <w:r w:rsidRPr="005A348A">
        <w:rPr>
          <w:noProof/>
        </w:rPr>
        <w:t>describes the practices and processes of designers and producers</w:t>
      </w:r>
      <w:r w:rsidRPr="005A348A">
        <w:rPr>
          <w:b/>
          <w:bCs/>
          <w:noProof/>
        </w:rPr>
        <w:t xml:space="preserve"> </w:t>
      </w:r>
      <w:r>
        <w:rPr>
          <w:rStyle w:val="Strong"/>
        </w:rPr>
        <w:t>TE4-PDP-01</w:t>
      </w:r>
    </w:p>
    <w:p w14:paraId="7A157FC0" w14:textId="6CC86537" w:rsidR="008F5BBD" w:rsidRDefault="00000000" w:rsidP="008F5BBD">
      <w:pPr>
        <w:pStyle w:val="Imageattributioncaption"/>
      </w:pPr>
      <w:hyperlink r:id="rId8" w:history="1">
        <w:r w:rsidR="00614973">
          <w:rPr>
            <w:rStyle w:val="Hyperlink"/>
          </w:rPr>
          <w:t>Technology 7–8 Syllabus</w:t>
        </w:r>
      </w:hyperlink>
      <w:r w:rsidR="00D435F2">
        <w:t xml:space="preserve"> </w:t>
      </w:r>
      <w:r w:rsidR="008F5BBD" w:rsidRPr="00915F7E">
        <w:t>©</w:t>
      </w:r>
      <w:r w:rsidR="008F5BBD" w:rsidRPr="00C63EA7">
        <w:t xml:space="preserve"> NSW Education Standards Authority (NESA) for and on behalf of the Crown in right of the State of New South Wales, </w:t>
      </w:r>
      <w:r w:rsidR="00D435F2">
        <w:t>2023</w:t>
      </w:r>
      <w:r w:rsidR="008F5BBD" w:rsidRPr="00C63EA7">
        <w:t>.</w:t>
      </w:r>
    </w:p>
    <w:p w14:paraId="43693D55" w14:textId="03AC7F00" w:rsidR="0008611F" w:rsidRPr="0008611F" w:rsidRDefault="0008611F" w:rsidP="0008611F">
      <w:pPr>
        <w:rPr>
          <w:b/>
          <w:bCs/>
        </w:rPr>
      </w:pPr>
      <w:r w:rsidRPr="008C0C29">
        <w:rPr>
          <w:rStyle w:val="Strong"/>
        </w:rPr>
        <w:t>Suggested weighting</w:t>
      </w:r>
      <w:r w:rsidRPr="008C0C29">
        <w:t>:</w:t>
      </w:r>
      <w:r w:rsidR="00D5149B">
        <w:t xml:space="preserve"> 2</w:t>
      </w:r>
      <w:r w:rsidR="000A40F9">
        <w:t>5</w:t>
      </w:r>
      <w:r w:rsidR="00D5149B">
        <w:t>%</w:t>
      </w:r>
    </w:p>
    <w:p w14:paraId="5FF6544E" w14:textId="48698DDD" w:rsidR="00212D70" w:rsidRDefault="00941269" w:rsidP="00212D70">
      <w:pPr>
        <w:pStyle w:val="FeatureBox"/>
      </w:pPr>
      <w:r>
        <w:t>Select</w:t>
      </w:r>
      <w:r w:rsidR="00212D70">
        <w:t xml:space="preserve"> a common agricultural food crop grown in NSW, research the production and supply chain and identify stages where sustainability plays a significant role.</w:t>
      </w:r>
    </w:p>
    <w:p w14:paraId="7935F6E3" w14:textId="1474388C" w:rsidR="00212D70" w:rsidRDefault="00212D70" w:rsidP="00212D70">
      <w:pPr>
        <w:pStyle w:val="FeatureBox"/>
      </w:pPr>
      <w:r>
        <w:t xml:space="preserve">Create a flowchart outlining the journey of the crop grown in </w:t>
      </w:r>
      <w:r w:rsidR="003C0EC7">
        <w:t>NSW</w:t>
      </w:r>
      <w:r>
        <w:t xml:space="preserve"> through the supply chain </w:t>
      </w:r>
      <w:r w:rsidR="00614973">
        <w:t>–</w:t>
      </w:r>
      <w:r>
        <w:t xml:space="preserve"> from planting to reaching customers.</w:t>
      </w:r>
    </w:p>
    <w:p w14:paraId="3C438074" w14:textId="090F992E" w:rsidR="00212D70" w:rsidRPr="00212D70" w:rsidRDefault="00212D70" w:rsidP="00212D70">
      <w:pPr>
        <w:pStyle w:val="FeatureBox"/>
      </w:pPr>
      <w:r>
        <w:t xml:space="preserve">Choose </w:t>
      </w:r>
      <w:r w:rsidR="00EE280A">
        <w:t>3</w:t>
      </w:r>
      <w:r>
        <w:t xml:space="preserve"> key stages that use practices or technologies to improve sustainability. For each of these stages, explain how these practices help make the process more sustainable.</w:t>
      </w:r>
    </w:p>
    <w:p w14:paraId="7A66F237" w14:textId="244CCF5F" w:rsidR="00DB11F7" w:rsidRPr="00DB11F7" w:rsidRDefault="00DB11F7" w:rsidP="00D5149B">
      <w:pPr>
        <w:rPr>
          <w:rStyle w:val="Strong"/>
        </w:rPr>
      </w:pPr>
      <w:r w:rsidRPr="00DB11F7">
        <w:rPr>
          <w:rStyle w:val="Strong"/>
        </w:rPr>
        <w:t>Research the production process</w:t>
      </w:r>
    </w:p>
    <w:p w14:paraId="5A673452" w14:textId="39989F20" w:rsidR="00DB11F7" w:rsidRPr="00DB11F7" w:rsidRDefault="002222F3" w:rsidP="00D5149B">
      <w:pPr>
        <w:pStyle w:val="ListBullet"/>
      </w:pPr>
      <w:r>
        <w:t>Pick</w:t>
      </w:r>
      <w:r w:rsidR="00DB11F7" w:rsidRPr="00DB11F7">
        <w:t xml:space="preserve"> one common agricultural </w:t>
      </w:r>
      <w:r w:rsidR="00565B0D">
        <w:t>food crop</w:t>
      </w:r>
      <w:r w:rsidR="00DB11F7" w:rsidRPr="00DB11F7">
        <w:t xml:space="preserve"> grown in </w:t>
      </w:r>
      <w:r w:rsidR="00756F81">
        <w:t>NSW</w:t>
      </w:r>
      <w:r w:rsidR="00C20DEB">
        <w:t>,</w:t>
      </w:r>
      <w:r w:rsidR="00DB11F7" w:rsidRPr="00DB11F7">
        <w:t xml:space="preserve"> for example, apples</w:t>
      </w:r>
      <w:r w:rsidR="00047724">
        <w:t>.</w:t>
      </w:r>
    </w:p>
    <w:p w14:paraId="444F0FDF" w14:textId="43538642" w:rsidR="00DB11F7" w:rsidRPr="00DB11F7" w:rsidRDefault="002222F3" w:rsidP="00D5149B">
      <w:pPr>
        <w:pStyle w:val="ListBullet"/>
      </w:pPr>
      <w:r>
        <w:t>Investigate the</w:t>
      </w:r>
      <w:r w:rsidR="008F66C4">
        <w:t xml:space="preserve"> production</w:t>
      </w:r>
      <w:r>
        <w:t xml:space="preserve"> </w:t>
      </w:r>
      <w:r w:rsidR="00D05592">
        <w:t>and</w:t>
      </w:r>
      <w:r>
        <w:t xml:space="preserve"> supply chain</w:t>
      </w:r>
      <w:r w:rsidR="00D05592">
        <w:t xml:space="preserve"> of your chosen</w:t>
      </w:r>
      <w:r w:rsidR="002A1A18">
        <w:t xml:space="preserve"> food crop</w:t>
      </w:r>
      <w:r>
        <w:t>. Research the main st</w:t>
      </w:r>
      <w:r w:rsidR="001B1980">
        <w:t>ages</w:t>
      </w:r>
      <w:r>
        <w:t xml:space="preserve">, starting with </w:t>
      </w:r>
      <w:r w:rsidR="00FD2F25">
        <w:t xml:space="preserve">how the soil is prepared or </w:t>
      </w:r>
      <w:r>
        <w:t>how it is planted</w:t>
      </w:r>
      <w:r w:rsidR="00685911">
        <w:t>,</w:t>
      </w:r>
      <w:r>
        <w:t xml:space="preserve"> follow</w:t>
      </w:r>
      <w:r w:rsidR="00685911">
        <w:t>ing</w:t>
      </w:r>
      <w:r>
        <w:t xml:space="preserve"> through all stages until it </w:t>
      </w:r>
      <w:r w:rsidR="0025333F">
        <w:t>reaches</w:t>
      </w:r>
      <w:r w:rsidDel="00685911">
        <w:t xml:space="preserve"> </w:t>
      </w:r>
      <w:r>
        <w:t>customers in stores.</w:t>
      </w:r>
    </w:p>
    <w:p w14:paraId="2820AEF0" w14:textId="02B383FC" w:rsidR="00DB11F7" w:rsidRPr="00DB11F7" w:rsidRDefault="002222F3" w:rsidP="00D5149B">
      <w:pPr>
        <w:pStyle w:val="ListBullet"/>
      </w:pPr>
      <w:r>
        <w:t>I</w:t>
      </w:r>
      <w:r w:rsidR="00DB11F7" w:rsidRPr="00DB11F7">
        <w:t xml:space="preserve">dentify </w:t>
      </w:r>
      <w:r w:rsidR="00736543">
        <w:t>3</w:t>
      </w:r>
      <w:r w:rsidR="00DB11F7" w:rsidRPr="00DB11F7">
        <w:t xml:space="preserve"> key s</w:t>
      </w:r>
      <w:r>
        <w:t xml:space="preserve">tages where </w:t>
      </w:r>
      <w:r w:rsidR="004A7AF4">
        <w:t xml:space="preserve">specific practises or technologies could contribute to </w:t>
      </w:r>
      <w:r>
        <w:t>sustainability.</w:t>
      </w:r>
    </w:p>
    <w:p w14:paraId="08E3E743" w14:textId="31BC23AA" w:rsidR="00DB11F7" w:rsidRPr="00DB11F7" w:rsidRDefault="00DB11F7" w:rsidP="00D5149B">
      <w:pPr>
        <w:pStyle w:val="ListBullet"/>
      </w:pPr>
      <w:r w:rsidRPr="00DB11F7">
        <w:t xml:space="preserve">For the </w:t>
      </w:r>
      <w:r w:rsidR="00736543">
        <w:t>3</w:t>
      </w:r>
      <w:r w:rsidR="00047724">
        <w:t xml:space="preserve"> </w:t>
      </w:r>
      <w:r w:rsidR="002222F3">
        <w:t>chosen stages</w:t>
      </w:r>
      <w:r w:rsidRPr="00DB11F7">
        <w:t>, research</w:t>
      </w:r>
      <w:r w:rsidR="00D5149B">
        <w:t xml:space="preserve"> one</w:t>
      </w:r>
      <w:r w:rsidRPr="00DB11F7">
        <w:t xml:space="preserve"> sustainab</w:t>
      </w:r>
      <w:r w:rsidR="00AD54C2">
        <w:t>le</w:t>
      </w:r>
      <w:r w:rsidRPr="00DB11F7">
        <w:t xml:space="preserve"> practice or technolog</w:t>
      </w:r>
      <w:r w:rsidR="00AD54C2">
        <w:t>y</w:t>
      </w:r>
      <w:r w:rsidRPr="00DB11F7">
        <w:t xml:space="preserve"> used in that part of the </w:t>
      </w:r>
      <w:r w:rsidR="00C11E82" w:rsidRPr="00DB11F7">
        <w:t xml:space="preserve">production </w:t>
      </w:r>
      <w:r w:rsidR="00C11E82">
        <w:t>and</w:t>
      </w:r>
      <w:r w:rsidR="00412774">
        <w:t xml:space="preserve"> supply chain.</w:t>
      </w:r>
      <w:r w:rsidRPr="00DB11F7">
        <w:t xml:space="preserve"> This could </w:t>
      </w:r>
      <w:r w:rsidR="002222F3" w:rsidRPr="002222F3">
        <w:t>be things like water-saving irrigation systems, energy-efficient equipment or recycling waste.</w:t>
      </w:r>
    </w:p>
    <w:p w14:paraId="66A7DABA" w14:textId="19B0F46C" w:rsidR="00DB11F7" w:rsidRPr="008A74F4" w:rsidRDefault="00DB11F7" w:rsidP="008A74F4">
      <w:r w:rsidRPr="00DB11F7">
        <w:rPr>
          <w:rStyle w:val="Strong"/>
        </w:rPr>
        <w:lastRenderedPageBreak/>
        <w:t>Design an annotated flowchart</w:t>
      </w:r>
    </w:p>
    <w:p w14:paraId="65B568E8" w14:textId="4226F194" w:rsidR="002222F3" w:rsidRDefault="002222F3" w:rsidP="00D5149B">
      <w:pPr>
        <w:pStyle w:val="ListBullet"/>
      </w:pPr>
      <w:r w:rsidRPr="002222F3">
        <w:t xml:space="preserve">Make a simple flowchart showing the entire supply chain for your crop, from start to finish. You can use </w:t>
      </w:r>
      <w:r w:rsidR="00C363BE">
        <w:t xml:space="preserve">ovals, rectangles, </w:t>
      </w:r>
      <w:r w:rsidRPr="002222F3">
        <w:t xml:space="preserve">arrows, </w:t>
      </w:r>
      <w:r w:rsidR="009E333D">
        <w:t xml:space="preserve">parallelograms </w:t>
      </w:r>
      <w:r w:rsidRPr="002222F3">
        <w:t>and simple drawings to represent each stage.</w:t>
      </w:r>
    </w:p>
    <w:p w14:paraId="4C1D75B1" w14:textId="26E21B06" w:rsidR="00E251EF" w:rsidRDefault="00E251EF" w:rsidP="00D5149B">
      <w:pPr>
        <w:pStyle w:val="ListBullet"/>
      </w:pPr>
      <w:r>
        <w:t xml:space="preserve">Flowcharts can be </w:t>
      </w:r>
      <w:r w:rsidR="0051218B">
        <w:t>hand-drawn or created digitally using software such as Canva, Lucid Chart, Miro or Google Docs</w:t>
      </w:r>
      <w:r w:rsidR="006E16B0">
        <w:t>.</w:t>
      </w:r>
    </w:p>
    <w:p w14:paraId="48358F71" w14:textId="349D8789" w:rsidR="00FA0B21" w:rsidRDefault="00FA0B21" w:rsidP="00FA0B21">
      <w:pPr>
        <w:pStyle w:val="ListBullet"/>
      </w:pPr>
      <w:r>
        <w:t xml:space="preserve">Write a </w:t>
      </w:r>
      <w:r w:rsidR="0065407C">
        <w:t>concise</w:t>
      </w:r>
      <w:r>
        <w:t xml:space="preserve"> explanation for each sustainable practice or technolog</w:t>
      </w:r>
      <w:r w:rsidR="007761A8">
        <w:t>y</w:t>
      </w:r>
      <w:r>
        <w:t xml:space="preserve"> researched, describing how it </w:t>
      </w:r>
      <w:r w:rsidR="00C04119">
        <w:t>supports</w:t>
      </w:r>
      <w:r>
        <w:t xml:space="preserve"> the environment or makes the supply chain more sustainable. Think about how it uses fewer resources, produces less waste or has a smaller impact on the </w:t>
      </w:r>
      <w:r w:rsidR="00CE25F4">
        <w:t>environment</w:t>
      </w:r>
      <w:r>
        <w:t>.</w:t>
      </w:r>
    </w:p>
    <w:p w14:paraId="56D2D445" w14:textId="1A65645E" w:rsidR="00FA0B21" w:rsidRPr="00DB11F7" w:rsidRDefault="00FA0B21" w:rsidP="00FA0B21">
      <w:pPr>
        <w:pStyle w:val="ListBullet"/>
      </w:pPr>
      <w:r w:rsidRPr="00FA0B21">
        <w:t>Make sure your flowchart is easy to read and understand. Use different colours, clear labels or other helpful features to make it interesting and informative.</w:t>
      </w:r>
    </w:p>
    <w:p w14:paraId="4A20AC28" w14:textId="3EC83C92" w:rsidR="00BD1A84" w:rsidRPr="00BD1A84" w:rsidRDefault="00BD1A84" w:rsidP="00BD1A84">
      <w:pPr>
        <w:pStyle w:val="Caption"/>
      </w:pPr>
      <w:r>
        <w:t xml:space="preserve">Table </w:t>
      </w:r>
      <w:r>
        <w:fldChar w:fldCharType="begin"/>
      </w:r>
      <w:r>
        <w:instrText xml:space="preserve"> SEQ Table \* ARABIC </w:instrText>
      </w:r>
      <w:r>
        <w:fldChar w:fldCharType="separate"/>
      </w:r>
      <w:r w:rsidR="000D4FC2">
        <w:rPr>
          <w:noProof/>
        </w:rPr>
        <w:t>1</w:t>
      </w:r>
      <w:r>
        <w:fldChar w:fldCharType="end"/>
      </w:r>
      <w:r>
        <w:t xml:space="preserve"> – parts of a flowchart</w:t>
      </w:r>
    </w:p>
    <w:tbl>
      <w:tblPr>
        <w:tblStyle w:val="Tableheader"/>
        <w:tblW w:w="0" w:type="auto"/>
        <w:tblLook w:val="06A0" w:firstRow="1" w:lastRow="0" w:firstColumn="1" w:lastColumn="0" w:noHBand="1" w:noVBand="1"/>
        <w:tblDescription w:val="Flowchart symbols and their meanings."/>
      </w:tblPr>
      <w:tblGrid>
        <w:gridCol w:w="3397"/>
        <w:gridCol w:w="6231"/>
      </w:tblGrid>
      <w:tr w:rsidR="00694050" w14:paraId="5EC19704" w14:textId="77777777" w:rsidTr="004A7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DDFC9C4" w14:textId="3973496A" w:rsidR="00694050" w:rsidRDefault="004A7AF4" w:rsidP="00924097">
            <w:r>
              <w:t>Flowchart s</w:t>
            </w:r>
            <w:r w:rsidR="002D3F1E">
              <w:t>ymbol</w:t>
            </w:r>
          </w:p>
        </w:tc>
        <w:tc>
          <w:tcPr>
            <w:tcW w:w="6231" w:type="dxa"/>
          </w:tcPr>
          <w:p w14:paraId="2D4C2F5C" w14:textId="0341399B" w:rsidR="00694050" w:rsidRDefault="002D3F1E" w:rsidP="00924097">
            <w:pPr>
              <w:cnfStyle w:val="100000000000" w:firstRow="1" w:lastRow="0" w:firstColumn="0" w:lastColumn="0" w:oddVBand="0" w:evenVBand="0" w:oddHBand="0" w:evenHBand="0" w:firstRowFirstColumn="0" w:firstRowLastColumn="0" w:lastRowFirstColumn="0" w:lastRowLastColumn="0"/>
            </w:pPr>
            <w:r>
              <w:t>Meaning</w:t>
            </w:r>
          </w:p>
        </w:tc>
      </w:tr>
      <w:tr w:rsidR="00694050" w14:paraId="04447E5C" w14:textId="77777777" w:rsidTr="004A7AF4">
        <w:tc>
          <w:tcPr>
            <w:cnfStyle w:val="001000000000" w:firstRow="0" w:lastRow="0" w:firstColumn="1" w:lastColumn="0" w:oddVBand="0" w:evenVBand="0" w:oddHBand="0" w:evenHBand="0" w:firstRowFirstColumn="0" w:firstRowLastColumn="0" w:lastRowFirstColumn="0" w:lastRowLastColumn="0"/>
            <w:tcW w:w="3397" w:type="dxa"/>
          </w:tcPr>
          <w:p w14:paraId="43CB4FF1" w14:textId="682B0678" w:rsidR="00694050" w:rsidRDefault="00694050" w:rsidP="00924097">
            <w:r w:rsidRPr="00AD2F42">
              <w:rPr>
                <w:noProof/>
              </w:rPr>
              <w:drawing>
                <wp:inline distT="0" distB="0" distL="0" distR="0" wp14:anchorId="55A40B99" wp14:editId="58BDDC1A">
                  <wp:extent cx="981075" cy="544339"/>
                  <wp:effectExtent l="0" t="0" r="0" b="8255"/>
                  <wp:docPr id="1262066212" name="Picture 1" descr="Oval flowchar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66212" name="Picture 1" descr="Oval flowchart symbol."/>
                          <pic:cNvPicPr/>
                        </pic:nvPicPr>
                        <pic:blipFill rotWithShape="1">
                          <a:blip r:embed="rId9"/>
                          <a:srcRect r="62947" b="60339"/>
                          <a:stretch/>
                        </pic:blipFill>
                        <pic:spPr bwMode="auto">
                          <a:xfrm>
                            <a:off x="0" y="0"/>
                            <a:ext cx="989316" cy="548911"/>
                          </a:xfrm>
                          <a:prstGeom prst="rect">
                            <a:avLst/>
                          </a:prstGeom>
                          <a:ln>
                            <a:noFill/>
                          </a:ln>
                          <a:extLst>
                            <a:ext uri="{53640926-AAD7-44D8-BBD7-CCE9431645EC}">
                              <a14:shadowObscured xmlns:a14="http://schemas.microsoft.com/office/drawing/2010/main"/>
                            </a:ext>
                          </a:extLst>
                        </pic:spPr>
                      </pic:pic>
                    </a:graphicData>
                  </a:graphic>
                </wp:inline>
              </w:drawing>
            </w:r>
          </w:p>
        </w:tc>
        <w:tc>
          <w:tcPr>
            <w:tcW w:w="6231" w:type="dxa"/>
          </w:tcPr>
          <w:p w14:paraId="69C6A212" w14:textId="00EA095B" w:rsidR="00694050" w:rsidRDefault="005F78FF" w:rsidP="00924097">
            <w:pPr>
              <w:cnfStyle w:val="000000000000" w:firstRow="0" w:lastRow="0" w:firstColumn="0" w:lastColumn="0" w:oddVBand="0" w:evenVBand="0" w:oddHBand="0" w:evenHBand="0" w:firstRowFirstColumn="0" w:firstRowLastColumn="0" w:lastRowFirstColumn="0" w:lastRowLastColumn="0"/>
            </w:pPr>
            <w:r>
              <w:t>T</w:t>
            </w:r>
            <w:r w:rsidR="0021167D" w:rsidRPr="0021167D">
              <w:t>he starting or ending point of the system</w:t>
            </w:r>
            <w:r>
              <w:t>.</w:t>
            </w:r>
          </w:p>
        </w:tc>
      </w:tr>
      <w:tr w:rsidR="00694050" w14:paraId="68D64461" w14:textId="77777777" w:rsidTr="004A7AF4">
        <w:tc>
          <w:tcPr>
            <w:cnfStyle w:val="001000000000" w:firstRow="0" w:lastRow="0" w:firstColumn="1" w:lastColumn="0" w:oddVBand="0" w:evenVBand="0" w:oddHBand="0" w:evenHBand="0" w:firstRowFirstColumn="0" w:firstRowLastColumn="0" w:lastRowFirstColumn="0" w:lastRowLastColumn="0"/>
            <w:tcW w:w="3397" w:type="dxa"/>
          </w:tcPr>
          <w:p w14:paraId="52B03F86" w14:textId="58D9B181" w:rsidR="00694050" w:rsidRDefault="00694050" w:rsidP="00924097">
            <w:r w:rsidRPr="00AD2F42">
              <w:rPr>
                <w:noProof/>
              </w:rPr>
              <w:drawing>
                <wp:inline distT="0" distB="0" distL="0" distR="0" wp14:anchorId="327B89F1" wp14:editId="6C5265B1">
                  <wp:extent cx="952500" cy="524212"/>
                  <wp:effectExtent l="0" t="0" r="0" b="9525"/>
                  <wp:docPr id="1859956013" name="Picture 1" descr="Rectangle flowchar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56013" name="Picture 1" descr="Rectangle flowchart symbol."/>
                          <pic:cNvPicPr/>
                        </pic:nvPicPr>
                        <pic:blipFill rotWithShape="1">
                          <a:blip r:embed="rId9"/>
                          <a:srcRect l="58444" r="4201" b="60339"/>
                          <a:stretch/>
                        </pic:blipFill>
                        <pic:spPr bwMode="auto">
                          <a:xfrm>
                            <a:off x="0" y="0"/>
                            <a:ext cx="964809" cy="530986"/>
                          </a:xfrm>
                          <a:prstGeom prst="rect">
                            <a:avLst/>
                          </a:prstGeom>
                          <a:ln>
                            <a:noFill/>
                          </a:ln>
                          <a:extLst>
                            <a:ext uri="{53640926-AAD7-44D8-BBD7-CCE9431645EC}">
                              <a14:shadowObscured xmlns:a14="http://schemas.microsoft.com/office/drawing/2010/main"/>
                            </a:ext>
                          </a:extLst>
                        </pic:spPr>
                      </pic:pic>
                    </a:graphicData>
                  </a:graphic>
                </wp:inline>
              </w:drawing>
            </w:r>
          </w:p>
        </w:tc>
        <w:tc>
          <w:tcPr>
            <w:tcW w:w="6231" w:type="dxa"/>
          </w:tcPr>
          <w:p w14:paraId="4E81E90C" w14:textId="7EE37F26" w:rsidR="00694050" w:rsidRDefault="00002CDE" w:rsidP="00924097">
            <w:pPr>
              <w:cnfStyle w:val="000000000000" w:firstRow="0" w:lastRow="0" w:firstColumn="0" w:lastColumn="0" w:oddVBand="0" w:evenVBand="0" w:oddHBand="0" w:evenHBand="0" w:firstRowFirstColumn="0" w:firstRowLastColumn="0" w:lastRowFirstColumn="0" w:lastRowLastColumn="0"/>
            </w:pPr>
            <w:r>
              <w:t>A single step or action in a process</w:t>
            </w:r>
            <w:r w:rsidR="005F78FF">
              <w:t>.</w:t>
            </w:r>
          </w:p>
        </w:tc>
      </w:tr>
      <w:tr w:rsidR="00694050" w14:paraId="01913071" w14:textId="77777777" w:rsidTr="004A7AF4">
        <w:tc>
          <w:tcPr>
            <w:cnfStyle w:val="001000000000" w:firstRow="0" w:lastRow="0" w:firstColumn="1" w:lastColumn="0" w:oddVBand="0" w:evenVBand="0" w:oddHBand="0" w:evenHBand="0" w:firstRowFirstColumn="0" w:firstRowLastColumn="0" w:lastRowFirstColumn="0" w:lastRowLastColumn="0"/>
            <w:tcW w:w="3397" w:type="dxa"/>
          </w:tcPr>
          <w:p w14:paraId="5C42697F" w14:textId="4FC60194" w:rsidR="00694050" w:rsidRDefault="00694050" w:rsidP="00924097">
            <w:r w:rsidRPr="00AD2F42">
              <w:rPr>
                <w:noProof/>
              </w:rPr>
              <w:drawing>
                <wp:inline distT="0" distB="0" distL="0" distR="0" wp14:anchorId="7A37631A" wp14:editId="162327EF">
                  <wp:extent cx="1066800" cy="637958"/>
                  <wp:effectExtent l="0" t="0" r="0" b="0"/>
                  <wp:docPr id="720490350" name="Picture 1" descr="Rhobus flowchar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90350" name="Picture 1" descr="Rhobus flowchart symbol."/>
                          <pic:cNvPicPr/>
                        </pic:nvPicPr>
                        <pic:blipFill rotWithShape="1">
                          <a:blip r:embed="rId9"/>
                          <a:srcRect l="1839" t="57017" r="58968" b="-2233"/>
                          <a:stretch/>
                        </pic:blipFill>
                        <pic:spPr bwMode="auto">
                          <a:xfrm>
                            <a:off x="0" y="0"/>
                            <a:ext cx="1083188" cy="647758"/>
                          </a:xfrm>
                          <a:prstGeom prst="rect">
                            <a:avLst/>
                          </a:prstGeom>
                          <a:ln>
                            <a:noFill/>
                          </a:ln>
                          <a:extLst>
                            <a:ext uri="{53640926-AAD7-44D8-BBD7-CCE9431645EC}">
                              <a14:shadowObscured xmlns:a14="http://schemas.microsoft.com/office/drawing/2010/main"/>
                            </a:ext>
                          </a:extLst>
                        </pic:spPr>
                      </pic:pic>
                    </a:graphicData>
                  </a:graphic>
                </wp:inline>
              </w:drawing>
            </w:r>
          </w:p>
        </w:tc>
        <w:tc>
          <w:tcPr>
            <w:tcW w:w="6231" w:type="dxa"/>
          </w:tcPr>
          <w:p w14:paraId="7AD61283" w14:textId="2DCDB02A" w:rsidR="00694050" w:rsidRDefault="00002CDE" w:rsidP="00924097">
            <w:pPr>
              <w:cnfStyle w:val="000000000000" w:firstRow="0" w:lastRow="0" w:firstColumn="0" w:lastColumn="0" w:oddVBand="0" w:evenVBand="0" w:oddHBand="0" w:evenHBand="0" w:firstRowFirstColumn="0" w:firstRowLastColumn="0" w:lastRowFirstColumn="0" w:lastRowLastColumn="0"/>
            </w:pPr>
            <w:r>
              <w:t>An input into the process.</w:t>
            </w:r>
          </w:p>
        </w:tc>
      </w:tr>
      <w:tr w:rsidR="00CA66D8" w14:paraId="65B7C9F5" w14:textId="77777777" w:rsidTr="004A7AF4">
        <w:tc>
          <w:tcPr>
            <w:cnfStyle w:val="001000000000" w:firstRow="0" w:lastRow="0" w:firstColumn="1" w:lastColumn="0" w:oddVBand="0" w:evenVBand="0" w:oddHBand="0" w:evenHBand="0" w:firstRowFirstColumn="0" w:firstRowLastColumn="0" w:lastRowFirstColumn="0" w:lastRowLastColumn="0"/>
            <w:tcW w:w="3397" w:type="dxa"/>
          </w:tcPr>
          <w:p w14:paraId="795850EF" w14:textId="3449869A" w:rsidR="00CA66D8" w:rsidRPr="00AD2F42" w:rsidRDefault="00902C52" w:rsidP="00924097">
            <w:r w:rsidRPr="00902C52">
              <w:rPr>
                <w:noProof/>
              </w:rPr>
              <w:drawing>
                <wp:inline distT="0" distB="0" distL="0" distR="0" wp14:anchorId="03BD9B1D" wp14:editId="449FFF92">
                  <wp:extent cx="493395" cy="627104"/>
                  <wp:effectExtent l="0" t="0" r="1905" b="1905"/>
                  <wp:docPr id="1382907649" name="Picture 1" descr="Arrow flowchar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07649" name="Picture 1" descr="Arrow flowchart symbol."/>
                          <pic:cNvPicPr/>
                        </pic:nvPicPr>
                        <pic:blipFill rotWithShape="1">
                          <a:blip r:embed="rId10"/>
                          <a:srcRect l="-44701" t="46359"/>
                          <a:stretch/>
                        </pic:blipFill>
                        <pic:spPr bwMode="auto">
                          <a:xfrm>
                            <a:off x="0" y="0"/>
                            <a:ext cx="496193" cy="630661"/>
                          </a:xfrm>
                          <a:prstGeom prst="rect">
                            <a:avLst/>
                          </a:prstGeom>
                          <a:ln>
                            <a:noFill/>
                          </a:ln>
                          <a:extLst>
                            <a:ext uri="{53640926-AAD7-44D8-BBD7-CCE9431645EC}">
                              <a14:shadowObscured xmlns:a14="http://schemas.microsoft.com/office/drawing/2010/main"/>
                            </a:ext>
                          </a:extLst>
                        </pic:spPr>
                      </pic:pic>
                    </a:graphicData>
                  </a:graphic>
                </wp:inline>
              </w:drawing>
            </w:r>
          </w:p>
        </w:tc>
        <w:tc>
          <w:tcPr>
            <w:tcW w:w="6231" w:type="dxa"/>
          </w:tcPr>
          <w:p w14:paraId="4C25EB11" w14:textId="3737CCC8" w:rsidR="00CA66D8" w:rsidRDefault="00C54B05" w:rsidP="00924097">
            <w:pPr>
              <w:cnfStyle w:val="000000000000" w:firstRow="0" w:lastRow="0" w:firstColumn="0" w:lastColumn="0" w:oddVBand="0" w:evenVBand="0" w:oddHBand="0" w:evenHBand="0" w:firstRowFirstColumn="0" w:firstRowLastColumn="0" w:lastRowFirstColumn="0" w:lastRowLastColumn="0"/>
            </w:pPr>
            <w:r>
              <w:t>U</w:t>
            </w:r>
            <w:r w:rsidRPr="00C54B05">
              <w:t>sed to guide the viewer along their flowcharting path</w:t>
            </w:r>
            <w:r w:rsidR="009D013F">
              <w:t>.</w:t>
            </w:r>
          </w:p>
        </w:tc>
      </w:tr>
    </w:tbl>
    <w:p w14:paraId="3BE8F514" w14:textId="011E6397" w:rsidR="003C4673" w:rsidRDefault="00487CAD">
      <w:pPr>
        <w:suppressAutoHyphens w:val="0"/>
        <w:spacing w:before="0" w:after="160" w:line="259" w:lineRule="auto"/>
      </w:pPr>
      <w:r>
        <w:br w:type="page"/>
      </w:r>
    </w:p>
    <w:p w14:paraId="6668ACA4" w14:textId="77777777" w:rsidR="00F12D5C" w:rsidRDefault="00F12D5C" w:rsidP="006F1A55">
      <w:pPr>
        <w:pStyle w:val="Heading2"/>
      </w:pPr>
      <w:bookmarkStart w:id="1" w:name="_Toc175563522"/>
      <w:r>
        <w:lastRenderedPageBreak/>
        <w:t xml:space="preserve">Submission </w:t>
      </w:r>
      <w:r w:rsidRPr="006F1A55">
        <w:t>details</w:t>
      </w:r>
      <w:bookmarkEnd w:id="1"/>
    </w:p>
    <w:p w14:paraId="7860DEFB" w14:textId="287E90F8" w:rsidR="00BF091C" w:rsidRPr="00D5149B" w:rsidRDefault="00BF091C" w:rsidP="00F12D5C">
      <w:pPr>
        <w:rPr>
          <w:rStyle w:val="Strong"/>
        </w:rPr>
      </w:pPr>
      <w:r w:rsidRPr="00D5149B">
        <w:rPr>
          <w:rStyle w:val="Strong"/>
        </w:rPr>
        <w:t>Format of submission</w:t>
      </w:r>
    </w:p>
    <w:p w14:paraId="472EA7A3" w14:textId="7849CC9F" w:rsidR="00DB11F7" w:rsidRDefault="00DB11F7" w:rsidP="00D5149B">
      <w:pPr>
        <w:pStyle w:val="ListBullet"/>
      </w:pPr>
      <w:r w:rsidRPr="00DB11F7">
        <w:t>The final submission should be</w:t>
      </w:r>
      <w:r w:rsidR="00BF091C" w:rsidRPr="00D5149B">
        <w:t xml:space="preserve"> an</w:t>
      </w:r>
      <w:r w:rsidRPr="00DB11F7">
        <w:t xml:space="preserve"> annotated flowchart, demonstrating your understanding of the production supply chain and the sustainability practices in the industry.</w:t>
      </w:r>
    </w:p>
    <w:p w14:paraId="26EE94F9" w14:textId="4ABA2C30" w:rsidR="008C2189" w:rsidRDefault="00EE4AE9" w:rsidP="00047724">
      <w:pPr>
        <w:pStyle w:val="ListBullet"/>
      </w:pPr>
      <w:r>
        <w:t>Flowchart</w:t>
      </w:r>
      <w:r w:rsidR="00C409CF">
        <w:t>s</w:t>
      </w:r>
      <w:r>
        <w:t xml:space="preserve"> can be </w:t>
      </w:r>
      <w:r w:rsidR="004A7FD0">
        <w:t xml:space="preserve">created and </w:t>
      </w:r>
      <w:r>
        <w:t>submitted digitally</w:t>
      </w:r>
      <w:r w:rsidR="00537EA3">
        <w:t xml:space="preserve"> </w:t>
      </w:r>
      <w:r>
        <w:t>or as a hard copy.</w:t>
      </w:r>
    </w:p>
    <w:p w14:paraId="7EB6ED4A" w14:textId="5DD9E19B" w:rsidR="0016429E" w:rsidRDefault="008C2189" w:rsidP="008C2189">
      <w:pPr>
        <w:suppressAutoHyphens w:val="0"/>
        <w:spacing w:before="0" w:after="160" w:line="259" w:lineRule="auto"/>
      </w:pPr>
      <w:r>
        <w:br w:type="page"/>
      </w:r>
    </w:p>
    <w:p w14:paraId="26EA8389" w14:textId="21F2B6B9" w:rsidR="00F12D5C" w:rsidRDefault="00F12D5C" w:rsidP="00E64A83">
      <w:pPr>
        <w:pStyle w:val="Heading1"/>
        <w:pageBreakBefore/>
      </w:pPr>
      <w:bookmarkStart w:id="2" w:name="_Toc175563523"/>
      <w:r>
        <w:lastRenderedPageBreak/>
        <w:t>Steps to success</w:t>
      </w:r>
      <w:bookmarkEnd w:id="2"/>
    </w:p>
    <w:p w14:paraId="5C681D1A" w14:textId="068F5494" w:rsidR="000D4FC2" w:rsidRPr="000D4FC2" w:rsidRDefault="000D4FC2" w:rsidP="000D4FC2">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assessment preparation schedule</w:t>
      </w:r>
    </w:p>
    <w:tbl>
      <w:tblPr>
        <w:tblStyle w:val="Tableheader"/>
        <w:tblW w:w="5000" w:type="pct"/>
        <w:tblLayout w:type="fixed"/>
        <w:tblLook w:val="04A0" w:firstRow="1" w:lastRow="0" w:firstColumn="1" w:lastColumn="0" w:noHBand="0" w:noVBand="1"/>
        <w:tblDescription w:val="Table outlining steps to success, what needs to be done and when it should be done."/>
      </w:tblPr>
      <w:tblGrid>
        <w:gridCol w:w="3257"/>
        <w:gridCol w:w="6373"/>
      </w:tblGrid>
      <w:tr w:rsidR="00885539" w:rsidRPr="00AB6046" w14:paraId="6E9D8F75" w14:textId="77777777" w:rsidTr="008855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17A132D3" w14:textId="2AD6B870" w:rsidR="00F12D5C" w:rsidRPr="00AB6046" w:rsidRDefault="00F12D5C" w:rsidP="00AB6046">
            <w:r w:rsidRPr="00AB6046">
              <w:t>Steps</w:t>
            </w:r>
          </w:p>
        </w:tc>
        <w:tc>
          <w:tcPr>
            <w:tcW w:w="3309" w:type="pct"/>
          </w:tcPr>
          <w:p w14:paraId="1E278ECA" w14:textId="5D7E19F7" w:rsidR="00F12D5C" w:rsidRPr="00AB6046" w:rsidRDefault="00F12D5C" w:rsidP="00AB6046">
            <w:pPr>
              <w:cnfStyle w:val="100000000000" w:firstRow="1" w:lastRow="0" w:firstColumn="0" w:lastColumn="0" w:oddVBand="0" w:evenVBand="0" w:oddHBand="0" w:evenHBand="0" w:firstRowFirstColumn="0" w:firstRowLastColumn="0" w:lastRowFirstColumn="0" w:lastRowLastColumn="0"/>
            </w:pPr>
            <w:r w:rsidRPr="00AB6046">
              <w:t>What I need to do</w:t>
            </w:r>
            <w:r w:rsidR="0014077B" w:rsidRPr="00AB6046">
              <w:t xml:space="preserve"> and</w:t>
            </w:r>
            <w:r w:rsidR="00217ACE" w:rsidRPr="00AB6046">
              <w:t xml:space="preserve"> </w:t>
            </w:r>
            <w:r w:rsidRPr="00AB6046">
              <w:t>when I need to do it</w:t>
            </w:r>
            <w:r w:rsidR="00BC6CB4">
              <w:t>?</w:t>
            </w:r>
          </w:p>
        </w:tc>
      </w:tr>
      <w:tr w:rsidR="00885539" w:rsidRPr="00AB6046" w14:paraId="40992743" w14:textId="77777777" w:rsidTr="00885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2D955E90" w14:textId="1EDA5550" w:rsidR="00F12D5C" w:rsidRPr="00AB6046" w:rsidRDefault="00AB6046" w:rsidP="00AB6046">
            <w:r w:rsidRPr="00AB6046">
              <w:t>Choose an agricultural plant</w:t>
            </w:r>
          </w:p>
        </w:tc>
        <w:tc>
          <w:tcPr>
            <w:tcW w:w="3309" w:type="pct"/>
          </w:tcPr>
          <w:p w14:paraId="1A4C52B4" w14:textId="22C87F63" w:rsidR="00AB6046" w:rsidRPr="00AB6046" w:rsidRDefault="00AB6046" w:rsidP="00AB6046">
            <w:pPr>
              <w:cnfStyle w:val="000000100000" w:firstRow="0" w:lastRow="0" w:firstColumn="0" w:lastColumn="0" w:oddVBand="0" w:evenVBand="0" w:oddHBand="1" w:evenHBand="0" w:firstRowFirstColumn="0" w:firstRowLastColumn="0" w:lastRowFirstColumn="0" w:lastRowLastColumn="0"/>
            </w:pPr>
            <w:r w:rsidRPr="00AB6046">
              <w:rPr>
                <w:rStyle w:val="Strong"/>
              </w:rPr>
              <w:t xml:space="preserve">What </w:t>
            </w:r>
            <w:r w:rsidR="00A8163D">
              <w:rPr>
                <w:rStyle w:val="Strong"/>
              </w:rPr>
              <w:t xml:space="preserve">do </w:t>
            </w:r>
            <w:r w:rsidRPr="00AB6046">
              <w:rPr>
                <w:rStyle w:val="Strong"/>
              </w:rPr>
              <w:t>I need to do</w:t>
            </w:r>
            <w:r w:rsidR="00BC6CB4">
              <w:rPr>
                <w:rStyle w:val="Strong"/>
              </w:rPr>
              <w:t>?</w:t>
            </w:r>
            <w:r w:rsidRPr="00AB6046">
              <w:t xml:space="preserve"> </w:t>
            </w:r>
            <w:r w:rsidR="00BC6CB4">
              <w:t>S</w:t>
            </w:r>
            <w:r w:rsidRPr="00AB6046">
              <w:t>elect a common agricultural plant grown in New South Wales</w:t>
            </w:r>
            <w:r w:rsidR="00190A92">
              <w:t>.</w:t>
            </w:r>
            <w:r w:rsidR="00047724">
              <w:t xml:space="preserve"> For example, apples, </w:t>
            </w:r>
            <w:r w:rsidR="00EC2F61">
              <w:t>wheat</w:t>
            </w:r>
            <w:r w:rsidR="00047724">
              <w:t xml:space="preserve"> or grapes.</w:t>
            </w:r>
          </w:p>
          <w:p w14:paraId="565972E2" w14:textId="24383378" w:rsidR="00F12D5C" w:rsidRPr="00AB6046" w:rsidRDefault="00BC6CB4" w:rsidP="00AB6046">
            <w:pPr>
              <w:cnfStyle w:val="000000100000" w:firstRow="0" w:lastRow="0" w:firstColumn="0" w:lastColumn="0" w:oddVBand="0" w:evenVBand="0" w:oddHBand="1" w:evenHBand="0" w:firstRowFirstColumn="0" w:firstRowLastColumn="0" w:lastRowFirstColumn="0" w:lastRowLastColumn="0"/>
            </w:pPr>
            <w:r w:rsidRPr="00AB6046">
              <w:rPr>
                <w:rStyle w:val="Strong"/>
              </w:rPr>
              <w:t>When do I need to do it</w:t>
            </w:r>
            <w:r>
              <w:rPr>
                <w:rStyle w:val="Strong"/>
              </w:rPr>
              <w:t>?</w:t>
            </w:r>
            <w:r w:rsidR="00AB6046" w:rsidRPr="00AB6046">
              <w:t xml:space="preserve"> </w:t>
            </w:r>
            <w:r>
              <w:t>C</w:t>
            </w:r>
            <w:r w:rsidR="00AB6046" w:rsidRPr="00AB6046">
              <w:t xml:space="preserve">omplete this during the initial research phase, ideally within </w:t>
            </w:r>
            <w:r w:rsidR="00AF2734">
              <w:t>one</w:t>
            </w:r>
            <w:r w:rsidR="00C5030D">
              <w:t xml:space="preserve"> to 2 days</w:t>
            </w:r>
            <w:r w:rsidR="00AB6046" w:rsidRPr="00AB6046">
              <w:t>.</w:t>
            </w:r>
          </w:p>
        </w:tc>
      </w:tr>
      <w:tr w:rsidR="00885539" w:rsidRPr="00AB6046" w14:paraId="6B7C6BB4" w14:textId="77777777" w:rsidTr="008855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4E84030A" w14:textId="1E539E77" w:rsidR="00F12D5C" w:rsidRPr="00AB6046" w:rsidRDefault="00AB6046" w:rsidP="00AB6046">
            <w:r w:rsidRPr="00AB6046">
              <w:t>Research the supply chain</w:t>
            </w:r>
          </w:p>
        </w:tc>
        <w:tc>
          <w:tcPr>
            <w:tcW w:w="3309" w:type="pct"/>
          </w:tcPr>
          <w:p w14:paraId="349051D9" w14:textId="1B1B51B9" w:rsidR="00AB6046" w:rsidRPr="00AB6046" w:rsidRDefault="00BC6CB4" w:rsidP="00AB6046">
            <w:pPr>
              <w:cnfStyle w:val="000000010000" w:firstRow="0" w:lastRow="0" w:firstColumn="0" w:lastColumn="0" w:oddVBand="0" w:evenVBand="0" w:oddHBand="0" w:evenHBand="1" w:firstRowFirstColumn="0" w:firstRowLastColumn="0" w:lastRowFirstColumn="0" w:lastRowLastColumn="0"/>
            </w:pPr>
            <w:r w:rsidRPr="00AB6046">
              <w:rPr>
                <w:rStyle w:val="Strong"/>
              </w:rPr>
              <w:t xml:space="preserve">What </w:t>
            </w:r>
            <w:r w:rsidR="00A8163D">
              <w:rPr>
                <w:rStyle w:val="Strong"/>
              </w:rPr>
              <w:t xml:space="preserve">do </w:t>
            </w:r>
            <w:r w:rsidRPr="00AB6046">
              <w:rPr>
                <w:rStyle w:val="Strong"/>
              </w:rPr>
              <w:t>I need to do</w:t>
            </w:r>
            <w:r>
              <w:rPr>
                <w:rStyle w:val="Strong"/>
              </w:rPr>
              <w:t>?</w:t>
            </w:r>
            <w:r w:rsidRPr="00AB6046">
              <w:t xml:space="preserve"> </w:t>
            </w:r>
            <w:r>
              <w:t>R</w:t>
            </w:r>
            <w:r w:rsidR="00AB6046" w:rsidRPr="00AB6046">
              <w:t xml:space="preserve">esearch the entire </w:t>
            </w:r>
            <w:r w:rsidR="001272AF">
              <w:t xml:space="preserve">production </w:t>
            </w:r>
            <w:r w:rsidR="00AB6046" w:rsidRPr="00AB6046">
              <w:t>supply chain for your chosen plant, from planting to customer</w:t>
            </w:r>
            <w:r w:rsidR="00212E16">
              <w:t xml:space="preserve"> use</w:t>
            </w:r>
            <w:r w:rsidR="00AB6046" w:rsidRPr="00AB6046">
              <w:t>. Consider stages such as growing, harvesting, processing, packaging and distribution.</w:t>
            </w:r>
          </w:p>
          <w:p w14:paraId="39757E56" w14:textId="6F532CB2" w:rsidR="00F12D5C" w:rsidRPr="00AB6046" w:rsidRDefault="00AB6046" w:rsidP="00AB6046">
            <w:pPr>
              <w:cnfStyle w:val="000000010000" w:firstRow="0" w:lastRow="0" w:firstColumn="0" w:lastColumn="0" w:oddVBand="0" w:evenVBand="0" w:oddHBand="0" w:evenHBand="1" w:firstRowFirstColumn="0" w:firstRowLastColumn="0" w:lastRowFirstColumn="0" w:lastRowLastColumn="0"/>
            </w:pPr>
            <w:r w:rsidRPr="00AB6046">
              <w:rPr>
                <w:rStyle w:val="Strong"/>
              </w:rPr>
              <w:t xml:space="preserve">When do I need to do </w:t>
            </w:r>
            <w:r w:rsidR="00BC6CB4" w:rsidRPr="00AB6046">
              <w:rPr>
                <w:rStyle w:val="Strong"/>
              </w:rPr>
              <w:t>it</w:t>
            </w:r>
            <w:r w:rsidR="00BC6CB4">
              <w:rPr>
                <w:rStyle w:val="Strong"/>
              </w:rPr>
              <w:t>?</w:t>
            </w:r>
            <w:r w:rsidRPr="00AB6046">
              <w:t xml:space="preserve"> </w:t>
            </w:r>
            <w:r w:rsidR="00BC6CB4">
              <w:t>D</w:t>
            </w:r>
            <w:r w:rsidRPr="00AB6046">
              <w:t xml:space="preserve">edicate </w:t>
            </w:r>
            <w:r w:rsidR="0051643C">
              <w:t>2 – 3 days t</w:t>
            </w:r>
            <w:r w:rsidRPr="00AB6046">
              <w:t xml:space="preserve">o gather information from textbooks, online resources or other educational </w:t>
            </w:r>
            <w:r w:rsidR="001272AF">
              <w:t>sources</w:t>
            </w:r>
            <w:r w:rsidRPr="00AB6046">
              <w:t>.</w:t>
            </w:r>
          </w:p>
        </w:tc>
      </w:tr>
      <w:tr w:rsidR="00885539" w:rsidRPr="00AB6046" w14:paraId="3757337D" w14:textId="77777777" w:rsidTr="00885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1F3CB6A7" w14:textId="6A3F254F" w:rsidR="00F12D5C" w:rsidRPr="00AB6046" w:rsidRDefault="00AB6046" w:rsidP="00AB6046">
            <w:r w:rsidRPr="00AB6046">
              <w:t xml:space="preserve">Identify </w:t>
            </w:r>
            <w:r w:rsidR="00C7399B">
              <w:t>3</w:t>
            </w:r>
            <w:r w:rsidR="00C7399B" w:rsidRPr="00AB6046">
              <w:t xml:space="preserve"> </w:t>
            </w:r>
            <w:r w:rsidRPr="00AB6046">
              <w:t>key sections to focus on</w:t>
            </w:r>
          </w:p>
        </w:tc>
        <w:tc>
          <w:tcPr>
            <w:tcW w:w="3309" w:type="pct"/>
          </w:tcPr>
          <w:p w14:paraId="20E74051" w14:textId="64E6AE56" w:rsidR="00AB6046" w:rsidRPr="00AB6046" w:rsidRDefault="00BC6CB4" w:rsidP="00AB6046">
            <w:pPr>
              <w:cnfStyle w:val="000000100000" w:firstRow="0" w:lastRow="0" w:firstColumn="0" w:lastColumn="0" w:oddVBand="0" w:evenVBand="0" w:oddHBand="1" w:evenHBand="0" w:firstRowFirstColumn="0" w:firstRowLastColumn="0" w:lastRowFirstColumn="0" w:lastRowLastColumn="0"/>
            </w:pPr>
            <w:r w:rsidRPr="00AB6046">
              <w:rPr>
                <w:rStyle w:val="Strong"/>
              </w:rPr>
              <w:t>What</w:t>
            </w:r>
            <w:r w:rsidR="00A8163D">
              <w:rPr>
                <w:rStyle w:val="Strong"/>
              </w:rPr>
              <w:t xml:space="preserve"> do</w:t>
            </w:r>
            <w:r w:rsidRPr="00AB6046">
              <w:rPr>
                <w:rStyle w:val="Strong"/>
              </w:rPr>
              <w:t xml:space="preserve"> I need to do</w:t>
            </w:r>
            <w:r>
              <w:rPr>
                <w:rStyle w:val="Strong"/>
              </w:rPr>
              <w:t>?</w:t>
            </w:r>
            <w:r w:rsidRPr="00AB6046">
              <w:t xml:space="preserve"> </w:t>
            </w:r>
            <w:r>
              <w:t>F</w:t>
            </w:r>
            <w:r w:rsidR="00AB6046" w:rsidRPr="00AB6046">
              <w:t xml:space="preserve">rom the </w:t>
            </w:r>
            <w:r w:rsidR="00BB2583">
              <w:t xml:space="preserve">production </w:t>
            </w:r>
            <w:r w:rsidR="00AB6046" w:rsidRPr="00AB6046">
              <w:t xml:space="preserve">supply chain, identify </w:t>
            </w:r>
            <w:r w:rsidR="00736543">
              <w:t>3</w:t>
            </w:r>
            <w:r w:rsidR="00AB6046" w:rsidRPr="00AB6046">
              <w:t xml:space="preserve"> key sections where sustainability is particularly </w:t>
            </w:r>
            <w:r w:rsidR="00190A92" w:rsidRPr="00AB6046">
              <w:t>relevant,</w:t>
            </w:r>
            <w:r w:rsidR="00AB6046" w:rsidRPr="00AB6046">
              <w:t xml:space="preserve"> or technology plays a significant role.</w:t>
            </w:r>
            <w:r w:rsidR="00D5149B">
              <w:t xml:space="preserve"> </w:t>
            </w:r>
            <w:r w:rsidR="00D5149B" w:rsidRPr="00DB11F7">
              <w:t xml:space="preserve">For example, you might choose </w:t>
            </w:r>
            <w:r w:rsidR="00D5149B" w:rsidRPr="00CF358B">
              <w:rPr>
                <w:rStyle w:val="Strong"/>
              </w:rPr>
              <w:t>growing</w:t>
            </w:r>
            <w:r w:rsidR="00D5149B" w:rsidRPr="00DB11F7">
              <w:t xml:space="preserve">, </w:t>
            </w:r>
            <w:r w:rsidR="00D5149B" w:rsidRPr="00CF358B">
              <w:rPr>
                <w:rStyle w:val="Strong"/>
              </w:rPr>
              <w:t>processing</w:t>
            </w:r>
            <w:r w:rsidR="00D5149B" w:rsidRPr="00DB11F7">
              <w:t xml:space="preserve"> and </w:t>
            </w:r>
            <w:r w:rsidR="00D5149B" w:rsidRPr="00CF358B">
              <w:rPr>
                <w:rStyle w:val="Strong"/>
              </w:rPr>
              <w:t>distribution</w:t>
            </w:r>
            <w:r w:rsidR="00D5149B" w:rsidRPr="00DB11F7">
              <w:t xml:space="preserve"> as your key sections.</w:t>
            </w:r>
          </w:p>
          <w:p w14:paraId="7737EB9F" w14:textId="50D4A322" w:rsidR="00F12D5C" w:rsidRPr="00AB6046" w:rsidRDefault="00BC6CB4" w:rsidP="00AB6046">
            <w:pPr>
              <w:cnfStyle w:val="000000100000" w:firstRow="0" w:lastRow="0" w:firstColumn="0" w:lastColumn="0" w:oddVBand="0" w:evenVBand="0" w:oddHBand="1" w:evenHBand="0" w:firstRowFirstColumn="0" w:firstRowLastColumn="0" w:lastRowFirstColumn="0" w:lastRowLastColumn="0"/>
            </w:pPr>
            <w:r w:rsidRPr="00AB6046">
              <w:rPr>
                <w:rStyle w:val="Strong"/>
              </w:rPr>
              <w:t>When do I need to do it</w:t>
            </w:r>
            <w:r>
              <w:rPr>
                <w:rStyle w:val="Strong"/>
              </w:rPr>
              <w:t>?</w:t>
            </w:r>
            <w:r w:rsidRPr="00AB6046">
              <w:t xml:space="preserve"> </w:t>
            </w:r>
            <w:r>
              <w:t>T</w:t>
            </w:r>
            <w:r w:rsidR="00AB6046" w:rsidRPr="00AB6046">
              <w:t xml:space="preserve">his should be done once you have a general understanding of the </w:t>
            </w:r>
            <w:r w:rsidR="003300FD">
              <w:t xml:space="preserve">production </w:t>
            </w:r>
            <w:r w:rsidR="00AB6046" w:rsidRPr="00AB6046">
              <w:t>supply chain. Aim to complete this step within the first week.</w:t>
            </w:r>
          </w:p>
        </w:tc>
      </w:tr>
      <w:tr w:rsidR="00885539" w:rsidRPr="00AB6046" w14:paraId="2BC35151" w14:textId="77777777" w:rsidTr="008855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6725D5F4" w14:textId="37640DF6" w:rsidR="00AB6046" w:rsidRPr="00AB6046" w:rsidRDefault="00AB6046" w:rsidP="00AB6046">
            <w:r w:rsidRPr="00AB6046">
              <w:t xml:space="preserve">Research sustainability practices in the </w:t>
            </w:r>
            <w:r w:rsidR="00C7399B">
              <w:t xml:space="preserve">3 </w:t>
            </w:r>
            <w:r w:rsidRPr="00AB6046">
              <w:t>sections identified above</w:t>
            </w:r>
          </w:p>
        </w:tc>
        <w:tc>
          <w:tcPr>
            <w:tcW w:w="3309" w:type="pct"/>
          </w:tcPr>
          <w:p w14:paraId="32798974" w14:textId="5D0F5CF8" w:rsidR="00AB6046" w:rsidRPr="00AB6046" w:rsidRDefault="00BC6CB4" w:rsidP="00AB6046">
            <w:pPr>
              <w:cnfStyle w:val="000000010000" w:firstRow="0" w:lastRow="0" w:firstColumn="0" w:lastColumn="0" w:oddVBand="0" w:evenVBand="0" w:oddHBand="0" w:evenHBand="1" w:firstRowFirstColumn="0" w:firstRowLastColumn="0" w:lastRowFirstColumn="0" w:lastRowLastColumn="0"/>
            </w:pPr>
            <w:r w:rsidRPr="00AB6046">
              <w:rPr>
                <w:rStyle w:val="Strong"/>
              </w:rPr>
              <w:t xml:space="preserve">What </w:t>
            </w:r>
            <w:r w:rsidR="00A8163D">
              <w:rPr>
                <w:rStyle w:val="Strong"/>
              </w:rPr>
              <w:t xml:space="preserve">do </w:t>
            </w:r>
            <w:r w:rsidRPr="00AB6046">
              <w:rPr>
                <w:rStyle w:val="Strong"/>
              </w:rPr>
              <w:t>I need to do</w:t>
            </w:r>
            <w:r>
              <w:rPr>
                <w:rStyle w:val="Strong"/>
              </w:rPr>
              <w:t>?</w:t>
            </w:r>
            <w:r w:rsidRPr="00AB6046">
              <w:t xml:space="preserve"> </w:t>
            </w:r>
            <w:r>
              <w:t>F</w:t>
            </w:r>
            <w:r w:rsidR="00AB6046" w:rsidRPr="00AB6046">
              <w:t xml:space="preserve">or each of the </w:t>
            </w:r>
            <w:r w:rsidR="00736543">
              <w:t>3</w:t>
            </w:r>
            <w:r w:rsidR="00736543" w:rsidRPr="00AB6046">
              <w:t xml:space="preserve"> </w:t>
            </w:r>
            <w:r w:rsidR="00AB6046" w:rsidRPr="00AB6046">
              <w:t>key sections, research specific sustainability practices or technologies used in that part of the production process.</w:t>
            </w:r>
          </w:p>
          <w:p w14:paraId="318DE628" w14:textId="52FB4719" w:rsidR="00AB6046" w:rsidRPr="00AB6046" w:rsidRDefault="00BC6CB4" w:rsidP="00AB6046">
            <w:pPr>
              <w:cnfStyle w:val="000000010000" w:firstRow="0" w:lastRow="0" w:firstColumn="0" w:lastColumn="0" w:oddVBand="0" w:evenVBand="0" w:oddHBand="0" w:evenHBand="1" w:firstRowFirstColumn="0" w:firstRowLastColumn="0" w:lastRowFirstColumn="0" w:lastRowLastColumn="0"/>
            </w:pPr>
            <w:r w:rsidRPr="00AB6046">
              <w:rPr>
                <w:rStyle w:val="Strong"/>
              </w:rPr>
              <w:t>When do I need to do it</w:t>
            </w:r>
            <w:r>
              <w:rPr>
                <w:rStyle w:val="Strong"/>
              </w:rPr>
              <w:t>?</w:t>
            </w:r>
            <w:r w:rsidR="00AB6046" w:rsidRPr="00AB6046">
              <w:t xml:space="preserve"> </w:t>
            </w:r>
            <w:r>
              <w:t>T</w:t>
            </w:r>
            <w:r w:rsidR="00AB6046" w:rsidRPr="00AB6046">
              <w:t xml:space="preserve">his will require additional research and analysis. Aim to complete this step by the end of the first </w:t>
            </w:r>
            <w:r w:rsidR="00AB6046" w:rsidRPr="00AB6046">
              <w:lastRenderedPageBreak/>
              <w:t>week.</w:t>
            </w:r>
          </w:p>
        </w:tc>
      </w:tr>
      <w:tr w:rsidR="00AB6046" w:rsidRPr="00AB6046" w14:paraId="12398EAF" w14:textId="77777777" w:rsidTr="00885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641A0FFE" w14:textId="52459401" w:rsidR="00AB6046" w:rsidRPr="00AB6046" w:rsidRDefault="00AB6046" w:rsidP="00AB6046">
            <w:r w:rsidRPr="00AB6046">
              <w:lastRenderedPageBreak/>
              <w:t>Design a flow chart</w:t>
            </w:r>
          </w:p>
        </w:tc>
        <w:tc>
          <w:tcPr>
            <w:tcW w:w="3309" w:type="pct"/>
          </w:tcPr>
          <w:p w14:paraId="77821C21" w14:textId="073AC515" w:rsidR="00AB6046" w:rsidRPr="00AB6046" w:rsidRDefault="00BC6CB4" w:rsidP="00AB6046">
            <w:pPr>
              <w:cnfStyle w:val="000000100000" w:firstRow="0" w:lastRow="0" w:firstColumn="0" w:lastColumn="0" w:oddVBand="0" w:evenVBand="0" w:oddHBand="1" w:evenHBand="0" w:firstRowFirstColumn="0" w:firstRowLastColumn="0" w:lastRowFirstColumn="0" w:lastRowLastColumn="0"/>
            </w:pPr>
            <w:r w:rsidRPr="00AB6046">
              <w:rPr>
                <w:rStyle w:val="Strong"/>
              </w:rPr>
              <w:t xml:space="preserve">What </w:t>
            </w:r>
            <w:r w:rsidR="00A8163D">
              <w:rPr>
                <w:rStyle w:val="Strong"/>
              </w:rPr>
              <w:t xml:space="preserve">do </w:t>
            </w:r>
            <w:r w:rsidRPr="00AB6046">
              <w:rPr>
                <w:rStyle w:val="Strong"/>
              </w:rPr>
              <w:t>I need to do</w:t>
            </w:r>
            <w:r>
              <w:rPr>
                <w:rStyle w:val="Strong"/>
              </w:rPr>
              <w:t>?</w:t>
            </w:r>
            <w:r w:rsidRPr="00AB6046">
              <w:t xml:space="preserve"> </w:t>
            </w:r>
            <w:r>
              <w:t>C</w:t>
            </w:r>
            <w:r w:rsidR="00AB6046" w:rsidRPr="00AB6046">
              <w:t>reate a flowchart that outlines the agricultural supply chain and includes annotations explaining</w:t>
            </w:r>
            <w:r>
              <w:t xml:space="preserve"> one of</w:t>
            </w:r>
            <w:r w:rsidR="00AB6046" w:rsidRPr="00AB6046">
              <w:t xml:space="preserve"> the sustainability practices or technologies in each of the </w:t>
            </w:r>
            <w:r w:rsidR="00736543">
              <w:t>3</w:t>
            </w:r>
            <w:r w:rsidR="00736543" w:rsidRPr="00AB6046">
              <w:t xml:space="preserve"> </w:t>
            </w:r>
            <w:r w:rsidR="00AB6046" w:rsidRPr="00AB6046">
              <w:t>key sections.</w:t>
            </w:r>
          </w:p>
          <w:p w14:paraId="56E45FBC" w14:textId="002D435E" w:rsidR="00AB6046" w:rsidRPr="00AB6046" w:rsidRDefault="00BC6CB4" w:rsidP="00AB6046">
            <w:pPr>
              <w:cnfStyle w:val="000000100000" w:firstRow="0" w:lastRow="0" w:firstColumn="0" w:lastColumn="0" w:oddVBand="0" w:evenVBand="0" w:oddHBand="1" w:evenHBand="0" w:firstRowFirstColumn="0" w:firstRowLastColumn="0" w:lastRowFirstColumn="0" w:lastRowLastColumn="0"/>
            </w:pPr>
            <w:r w:rsidRPr="00AB6046">
              <w:rPr>
                <w:rStyle w:val="Strong"/>
              </w:rPr>
              <w:t>When do I need to do it</w:t>
            </w:r>
            <w:r>
              <w:rPr>
                <w:rStyle w:val="Strong"/>
              </w:rPr>
              <w:t>?</w:t>
            </w:r>
            <w:r w:rsidRPr="00AB6046">
              <w:t xml:space="preserve"> </w:t>
            </w:r>
            <w:r>
              <w:t>B</w:t>
            </w:r>
            <w:r w:rsidR="00AB6046" w:rsidRPr="00AB6046">
              <w:t xml:space="preserve">egin designing the flowchart during the second week of the task. This might take </w:t>
            </w:r>
            <w:r w:rsidR="0051643C">
              <w:t>2 – 3 s</w:t>
            </w:r>
            <w:r w:rsidR="00AB6046" w:rsidRPr="00AB6046">
              <w:t>essions to complete, allowing for revisions.</w:t>
            </w:r>
          </w:p>
        </w:tc>
      </w:tr>
      <w:tr w:rsidR="00AB6046" w:rsidRPr="00AB6046" w14:paraId="5365358A" w14:textId="77777777" w:rsidTr="008855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533C37CF" w14:textId="00B34DD8" w:rsidR="00AB6046" w:rsidRPr="00AB6046" w:rsidRDefault="00AB6046" w:rsidP="00AB6046">
            <w:r w:rsidRPr="00AB6046">
              <w:t>Add annotations to the flowchart</w:t>
            </w:r>
          </w:p>
        </w:tc>
        <w:tc>
          <w:tcPr>
            <w:tcW w:w="3309" w:type="pct"/>
          </w:tcPr>
          <w:p w14:paraId="2086CD5E" w14:textId="47481C98" w:rsidR="00AB6046" w:rsidRPr="00AB6046" w:rsidRDefault="00BC6CB4" w:rsidP="00AB6046">
            <w:pPr>
              <w:cnfStyle w:val="000000010000" w:firstRow="0" w:lastRow="0" w:firstColumn="0" w:lastColumn="0" w:oddVBand="0" w:evenVBand="0" w:oddHBand="0" w:evenHBand="1" w:firstRowFirstColumn="0" w:firstRowLastColumn="0" w:lastRowFirstColumn="0" w:lastRowLastColumn="0"/>
            </w:pPr>
            <w:r w:rsidRPr="00AB6046">
              <w:rPr>
                <w:rStyle w:val="Strong"/>
              </w:rPr>
              <w:t xml:space="preserve">What </w:t>
            </w:r>
            <w:r w:rsidR="00A8163D">
              <w:rPr>
                <w:rStyle w:val="Strong"/>
              </w:rPr>
              <w:t xml:space="preserve">do </w:t>
            </w:r>
            <w:r w:rsidRPr="00AB6046">
              <w:rPr>
                <w:rStyle w:val="Strong"/>
              </w:rPr>
              <w:t>I need to do</w:t>
            </w:r>
            <w:r>
              <w:rPr>
                <w:rStyle w:val="Strong"/>
              </w:rPr>
              <w:t>?</w:t>
            </w:r>
            <w:r w:rsidRPr="00AB6046">
              <w:t xml:space="preserve"> </w:t>
            </w:r>
            <w:r>
              <w:t>A</w:t>
            </w:r>
            <w:r w:rsidR="00AB6046" w:rsidRPr="00AB6046">
              <w:t>dd annotations to the flowchart that describe the sustainability practices or technologies in each key section. Be sure to explain how these practices contribute to sustainability or impact the agricultural industry.</w:t>
            </w:r>
          </w:p>
          <w:p w14:paraId="4835CF79" w14:textId="0CC3BBC3" w:rsidR="00AB6046" w:rsidRPr="00AB6046" w:rsidRDefault="00BC6CB4" w:rsidP="00AB6046">
            <w:pPr>
              <w:cnfStyle w:val="000000010000" w:firstRow="0" w:lastRow="0" w:firstColumn="0" w:lastColumn="0" w:oddVBand="0" w:evenVBand="0" w:oddHBand="0" w:evenHBand="1" w:firstRowFirstColumn="0" w:firstRowLastColumn="0" w:lastRowFirstColumn="0" w:lastRowLastColumn="0"/>
            </w:pPr>
            <w:r w:rsidRPr="00AB6046">
              <w:rPr>
                <w:rStyle w:val="Strong"/>
              </w:rPr>
              <w:t>When do I need to do it</w:t>
            </w:r>
            <w:r>
              <w:rPr>
                <w:rStyle w:val="Strong"/>
              </w:rPr>
              <w:t>?</w:t>
            </w:r>
            <w:r w:rsidRPr="00AB6046">
              <w:t xml:space="preserve"> </w:t>
            </w:r>
            <w:r>
              <w:t>T</w:t>
            </w:r>
            <w:r w:rsidR="00AB6046" w:rsidRPr="00AB6046">
              <w:t>his step should be completed once the flowchart structure is in place. Aim to finish this step by the middle of the second week.</w:t>
            </w:r>
          </w:p>
        </w:tc>
      </w:tr>
      <w:tr w:rsidR="00AB6046" w:rsidRPr="00AB6046" w14:paraId="22253246" w14:textId="77777777" w:rsidTr="00885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389E9252" w14:textId="3927099D" w:rsidR="00AB6046" w:rsidRPr="00AB6046" w:rsidRDefault="00AB6046" w:rsidP="00AB6046">
            <w:r w:rsidRPr="00AB6046">
              <w:t>Review and revise</w:t>
            </w:r>
          </w:p>
        </w:tc>
        <w:tc>
          <w:tcPr>
            <w:tcW w:w="3309" w:type="pct"/>
          </w:tcPr>
          <w:p w14:paraId="2022CD0D" w14:textId="637E1A07" w:rsidR="008678B5" w:rsidRPr="00AB6046" w:rsidRDefault="00BC6CB4" w:rsidP="00AB6046">
            <w:pPr>
              <w:cnfStyle w:val="000000100000" w:firstRow="0" w:lastRow="0" w:firstColumn="0" w:lastColumn="0" w:oddVBand="0" w:evenVBand="0" w:oddHBand="1" w:evenHBand="0" w:firstRowFirstColumn="0" w:firstRowLastColumn="0" w:lastRowFirstColumn="0" w:lastRowLastColumn="0"/>
            </w:pPr>
            <w:r w:rsidRPr="00AB6046">
              <w:rPr>
                <w:rStyle w:val="Strong"/>
              </w:rPr>
              <w:t xml:space="preserve">What </w:t>
            </w:r>
            <w:r w:rsidR="00A8163D">
              <w:rPr>
                <w:rStyle w:val="Strong"/>
              </w:rPr>
              <w:t xml:space="preserve">do </w:t>
            </w:r>
            <w:r w:rsidRPr="00AB6046">
              <w:rPr>
                <w:rStyle w:val="Strong"/>
              </w:rPr>
              <w:t>I need to do</w:t>
            </w:r>
            <w:r>
              <w:rPr>
                <w:rStyle w:val="Strong"/>
              </w:rPr>
              <w:t>?</w:t>
            </w:r>
            <w:r w:rsidRPr="00AB6046">
              <w:t xml:space="preserve"> </w:t>
            </w:r>
            <w:r>
              <w:t>R</w:t>
            </w:r>
            <w:r w:rsidR="00AB6046" w:rsidRPr="00AB6046">
              <w:t>eview the flowchart for clarity, structure and visual appeal. Make any necessary revisions to ensure annotations are clear and informative.</w:t>
            </w:r>
            <w:r w:rsidR="00303CAB">
              <w:t xml:space="preserve"> Ask your teacher for feedback on your draft.</w:t>
            </w:r>
          </w:p>
          <w:p w14:paraId="36602982" w14:textId="14ED3421" w:rsidR="00AB6046" w:rsidRPr="00AB6046" w:rsidRDefault="00BC6CB4" w:rsidP="00AB6046">
            <w:pPr>
              <w:cnfStyle w:val="000000100000" w:firstRow="0" w:lastRow="0" w:firstColumn="0" w:lastColumn="0" w:oddVBand="0" w:evenVBand="0" w:oddHBand="1" w:evenHBand="0" w:firstRowFirstColumn="0" w:firstRowLastColumn="0" w:lastRowFirstColumn="0" w:lastRowLastColumn="0"/>
            </w:pPr>
            <w:r w:rsidRPr="00AB6046">
              <w:rPr>
                <w:rStyle w:val="Strong"/>
              </w:rPr>
              <w:t>When do I need to do it</w:t>
            </w:r>
            <w:r>
              <w:rPr>
                <w:rStyle w:val="Strong"/>
              </w:rPr>
              <w:t>?</w:t>
            </w:r>
            <w:r w:rsidR="00AB6046" w:rsidRPr="00AB6046">
              <w:t xml:space="preserve"> </w:t>
            </w:r>
            <w:r>
              <w:t>T</w:t>
            </w:r>
            <w:r w:rsidR="00AB6046" w:rsidRPr="00AB6046">
              <w:t xml:space="preserve">his should be done towards the end of the task, allowing time for final revisions and checks. Aim to complete this step </w:t>
            </w:r>
            <w:r w:rsidR="00AF2734">
              <w:t xml:space="preserve">one to 2 days </w:t>
            </w:r>
            <w:r w:rsidR="00AB6046" w:rsidRPr="00AB6046">
              <w:t>before submission.</w:t>
            </w:r>
            <w:r w:rsidR="00303CAB">
              <w:t xml:space="preserve"> If you are asking for teacher feedback, complete this earlier.</w:t>
            </w:r>
          </w:p>
        </w:tc>
      </w:tr>
      <w:tr w:rsidR="00AB6046" w:rsidRPr="00AB6046" w14:paraId="7926FDFA" w14:textId="77777777" w:rsidTr="008855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40245039" w14:textId="288AD13C" w:rsidR="00AB6046" w:rsidRPr="00AB6046" w:rsidRDefault="00AB6046" w:rsidP="00AB6046">
            <w:r w:rsidRPr="00AB6046">
              <w:t>Submit the annotate</w:t>
            </w:r>
            <w:r w:rsidR="00AC5AE1">
              <w:t>d</w:t>
            </w:r>
            <w:r w:rsidRPr="00AB6046">
              <w:t xml:space="preserve"> flowchart</w:t>
            </w:r>
          </w:p>
        </w:tc>
        <w:tc>
          <w:tcPr>
            <w:tcW w:w="3309" w:type="pct"/>
          </w:tcPr>
          <w:p w14:paraId="329721E2" w14:textId="6AF593BA" w:rsidR="00AB6046" w:rsidRPr="00AB6046" w:rsidRDefault="00BC6CB4" w:rsidP="00AB6046">
            <w:pPr>
              <w:cnfStyle w:val="000000010000" w:firstRow="0" w:lastRow="0" w:firstColumn="0" w:lastColumn="0" w:oddVBand="0" w:evenVBand="0" w:oddHBand="0" w:evenHBand="1" w:firstRowFirstColumn="0" w:firstRowLastColumn="0" w:lastRowFirstColumn="0" w:lastRowLastColumn="0"/>
            </w:pPr>
            <w:r w:rsidRPr="00AB6046">
              <w:rPr>
                <w:rStyle w:val="Strong"/>
              </w:rPr>
              <w:t>What</w:t>
            </w:r>
            <w:r w:rsidR="00A8163D">
              <w:rPr>
                <w:rStyle w:val="Strong"/>
              </w:rPr>
              <w:t xml:space="preserve"> do</w:t>
            </w:r>
            <w:r w:rsidRPr="00AB6046">
              <w:rPr>
                <w:rStyle w:val="Strong"/>
              </w:rPr>
              <w:t xml:space="preserve"> I need to do</w:t>
            </w:r>
            <w:r>
              <w:rPr>
                <w:rStyle w:val="Strong"/>
              </w:rPr>
              <w:t>?</w:t>
            </w:r>
            <w:r w:rsidRPr="00AB6046">
              <w:t xml:space="preserve"> </w:t>
            </w:r>
            <w:r>
              <w:t>S</w:t>
            </w:r>
            <w:r w:rsidR="00AB6046" w:rsidRPr="00AB6046">
              <w:t>ubmit the final annotated flowchart to the teacher for assessment. Ensure that it meets all criteria for research, design and communication.</w:t>
            </w:r>
          </w:p>
          <w:p w14:paraId="4C266CC1" w14:textId="2B46D210" w:rsidR="00AB6046" w:rsidRPr="00AB6046" w:rsidRDefault="00BC6CB4" w:rsidP="00AB6046">
            <w:pPr>
              <w:cnfStyle w:val="000000010000" w:firstRow="0" w:lastRow="0" w:firstColumn="0" w:lastColumn="0" w:oddVBand="0" w:evenVBand="0" w:oddHBand="0" w:evenHBand="1" w:firstRowFirstColumn="0" w:firstRowLastColumn="0" w:lastRowFirstColumn="0" w:lastRowLastColumn="0"/>
            </w:pPr>
            <w:r w:rsidRPr="00AB6046">
              <w:rPr>
                <w:rStyle w:val="Strong"/>
              </w:rPr>
              <w:t>When do I need to do it</w:t>
            </w:r>
            <w:r>
              <w:rPr>
                <w:rStyle w:val="Strong"/>
              </w:rPr>
              <w:t>?</w:t>
            </w:r>
            <w:r w:rsidRPr="00AB6046">
              <w:t xml:space="preserve"> </w:t>
            </w:r>
            <w:r w:rsidR="00FF4673">
              <w:t>S</w:t>
            </w:r>
            <w:r w:rsidR="00AB6046" w:rsidRPr="00AB6046">
              <w:t>ubmit the flowchart by the due date specified by your teacher.</w:t>
            </w:r>
          </w:p>
        </w:tc>
      </w:tr>
    </w:tbl>
    <w:p w14:paraId="3D527B6C" w14:textId="5D1C5B72" w:rsidR="00F12D5C" w:rsidRDefault="00F12D5C" w:rsidP="006F1A55">
      <w:pPr>
        <w:pStyle w:val="Heading1"/>
      </w:pPr>
      <w:bookmarkStart w:id="3" w:name="_Toc175563524"/>
      <w:r>
        <w:lastRenderedPageBreak/>
        <w:t>What is the teacher looking for?</w:t>
      </w:r>
      <w:bookmarkEnd w:id="3"/>
    </w:p>
    <w:p w14:paraId="45A706CD" w14:textId="1D6D4E54" w:rsidR="000D18F3" w:rsidRDefault="00BE75CF" w:rsidP="00606D8E">
      <w:r>
        <w:t>S</w:t>
      </w:r>
      <w:r w:rsidR="000D18F3" w:rsidRPr="00606D8E">
        <w:t xml:space="preserve">tudents communicate how specific sustainability practices within </w:t>
      </w:r>
      <w:r w:rsidR="000D18F3">
        <w:t>a</w:t>
      </w:r>
      <w:r w:rsidR="000D18F3" w:rsidRPr="00606D8E">
        <w:t xml:space="preserve"> </w:t>
      </w:r>
      <w:r w:rsidR="00161310">
        <w:t xml:space="preserve">production </w:t>
      </w:r>
      <w:r w:rsidR="000D18F3" w:rsidRPr="00606D8E">
        <w:t xml:space="preserve">supply chain contribute to a more environmentally conscious agricultural process. </w:t>
      </w:r>
      <w:r w:rsidR="000D18F3" w:rsidRPr="00BC5D0F">
        <w:t>Students should offer a comprehensive overview of the supply chain while highlighting the sustainable methods used at key stages.</w:t>
      </w:r>
    </w:p>
    <w:p w14:paraId="72F7E71D" w14:textId="67F037AB" w:rsidR="00B01C67" w:rsidRDefault="00BE75CF" w:rsidP="00606D8E">
      <w:r>
        <w:t>W</w:t>
      </w:r>
      <w:r w:rsidR="00BC5D0F" w:rsidRPr="00BC5D0F">
        <w:t>ork</w:t>
      </w:r>
      <w:r>
        <w:t>ing</w:t>
      </w:r>
      <w:r w:rsidR="00BC5D0F" w:rsidRPr="00BC5D0F">
        <w:t xml:space="preserve"> individually</w:t>
      </w:r>
      <w:r>
        <w:t>, students</w:t>
      </w:r>
      <w:r w:rsidR="00BC5D0F" w:rsidRPr="00BC5D0F">
        <w:t xml:space="preserve"> select a</w:t>
      </w:r>
      <w:r w:rsidR="00B46ED5">
        <w:t>n agricultural</w:t>
      </w:r>
      <w:r w:rsidR="00BC5D0F" w:rsidRPr="00BC5D0F">
        <w:t xml:space="preserve"> crop grown in New South Wales and</w:t>
      </w:r>
      <w:r>
        <w:t xml:space="preserve"> </w:t>
      </w:r>
      <w:r w:rsidR="00B01C67">
        <w:t xml:space="preserve">document the supply chain process using a flowchart representation, </w:t>
      </w:r>
      <w:r w:rsidR="00B01C67" w:rsidRPr="00606D8E">
        <w:t xml:space="preserve">with each stage clearly </w:t>
      </w:r>
      <w:r w:rsidR="00B01C67">
        <w:t>identified and accurately depicting the</w:t>
      </w:r>
      <w:r w:rsidR="00B46ED5">
        <w:t xml:space="preserve"> sequential</w:t>
      </w:r>
      <w:r w:rsidR="00B01C67">
        <w:t xml:space="preserve"> order of production.</w:t>
      </w:r>
    </w:p>
    <w:p w14:paraId="35166DF4" w14:textId="7D40E59B" w:rsidR="00BC5D0F" w:rsidRDefault="00606D8E" w:rsidP="00606D8E">
      <w:bookmarkStart w:id="4" w:name="_Hlk164691549"/>
      <w:r w:rsidRPr="00606D8E">
        <w:t xml:space="preserve">Students </w:t>
      </w:r>
      <w:r w:rsidR="00B01C67">
        <w:t xml:space="preserve">will use their understanding of the steps within the supply chain to </w:t>
      </w:r>
      <w:r w:rsidRPr="00606D8E">
        <w:t xml:space="preserve">identify significant stages where sustainability plays a crucial role. For </w:t>
      </w:r>
      <w:r w:rsidR="00736543">
        <w:t>3</w:t>
      </w:r>
      <w:r w:rsidRPr="00606D8E">
        <w:t xml:space="preserve"> key s</w:t>
      </w:r>
      <w:r w:rsidR="00B01C67">
        <w:t>t</w:t>
      </w:r>
      <w:r w:rsidR="00B46ED5">
        <w:t>ages</w:t>
      </w:r>
      <w:r w:rsidR="00B01C67">
        <w:t xml:space="preserve"> within the chain</w:t>
      </w:r>
      <w:r w:rsidRPr="00606D8E">
        <w:t xml:space="preserve">, students </w:t>
      </w:r>
      <w:r w:rsidR="00B01C67">
        <w:t>will</w:t>
      </w:r>
      <w:r w:rsidR="000D18F3" w:rsidRPr="00BC5D0F">
        <w:t xml:space="preserve"> include a concise annotation</w:t>
      </w:r>
      <w:r w:rsidR="000D18F3">
        <w:t xml:space="preserve"> that</w:t>
      </w:r>
      <w:r w:rsidR="000D18F3" w:rsidRPr="00BC5D0F">
        <w:t xml:space="preserve"> </w:t>
      </w:r>
      <w:r w:rsidR="00B46ED5">
        <w:t>describe</w:t>
      </w:r>
      <w:r w:rsidR="000D18F3">
        <w:t>s</w:t>
      </w:r>
      <w:r>
        <w:t xml:space="preserve"> a</w:t>
      </w:r>
      <w:r w:rsidR="00B01C67">
        <w:t xml:space="preserve"> production</w:t>
      </w:r>
      <w:r w:rsidRPr="00606D8E">
        <w:t xml:space="preserve"> practice or technology </w:t>
      </w:r>
      <w:r>
        <w:t>used</w:t>
      </w:r>
      <w:r w:rsidR="00B46ED5">
        <w:t xml:space="preserve"> and explain how it</w:t>
      </w:r>
      <w:r w:rsidR="00B01C67">
        <w:t xml:space="preserve"> contributes to improved sustainability</w:t>
      </w:r>
      <w:r>
        <w:t>.</w:t>
      </w:r>
    </w:p>
    <w:p w14:paraId="5BC50617" w14:textId="6A313A2F" w:rsidR="00C3405A" w:rsidRDefault="00606D8E" w:rsidP="00BE75CF">
      <w:r w:rsidRPr="00606D8E">
        <w:t>Th</w:t>
      </w:r>
      <w:r w:rsidR="00BC5D0F">
        <w:t>is</w:t>
      </w:r>
      <w:r w:rsidRPr="00606D8E">
        <w:t xml:space="preserve"> task requires students to present a</w:t>
      </w:r>
      <w:r w:rsidR="00335510">
        <w:t>n</w:t>
      </w:r>
      <w:r w:rsidRPr="00606D8E">
        <w:t xml:space="preserve"> engaging flowchart with a clear structure</w:t>
      </w:r>
      <w:r w:rsidR="00BC5D0F">
        <w:t xml:space="preserve">, </w:t>
      </w:r>
      <w:r w:rsidR="00BC5D0F" w:rsidRPr="00606D8E">
        <w:t>using symbols, shapes</w:t>
      </w:r>
      <w:r w:rsidR="00BC5D0F">
        <w:t xml:space="preserve"> or</w:t>
      </w:r>
      <w:r w:rsidR="00BC5D0F" w:rsidRPr="00606D8E">
        <w:t xml:space="preserve"> connections that make the information easy to follow and understand</w:t>
      </w:r>
      <w:r w:rsidRPr="00606D8E">
        <w:t>. Creativity is encouraged, with the use of appropriate</w:t>
      </w:r>
      <w:r w:rsidR="00335510">
        <w:t xml:space="preserve"> methods for presentation, which could includ</w:t>
      </w:r>
      <w:r w:rsidR="00BC5D0F">
        <w:t>e</w:t>
      </w:r>
      <w:r w:rsidR="00335510">
        <w:t xml:space="preserve"> digital technologies such as Canva or </w:t>
      </w:r>
      <w:proofErr w:type="spellStart"/>
      <w:r w:rsidR="00335510">
        <w:t>LucidChart</w:t>
      </w:r>
      <w:proofErr w:type="spellEnd"/>
      <w:r w:rsidR="00566479">
        <w:t>.</w:t>
      </w:r>
    </w:p>
    <w:p w14:paraId="7CD613B8" w14:textId="544F1863" w:rsidR="00B51BB5" w:rsidRPr="00566479" w:rsidRDefault="00B51BB5" w:rsidP="00BE75CF">
      <w:pPr>
        <w:sectPr w:rsidR="00B51BB5" w:rsidRPr="00566479" w:rsidSect="006F1A55">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start="0"/>
          <w:cols w:space="708"/>
          <w:titlePg/>
          <w:docGrid w:linePitch="360"/>
        </w:sectPr>
      </w:pPr>
    </w:p>
    <w:p w14:paraId="161009CC" w14:textId="270B230E" w:rsidR="00BE75CF" w:rsidRDefault="00BE75CF" w:rsidP="00BE75CF">
      <w:pPr>
        <w:rPr>
          <w:b/>
          <w:bCs/>
        </w:rPr>
      </w:pPr>
    </w:p>
    <w:p w14:paraId="77588B21" w14:textId="1A8C1020" w:rsidR="00F12D5C" w:rsidRDefault="00F12D5C" w:rsidP="00BC5D0F">
      <w:pPr>
        <w:pStyle w:val="Heading1"/>
        <w:pageBreakBefore/>
      </w:pPr>
      <w:bookmarkStart w:id="5" w:name="_Toc175563525"/>
      <w:bookmarkEnd w:id="4"/>
      <w:r w:rsidRPr="00BE5303">
        <w:lastRenderedPageBreak/>
        <w:t>Marking</w:t>
      </w:r>
      <w:r>
        <w:t xml:space="preserve"> guidelines</w:t>
      </w:r>
      <w:bookmarkEnd w:id="5"/>
    </w:p>
    <w:p w14:paraId="6A1999FC" w14:textId="7A77C2EF" w:rsidR="000D4FC2" w:rsidRPr="000D4FC2" w:rsidRDefault="000D4FC2" w:rsidP="000D4FC2">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 assessment marking guidelines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678"/>
        <w:gridCol w:w="7952"/>
      </w:tblGrid>
      <w:tr w:rsidR="00F12D5C" w14:paraId="62392DFB" w14:textId="77777777" w:rsidTr="00F12D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AA73445" w14:textId="581C1D72" w:rsidR="00F12D5C" w:rsidRDefault="00F12D5C" w:rsidP="00F22585">
            <w:r w:rsidRPr="00417683">
              <w:t>Grade</w:t>
            </w:r>
          </w:p>
        </w:tc>
        <w:tc>
          <w:tcPr>
            <w:tcW w:w="8046" w:type="dxa"/>
          </w:tcPr>
          <w:p w14:paraId="2B8D2E62" w14:textId="49A27FBF" w:rsidR="00F12D5C" w:rsidRDefault="00F12D5C" w:rsidP="00F22585">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F12D5C" w14:paraId="1089C191" w14:textId="77777777" w:rsidTr="00F12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6A5E1DB" w14:textId="3EFE969F" w:rsidR="00F12D5C" w:rsidRDefault="00885539" w:rsidP="00F12D5C">
            <w:r>
              <w:t>A</w:t>
            </w:r>
          </w:p>
        </w:tc>
        <w:tc>
          <w:tcPr>
            <w:tcW w:w="8046" w:type="dxa"/>
          </w:tcPr>
          <w:p w14:paraId="261F2C2C" w14:textId="5C2637D7" w:rsidR="00885539" w:rsidRPr="00885539" w:rsidRDefault="00885539" w:rsidP="00885539">
            <w:pPr>
              <w:pStyle w:val="ListBullet"/>
              <w:cnfStyle w:val="000000100000" w:firstRow="0" w:lastRow="0" w:firstColumn="0" w:lastColumn="0" w:oddVBand="0" w:evenVBand="0" w:oddHBand="1" w:evenHBand="0" w:firstRowFirstColumn="0" w:firstRowLastColumn="0" w:lastRowFirstColumn="0" w:lastRowLastColumn="0"/>
            </w:pPr>
            <w:r w:rsidRPr="00885539">
              <w:t>The student comprehensively explores the entire agricultural supply chain, identifying critical stages</w:t>
            </w:r>
            <w:r w:rsidR="00BB1FB3">
              <w:t>.</w:t>
            </w:r>
          </w:p>
          <w:p w14:paraId="14EE5EC4" w14:textId="55F5ACC9" w:rsidR="00885539" w:rsidRPr="00885539" w:rsidRDefault="00885539" w:rsidP="00885539">
            <w:pPr>
              <w:pStyle w:val="ListBullet"/>
              <w:cnfStyle w:val="000000100000" w:firstRow="0" w:lastRow="0" w:firstColumn="0" w:lastColumn="0" w:oddVBand="0" w:evenVBand="0" w:oddHBand="1" w:evenHBand="0" w:firstRowFirstColumn="0" w:firstRowLastColumn="0" w:lastRowFirstColumn="0" w:lastRowLastColumn="0"/>
            </w:pPr>
            <w:r w:rsidRPr="00885539">
              <w:t xml:space="preserve">The </w:t>
            </w:r>
            <w:r w:rsidR="00FF039F" w:rsidRPr="00885539">
              <w:t>student extensively</w:t>
            </w:r>
            <w:r w:rsidR="000A7ED3">
              <w:t xml:space="preserve"> </w:t>
            </w:r>
            <w:r w:rsidR="00D50026">
              <w:t>link</w:t>
            </w:r>
            <w:r w:rsidR="00180FAF">
              <w:t>s</w:t>
            </w:r>
            <w:r w:rsidR="00D50026">
              <w:t xml:space="preserve"> 3 </w:t>
            </w:r>
            <w:r w:rsidRPr="00885539">
              <w:t>stage</w:t>
            </w:r>
            <w:r>
              <w:t>s</w:t>
            </w:r>
            <w:r w:rsidRPr="00885539">
              <w:t xml:space="preserve"> to </w:t>
            </w:r>
            <w:r>
              <w:t xml:space="preserve">a </w:t>
            </w:r>
            <w:r w:rsidRPr="00885539">
              <w:t>specific sustainab</w:t>
            </w:r>
            <w:r>
              <w:t>le</w:t>
            </w:r>
            <w:r w:rsidRPr="00885539">
              <w:t xml:space="preserve"> practice or technolog</w:t>
            </w:r>
            <w:r>
              <w:t>y</w:t>
            </w:r>
            <w:r w:rsidRPr="00885539">
              <w:t>, providing</w:t>
            </w:r>
            <w:r>
              <w:t xml:space="preserve"> a</w:t>
            </w:r>
            <w:r w:rsidRPr="00885539">
              <w:t xml:space="preserve"> thorough explanation of their impact on the environment </w:t>
            </w:r>
            <w:r>
              <w:t>or</w:t>
            </w:r>
            <w:r w:rsidRPr="00885539">
              <w:t xml:space="preserve"> industry</w:t>
            </w:r>
            <w:r w:rsidR="00D50026">
              <w:t>.</w:t>
            </w:r>
          </w:p>
          <w:p w14:paraId="17B64352" w14:textId="02116804" w:rsidR="00885539" w:rsidRPr="00885539" w:rsidRDefault="00885539" w:rsidP="00885539">
            <w:pPr>
              <w:pStyle w:val="ListBullet"/>
              <w:cnfStyle w:val="000000100000" w:firstRow="0" w:lastRow="0" w:firstColumn="0" w:lastColumn="0" w:oddVBand="0" w:evenVBand="0" w:oddHBand="1" w:evenHBand="0" w:firstRowFirstColumn="0" w:firstRowLastColumn="0" w:lastRowFirstColumn="0" w:lastRowLastColumn="0"/>
            </w:pPr>
            <w:r w:rsidRPr="00885539">
              <w:t>The student</w:t>
            </w:r>
            <w:r w:rsidR="0029311F">
              <w:t xml:space="preserve">’s </w:t>
            </w:r>
            <w:r w:rsidRPr="00885539">
              <w:t>flowchart is clear, well-organised, and engaging, with detailed annotations that communicate complex ideas effectively</w:t>
            </w:r>
            <w:r w:rsidR="00D50026">
              <w:t>.</w:t>
            </w:r>
          </w:p>
          <w:p w14:paraId="64D66912" w14:textId="63DEE1A6" w:rsidR="00F12D5C" w:rsidRPr="00885539" w:rsidRDefault="00885539" w:rsidP="00885539">
            <w:pPr>
              <w:pStyle w:val="ListBullet"/>
              <w:cnfStyle w:val="000000100000" w:firstRow="0" w:lastRow="0" w:firstColumn="0" w:lastColumn="0" w:oddVBand="0" w:evenVBand="0" w:oddHBand="1" w:evenHBand="0" w:firstRowFirstColumn="0" w:firstRowLastColumn="0" w:lastRowFirstColumn="0" w:lastRowLastColumn="0"/>
            </w:pPr>
            <w:r w:rsidRPr="00885539">
              <w:t>The student demonstrates a thorough understanding of the relationship between production processes and sustainability, applying this knowledge effectively throughout the task</w:t>
            </w:r>
            <w:r w:rsidR="00FC4427">
              <w:t>.</w:t>
            </w:r>
          </w:p>
        </w:tc>
      </w:tr>
      <w:tr w:rsidR="00F12D5C" w14:paraId="42C8264B" w14:textId="77777777" w:rsidTr="00F12D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FD38BFB" w14:textId="47E533C5" w:rsidR="00F12D5C" w:rsidRDefault="00885539" w:rsidP="00F12D5C">
            <w:r>
              <w:t>B</w:t>
            </w:r>
          </w:p>
        </w:tc>
        <w:tc>
          <w:tcPr>
            <w:tcW w:w="8046" w:type="dxa"/>
          </w:tcPr>
          <w:p w14:paraId="1E0D1084" w14:textId="4B3B5E30" w:rsidR="00885539" w:rsidRDefault="00885539" w:rsidP="00885539">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734B1B">
              <w:t>tho</w:t>
            </w:r>
            <w:r w:rsidR="00FC4427">
              <w:t xml:space="preserve">roughly </w:t>
            </w:r>
            <w:r>
              <w:t xml:space="preserve">explores the agricultural supply chain in detail, identifying key stages </w:t>
            </w:r>
            <w:r w:rsidR="0070777D">
              <w:t>accurately</w:t>
            </w:r>
            <w:r w:rsidR="00FC4427">
              <w:t>.</w:t>
            </w:r>
          </w:p>
          <w:p w14:paraId="799B9B95" w14:textId="76F7B6C9" w:rsidR="00E22078" w:rsidRPr="00885539" w:rsidRDefault="00E22078" w:rsidP="00E22078">
            <w:pPr>
              <w:pStyle w:val="ListBullet"/>
              <w:cnfStyle w:val="000000010000" w:firstRow="0" w:lastRow="0" w:firstColumn="0" w:lastColumn="0" w:oddVBand="0" w:evenVBand="0" w:oddHBand="0" w:evenHBand="1" w:firstRowFirstColumn="0" w:firstRowLastColumn="0" w:lastRowFirstColumn="0" w:lastRowLastColumn="0"/>
            </w:pPr>
            <w:r w:rsidRPr="00885539">
              <w:t>The student thoroughly</w:t>
            </w:r>
            <w:r>
              <w:t xml:space="preserve"> links 3 </w:t>
            </w:r>
            <w:r w:rsidRPr="00885539">
              <w:t>stage</w:t>
            </w:r>
            <w:r>
              <w:t>s</w:t>
            </w:r>
            <w:r w:rsidRPr="00885539">
              <w:t xml:space="preserve"> to </w:t>
            </w:r>
            <w:r>
              <w:t xml:space="preserve">a </w:t>
            </w:r>
            <w:r w:rsidRPr="00885539">
              <w:t>specific sustainab</w:t>
            </w:r>
            <w:r>
              <w:t>le</w:t>
            </w:r>
            <w:r w:rsidRPr="00885539">
              <w:t xml:space="preserve"> practice or technolog</w:t>
            </w:r>
            <w:r>
              <w:t>y</w:t>
            </w:r>
            <w:r w:rsidRPr="00885539">
              <w:t>, providing</w:t>
            </w:r>
            <w:r>
              <w:t xml:space="preserve"> a</w:t>
            </w:r>
            <w:r w:rsidRPr="00885539">
              <w:t xml:space="preserve"> </w:t>
            </w:r>
            <w:r w:rsidR="0029311F">
              <w:t>detailed</w:t>
            </w:r>
            <w:r w:rsidRPr="00885539">
              <w:t xml:space="preserve"> explanation of their impact on the environment </w:t>
            </w:r>
            <w:r>
              <w:t>or</w:t>
            </w:r>
            <w:r w:rsidRPr="00885539">
              <w:t xml:space="preserve"> industry</w:t>
            </w:r>
            <w:r>
              <w:t>.</w:t>
            </w:r>
          </w:p>
          <w:p w14:paraId="77EF6D97" w14:textId="7D920166" w:rsidR="00885539" w:rsidRDefault="00885539" w:rsidP="00885539">
            <w:pPr>
              <w:pStyle w:val="ListBullet"/>
              <w:cnfStyle w:val="000000010000" w:firstRow="0" w:lastRow="0" w:firstColumn="0" w:lastColumn="0" w:oddVBand="0" w:evenVBand="0" w:oddHBand="0" w:evenHBand="1" w:firstRowFirstColumn="0" w:firstRowLastColumn="0" w:lastRowFirstColumn="0" w:lastRowLastColumn="0"/>
            </w:pPr>
            <w:r>
              <w:t xml:space="preserve">The </w:t>
            </w:r>
            <w:r w:rsidR="0029311F">
              <w:t xml:space="preserve">student’s </w:t>
            </w:r>
            <w:r>
              <w:t xml:space="preserve">flowchart is clear, </w:t>
            </w:r>
            <w:proofErr w:type="spellStart"/>
            <w:r w:rsidR="00A43A81">
              <w:t>well structured</w:t>
            </w:r>
            <w:proofErr w:type="spellEnd"/>
            <w:r w:rsidR="00A43A81">
              <w:t xml:space="preserve"> </w:t>
            </w:r>
            <w:r>
              <w:t>and includes comprehensive annotations that effectively communicate key sustainability concepts</w:t>
            </w:r>
            <w:r w:rsidR="00FC4427">
              <w:t>.</w:t>
            </w:r>
          </w:p>
          <w:p w14:paraId="41ADC76B" w14:textId="01C5C585" w:rsidR="00F12D5C" w:rsidRDefault="00885539" w:rsidP="00885539">
            <w:pPr>
              <w:pStyle w:val="ListBullet"/>
              <w:cnfStyle w:val="000000010000" w:firstRow="0" w:lastRow="0" w:firstColumn="0" w:lastColumn="0" w:oddVBand="0" w:evenVBand="0" w:oddHBand="0" w:evenHBand="1" w:firstRowFirstColumn="0" w:firstRowLastColumn="0" w:lastRowFirstColumn="0" w:lastRowLastColumn="0"/>
            </w:pPr>
            <w:r>
              <w:t xml:space="preserve">The student demonstrates a strong understanding of the relationship between production processes and sustainability, </w:t>
            </w:r>
            <w:r w:rsidR="00AC7C97">
              <w:t xml:space="preserve">applying this knowledge </w:t>
            </w:r>
            <w:r w:rsidR="00BB17E9">
              <w:t>to most of the task</w:t>
            </w:r>
            <w:r w:rsidR="00FC4427">
              <w:t>.</w:t>
            </w:r>
          </w:p>
        </w:tc>
      </w:tr>
      <w:tr w:rsidR="00F12D5C" w14:paraId="764B4C14" w14:textId="77777777" w:rsidTr="00F12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371DD98" w14:textId="3EFFD685" w:rsidR="00F12D5C" w:rsidRDefault="00885539" w:rsidP="00F12D5C">
            <w:r>
              <w:t>C</w:t>
            </w:r>
          </w:p>
        </w:tc>
        <w:tc>
          <w:tcPr>
            <w:tcW w:w="8046" w:type="dxa"/>
          </w:tcPr>
          <w:p w14:paraId="721AC2D3" w14:textId="66422DD3" w:rsidR="0070777D" w:rsidRDefault="0070777D" w:rsidP="0070777D">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0542ACA">
              <w:t xml:space="preserve">soundly </w:t>
            </w:r>
            <w:r>
              <w:t xml:space="preserve">identifies </w:t>
            </w:r>
            <w:r w:rsidR="00A97240">
              <w:t>most key</w:t>
            </w:r>
            <w:r>
              <w:t xml:space="preserve"> stages in the agricultural supply chain</w:t>
            </w:r>
            <w:r w:rsidR="00BB17E9">
              <w:t>.</w:t>
            </w:r>
          </w:p>
          <w:p w14:paraId="4858711F" w14:textId="07BA7143" w:rsidR="00885539" w:rsidRDefault="00885539" w:rsidP="00885539">
            <w:pPr>
              <w:pStyle w:val="ListBullet"/>
              <w:cnfStyle w:val="000000100000" w:firstRow="0" w:lastRow="0" w:firstColumn="0" w:lastColumn="0" w:oddVBand="0" w:evenVBand="0" w:oddHBand="1" w:evenHBand="0" w:firstRowFirstColumn="0" w:firstRowLastColumn="0" w:lastRowFirstColumn="0" w:lastRowLastColumn="0"/>
            </w:pPr>
            <w:r>
              <w:t xml:space="preserve">The student identifies </w:t>
            </w:r>
            <w:r w:rsidR="0070777D">
              <w:t xml:space="preserve">a </w:t>
            </w:r>
            <w:r>
              <w:t>specific sustainab</w:t>
            </w:r>
            <w:r w:rsidR="0070777D">
              <w:t>le</w:t>
            </w:r>
            <w:r>
              <w:t xml:space="preserve"> practice or technolog</w:t>
            </w:r>
            <w:r w:rsidR="0070777D">
              <w:t>y</w:t>
            </w:r>
            <w:r>
              <w:t xml:space="preserve"> for </w:t>
            </w:r>
            <w:r>
              <w:lastRenderedPageBreak/>
              <w:t xml:space="preserve">each of the </w:t>
            </w:r>
            <w:r w:rsidR="00736543">
              <w:t>3</w:t>
            </w:r>
            <w:r>
              <w:t xml:space="preserve"> key sections, with </w:t>
            </w:r>
            <w:r w:rsidR="002D0149">
              <w:t>sound</w:t>
            </w:r>
            <w:r>
              <w:t xml:space="preserve"> explanations of their impact on the environment or industry</w:t>
            </w:r>
            <w:r w:rsidR="00156475">
              <w:t>.</w:t>
            </w:r>
          </w:p>
          <w:p w14:paraId="03F89E63" w14:textId="02676A4A" w:rsidR="00885539" w:rsidRDefault="00885539" w:rsidP="00885539">
            <w:pPr>
              <w:pStyle w:val="ListBullet"/>
              <w:cnfStyle w:val="000000100000" w:firstRow="0" w:lastRow="0" w:firstColumn="0" w:lastColumn="0" w:oddVBand="0" w:evenVBand="0" w:oddHBand="1" w:evenHBand="0" w:firstRowFirstColumn="0" w:firstRowLastColumn="0" w:lastRowFirstColumn="0" w:lastRowLastColumn="0"/>
            </w:pPr>
            <w:r>
              <w:t xml:space="preserve">The </w:t>
            </w:r>
            <w:r w:rsidR="00A85FE1">
              <w:t xml:space="preserve">student’s </w:t>
            </w:r>
            <w:r>
              <w:t xml:space="preserve">flowchart is generally clear and </w:t>
            </w:r>
            <w:r w:rsidR="0051643C">
              <w:t>l</w:t>
            </w:r>
            <w:r w:rsidR="0022188F">
              <w:t>ogical</w:t>
            </w:r>
            <w:r>
              <w:t>, with annotations that cover the essential sustainability practices or technologies</w:t>
            </w:r>
            <w:r w:rsidR="0022188F">
              <w:t>.</w:t>
            </w:r>
          </w:p>
          <w:p w14:paraId="124EDB9A" w14:textId="5D0B1877" w:rsidR="00F12D5C" w:rsidRDefault="00885539" w:rsidP="00885539">
            <w:pPr>
              <w:pStyle w:val="ListBullet"/>
              <w:cnfStyle w:val="000000100000" w:firstRow="0" w:lastRow="0" w:firstColumn="0" w:lastColumn="0" w:oddVBand="0" w:evenVBand="0" w:oddHBand="1" w:evenHBand="0" w:firstRowFirstColumn="0" w:firstRowLastColumn="0" w:lastRowFirstColumn="0" w:lastRowLastColumn="0"/>
            </w:pPr>
            <w:r>
              <w:t xml:space="preserve">The student demonstrates a </w:t>
            </w:r>
            <w:r w:rsidR="00E25E86">
              <w:t xml:space="preserve">sound </w:t>
            </w:r>
            <w:r>
              <w:t xml:space="preserve">understanding of the relationship between production processes and </w:t>
            </w:r>
            <w:r w:rsidR="0012277D">
              <w:t>sustainability</w:t>
            </w:r>
            <w:r w:rsidR="0022188F">
              <w:t>.</w:t>
            </w:r>
          </w:p>
        </w:tc>
      </w:tr>
      <w:tr w:rsidR="00F12D5C" w14:paraId="050B0FBB" w14:textId="77777777" w:rsidTr="00F12D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1B290C1" w14:textId="77D590DE" w:rsidR="00F12D5C" w:rsidRDefault="00885539" w:rsidP="00F12D5C">
            <w:r>
              <w:lastRenderedPageBreak/>
              <w:t>D</w:t>
            </w:r>
          </w:p>
        </w:tc>
        <w:tc>
          <w:tcPr>
            <w:tcW w:w="8046" w:type="dxa"/>
          </w:tcPr>
          <w:p w14:paraId="76681B3D" w14:textId="05DD57EF" w:rsidR="00885539" w:rsidRDefault="00885539" w:rsidP="00885539">
            <w:pPr>
              <w:pStyle w:val="ListBullet"/>
              <w:cnfStyle w:val="000000010000" w:firstRow="0" w:lastRow="0" w:firstColumn="0" w:lastColumn="0" w:oddVBand="0" w:evenVBand="0" w:oddHBand="0" w:evenHBand="1" w:firstRowFirstColumn="0" w:firstRowLastColumn="0" w:lastRowFirstColumn="0" w:lastRowLastColumn="0"/>
            </w:pPr>
            <w:r>
              <w:t>The student identifies</w:t>
            </w:r>
            <w:r w:rsidR="0070777D">
              <w:t xml:space="preserve"> some </w:t>
            </w:r>
            <w:r>
              <w:t>key stages in the agricultural supply chain</w:t>
            </w:r>
            <w:r w:rsidR="0022188F">
              <w:t>.</w:t>
            </w:r>
          </w:p>
          <w:p w14:paraId="12E9E13C" w14:textId="090FD7E3" w:rsidR="00885539" w:rsidRDefault="00885539" w:rsidP="00885539">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F16E81">
              <w:t xml:space="preserve">outlines </w:t>
            </w:r>
            <w:r>
              <w:t>sustainab</w:t>
            </w:r>
            <w:r w:rsidR="0070777D">
              <w:t>le</w:t>
            </w:r>
            <w:r>
              <w:t xml:space="preserve"> practices or technologies for </w:t>
            </w:r>
            <w:r w:rsidR="00F16E81">
              <w:t xml:space="preserve">parts </w:t>
            </w:r>
            <w:r>
              <w:t xml:space="preserve">of the </w:t>
            </w:r>
            <w:r w:rsidR="00736543">
              <w:t>3</w:t>
            </w:r>
            <w:r>
              <w:t xml:space="preserve"> key sections, </w:t>
            </w:r>
            <w:r w:rsidR="00F16E81">
              <w:t xml:space="preserve">demonstrating </w:t>
            </w:r>
            <w:r w:rsidR="00096512">
              <w:t>basic knowledge and understanding</w:t>
            </w:r>
            <w:r w:rsidR="0022188F">
              <w:t>.</w:t>
            </w:r>
          </w:p>
          <w:p w14:paraId="317267D4" w14:textId="7F0059CF" w:rsidR="00885539" w:rsidRDefault="00885539" w:rsidP="00885539">
            <w:pPr>
              <w:pStyle w:val="ListBullet"/>
              <w:cnfStyle w:val="000000010000" w:firstRow="0" w:lastRow="0" w:firstColumn="0" w:lastColumn="0" w:oddVBand="0" w:evenVBand="0" w:oddHBand="0" w:evenHBand="1" w:firstRowFirstColumn="0" w:firstRowLastColumn="0" w:lastRowFirstColumn="0" w:lastRowLastColumn="0"/>
            </w:pPr>
            <w:r>
              <w:t xml:space="preserve">The flowchart </w:t>
            </w:r>
            <w:r w:rsidR="00C97339">
              <w:t>is basic</w:t>
            </w:r>
            <w:r>
              <w:t xml:space="preserve">, </w:t>
            </w:r>
            <w:r w:rsidR="00420664">
              <w:t xml:space="preserve">with brief or </w:t>
            </w:r>
            <w:r w:rsidR="002300A3">
              <w:t xml:space="preserve">unrelated </w:t>
            </w:r>
            <w:r>
              <w:t>annotations</w:t>
            </w:r>
            <w:r w:rsidR="0022188F">
              <w:t>.</w:t>
            </w:r>
          </w:p>
          <w:p w14:paraId="7A680EC2" w14:textId="6C881BAA" w:rsidR="00F12D5C" w:rsidRDefault="00885539" w:rsidP="00885539">
            <w:pPr>
              <w:pStyle w:val="ListBullet"/>
              <w:cnfStyle w:val="000000010000" w:firstRow="0" w:lastRow="0" w:firstColumn="0" w:lastColumn="0" w:oddVBand="0" w:evenVBand="0" w:oddHBand="0" w:evenHBand="1" w:firstRowFirstColumn="0" w:firstRowLastColumn="0" w:lastRowFirstColumn="0" w:lastRowLastColumn="0"/>
            </w:pPr>
            <w:r>
              <w:t xml:space="preserve">The student demonstrates a basic understanding of production processes and sustainability, </w:t>
            </w:r>
            <w:r w:rsidR="00AB6B57">
              <w:t xml:space="preserve">with </w:t>
            </w:r>
            <w:r w:rsidR="005A545A">
              <w:t>a limited level of</w:t>
            </w:r>
            <w:r>
              <w:t xml:space="preserve"> knowledge or comprehension</w:t>
            </w:r>
            <w:r w:rsidR="0022188F">
              <w:t>.</w:t>
            </w:r>
          </w:p>
        </w:tc>
      </w:tr>
      <w:tr w:rsidR="009A3902" w14:paraId="79C58334" w14:textId="77777777" w:rsidTr="00F12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26392FB" w14:textId="57238BB5" w:rsidR="009A3902" w:rsidRDefault="00885539" w:rsidP="00F12D5C">
            <w:r>
              <w:t>E</w:t>
            </w:r>
          </w:p>
        </w:tc>
        <w:tc>
          <w:tcPr>
            <w:tcW w:w="8046" w:type="dxa"/>
          </w:tcPr>
          <w:p w14:paraId="6C9FD4C0" w14:textId="50C8A3F4" w:rsidR="00885539" w:rsidRDefault="00885539" w:rsidP="00885539">
            <w:pPr>
              <w:pStyle w:val="ListBullet"/>
              <w:cnfStyle w:val="000000100000" w:firstRow="0" w:lastRow="0" w:firstColumn="0" w:lastColumn="0" w:oddVBand="0" w:evenVBand="0" w:oddHBand="1" w:evenHBand="0" w:firstRowFirstColumn="0" w:firstRowLastColumn="0" w:lastRowFirstColumn="0" w:lastRowLastColumn="0"/>
            </w:pPr>
            <w:r>
              <w:t>The student identif</w:t>
            </w:r>
            <w:r w:rsidR="008F3EC9">
              <w:t>ies a</w:t>
            </w:r>
            <w:r>
              <w:t xml:space="preserve"> key stage in the agricultural supply chain</w:t>
            </w:r>
            <w:r w:rsidR="0022188F">
              <w:t>.</w:t>
            </w:r>
          </w:p>
          <w:p w14:paraId="4AB1B905" w14:textId="2022C449" w:rsidR="00885539" w:rsidRDefault="00885539" w:rsidP="00885539">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08D55F1">
              <w:t xml:space="preserve">has an elementary </w:t>
            </w:r>
            <w:r w:rsidR="0070777D">
              <w:t>knowledge</w:t>
            </w:r>
            <w:r>
              <w:t xml:space="preserve"> of sustainability practices or technologies, with little </w:t>
            </w:r>
            <w:r w:rsidR="008D55F1">
              <w:t>or</w:t>
            </w:r>
            <w:r>
              <w:t xml:space="preserve"> no explanation of their impact</w:t>
            </w:r>
            <w:r w:rsidR="0022188F">
              <w:t>.</w:t>
            </w:r>
          </w:p>
          <w:p w14:paraId="1F13C49E" w14:textId="46A154E5" w:rsidR="00885539" w:rsidRDefault="00885539" w:rsidP="00885539">
            <w:pPr>
              <w:pStyle w:val="ListBullet"/>
              <w:cnfStyle w:val="000000100000" w:firstRow="0" w:lastRow="0" w:firstColumn="0" w:lastColumn="0" w:oddVBand="0" w:evenVBand="0" w:oddHBand="1" w:evenHBand="0" w:firstRowFirstColumn="0" w:firstRowLastColumn="0" w:lastRowFirstColumn="0" w:lastRowLastColumn="0"/>
            </w:pPr>
            <w:r>
              <w:t xml:space="preserve">The flowchart is </w:t>
            </w:r>
            <w:r w:rsidR="00024556">
              <w:t>missing or elementary</w:t>
            </w:r>
            <w:r>
              <w:t xml:space="preserve">, </w:t>
            </w:r>
            <w:r w:rsidR="00024556">
              <w:t xml:space="preserve">with </w:t>
            </w:r>
            <w:r>
              <w:t xml:space="preserve">annotations </w:t>
            </w:r>
            <w:r w:rsidR="00024556">
              <w:t>not evident</w:t>
            </w:r>
            <w:r w:rsidR="0022188F">
              <w:t>.</w:t>
            </w:r>
          </w:p>
          <w:p w14:paraId="310A78B5" w14:textId="3E10FBF2" w:rsidR="009A3902" w:rsidRDefault="00885539" w:rsidP="00885539">
            <w:pPr>
              <w:pStyle w:val="ListBullet"/>
              <w:cnfStyle w:val="000000100000" w:firstRow="0" w:lastRow="0" w:firstColumn="0" w:lastColumn="0" w:oddVBand="0" w:evenVBand="0" w:oddHBand="1" w:evenHBand="0" w:firstRowFirstColumn="0" w:firstRowLastColumn="0" w:lastRowFirstColumn="0" w:lastRowLastColumn="0"/>
            </w:pPr>
            <w:r>
              <w:t xml:space="preserve">The student demonstrates </w:t>
            </w:r>
            <w:r w:rsidR="00F54CC7">
              <w:t xml:space="preserve">no </w:t>
            </w:r>
            <w:r>
              <w:t xml:space="preserve">relationship between production processes and sustainability, with </w:t>
            </w:r>
            <w:r w:rsidR="0016365C">
              <w:t xml:space="preserve">little to no </w:t>
            </w:r>
            <w:r>
              <w:t>explanation</w:t>
            </w:r>
            <w:r w:rsidR="0016365C">
              <w:t>.</w:t>
            </w:r>
          </w:p>
        </w:tc>
      </w:tr>
    </w:tbl>
    <w:p w14:paraId="3C0F0557" w14:textId="39C4A46B" w:rsidR="00055A10" w:rsidRDefault="00055A10" w:rsidP="00F12D5C">
      <w:pPr>
        <w:sectPr w:rsidR="00055A10" w:rsidSect="00821442">
          <w:type w:val="continuous"/>
          <w:pgSz w:w="11906" w:h="16838"/>
          <w:pgMar w:top="1134" w:right="1134" w:bottom="1134" w:left="1134" w:header="709" w:footer="709" w:gutter="0"/>
          <w:cols w:space="708"/>
          <w:titlePg/>
          <w:docGrid w:linePitch="360"/>
        </w:sectPr>
      </w:pPr>
    </w:p>
    <w:p w14:paraId="4F7D0D1A" w14:textId="77777777" w:rsidR="00C71375" w:rsidRDefault="00C71375" w:rsidP="009C404A">
      <w:pPr>
        <w:pStyle w:val="Heading1"/>
        <w:spacing w:before="0"/>
      </w:pPr>
      <w:bookmarkStart w:id="6" w:name="_Toc175563526"/>
      <w:r>
        <w:lastRenderedPageBreak/>
        <w:t>Student-facing rubric</w:t>
      </w:r>
      <w:bookmarkEnd w:id="6"/>
    </w:p>
    <w:p w14:paraId="47487939" w14:textId="5478CD13" w:rsidR="000D4FC2" w:rsidRPr="000D4FC2" w:rsidRDefault="000D4FC2" w:rsidP="000D4FC2">
      <w:pPr>
        <w:pStyle w:val="Caption"/>
      </w:pPr>
      <w:r>
        <w:t xml:space="preserve">Table </w:t>
      </w:r>
      <w:r>
        <w:fldChar w:fldCharType="begin"/>
      </w:r>
      <w:r>
        <w:instrText xml:space="preserve"> SEQ Table \* ARABIC </w:instrText>
      </w:r>
      <w:r>
        <w:fldChar w:fldCharType="separate"/>
      </w:r>
      <w:r>
        <w:rPr>
          <w:noProof/>
        </w:rPr>
        <w:t>4</w:t>
      </w:r>
      <w:r>
        <w:fldChar w:fldCharType="end"/>
      </w:r>
      <w:r>
        <w:t xml:space="preserve"> – rubric for assessment</w:t>
      </w:r>
    </w:p>
    <w:tbl>
      <w:tblPr>
        <w:tblStyle w:val="Tableheader"/>
        <w:tblW w:w="5000" w:type="pct"/>
        <w:tblLayout w:type="fixed"/>
        <w:tblLook w:val="04A0" w:firstRow="1" w:lastRow="0" w:firstColumn="1" w:lastColumn="0" w:noHBand="0" w:noVBand="1"/>
        <w:tblDescription w:val="Criteria for achieving specific grade levels."/>
      </w:tblPr>
      <w:tblGrid>
        <w:gridCol w:w="2427"/>
        <w:gridCol w:w="2427"/>
        <w:gridCol w:w="2427"/>
        <w:gridCol w:w="2427"/>
        <w:gridCol w:w="2427"/>
        <w:gridCol w:w="2427"/>
      </w:tblGrid>
      <w:tr w:rsidR="00C71375" w:rsidRPr="00B80E8B" w14:paraId="0D6F2EB4" w14:textId="77777777" w:rsidTr="00757E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A63A4CB" w14:textId="77777777" w:rsidR="00C71375" w:rsidRPr="00B80E8B" w:rsidRDefault="00C71375">
            <w:r w:rsidRPr="00B80E8B">
              <w:t>Criteria</w:t>
            </w:r>
          </w:p>
        </w:tc>
        <w:tc>
          <w:tcPr>
            <w:tcW w:w="833" w:type="pct"/>
          </w:tcPr>
          <w:p w14:paraId="3BB5F828" w14:textId="77777777" w:rsidR="00C71375" w:rsidRPr="00B80E8B" w:rsidRDefault="00C71375">
            <w:pPr>
              <w:cnfStyle w:val="100000000000" w:firstRow="1" w:lastRow="0" w:firstColumn="0" w:lastColumn="0" w:oddVBand="0" w:evenVBand="0" w:oddHBand="0" w:evenHBand="0" w:firstRowFirstColumn="0" w:firstRowLastColumn="0" w:lastRowFirstColumn="0" w:lastRowLastColumn="0"/>
            </w:pPr>
            <w:r w:rsidRPr="00B80E8B">
              <w:t>Limited</w:t>
            </w:r>
          </w:p>
        </w:tc>
        <w:tc>
          <w:tcPr>
            <w:tcW w:w="833" w:type="pct"/>
          </w:tcPr>
          <w:p w14:paraId="4EFDEC66" w14:textId="77777777" w:rsidR="00C71375" w:rsidRPr="00B80E8B" w:rsidRDefault="00C71375">
            <w:pPr>
              <w:cnfStyle w:val="100000000000" w:firstRow="1" w:lastRow="0" w:firstColumn="0" w:lastColumn="0" w:oddVBand="0" w:evenVBand="0" w:oddHBand="0" w:evenHBand="0" w:firstRowFirstColumn="0" w:firstRowLastColumn="0" w:lastRowFirstColumn="0" w:lastRowLastColumn="0"/>
            </w:pPr>
            <w:r w:rsidRPr="00B80E8B">
              <w:t>Basic</w:t>
            </w:r>
          </w:p>
        </w:tc>
        <w:tc>
          <w:tcPr>
            <w:tcW w:w="833" w:type="pct"/>
          </w:tcPr>
          <w:p w14:paraId="7E62E509" w14:textId="77777777" w:rsidR="00C71375" w:rsidRPr="00B80E8B" w:rsidRDefault="00C71375">
            <w:pPr>
              <w:cnfStyle w:val="100000000000" w:firstRow="1" w:lastRow="0" w:firstColumn="0" w:lastColumn="0" w:oddVBand="0" w:evenVBand="0" w:oddHBand="0" w:evenHBand="0" w:firstRowFirstColumn="0" w:firstRowLastColumn="0" w:lastRowFirstColumn="0" w:lastRowLastColumn="0"/>
            </w:pPr>
            <w:r w:rsidRPr="00B80E8B">
              <w:t>Sound</w:t>
            </w:r>
          </w:p>
        </w:tc>
        <w:tc>
          <w:tcPr>
            <w:tcW w:w="833" w:type="pct"/>
          </w:tcPr>
          <w:p w14:paraId="32F97E42" w14:textId="77777777" w:rsidR="00C71375" w:rsidRPr="00B80E8B" w:rsidRDefault="00C71375">
            <w:pPr>
              <w:cnfStyle w:val="100000000000" w:firstRow="1" w:lastRow="0" w:firstColumn="0" w:lastColumn="0" w:oddVBand="0" w:evenVBand="0" w:oddHBand="0" w:evenHBand="0" w:firstRowFirstColumn="0" w:firstRowLastColumn="0" w:lastRowFirstColumn="0" w:lastRowLastColumn="0"/>
            </w:pPr>
            <w:r w:rsidRPr="00B80E8B">
              <w:t>High</w:t>
            </w:r>
          </w:p>
        </w:tc>
        <w:tc>
          <w:tcPr>
            <w:tcW w:w="833" w:type="pct"/>
          </w:tcPr>
          <w:p w14:paraId="286D8AB6" w14:textId="77777777" w:rsidR="00C71375" w:rsidRPr="00B80E8B" w:rsidRDefault="00C71375">
            <w:pPr>
              <w:cnfStyle w:val="100000000000" w:firstRow="1" w:lastRow="0" w:firstColumn="0" w:lastColumn="0" w:oddVBand="0" w:evenVBand="0" w:oddHBand="0" w:evenHBand="0" w:firstRowFirstColumn="0" w:firstRowLastColumn="0" w:lastRowFirstColumn="0" w:lastRowLastColumn="0"/>
            </w:pPr>
            <w:r w:rsidRPr="00B80E8B">
              <w:t>Outstanding</w:t>
            </w:r>
          </w:p>
        </w:tc>
      </w:tr>
      <w:tr w:rsidR="00C71375" w:rsidRPr="00B80E8B" w14:paraId="7908079A" w14:textId="77777777" w:rsidTr="00757E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7D5F66E9" w14:textId="77777777" w:rsidR="00C71375" w:rsidRPr="00295CF1" w:rsidRDefault="00C71375">
            <w:r w:rsidRPr="00295CF1">
              <w:t>Criteria 1</w:t>
            </w:r>
          </w:p>
          <w:p w14:paraId="4FFBE956" w14:textId="77777777" w:rsidR="00C71375" w:rsidRDefault="00C71375">
            <w:pPr>
              <w:rPr>
                <w:b w:val="0"/>
              </w:rPr>
            </w:pPr>
            <w:r>
              <w:t xml:space="preserve">Flow chart: </w:t>
            </w:r>
            <w:r w:rsidRPr="004B14D2">
              <w:rPr>
                <w:b w:val="0"/>
                <w:bCs/>
              </w:rPr>
              <w:t>comprehension of the agricultural supply chain</w:t>
            </w:r>
          </w:p>
          <w:p w14:paraId="0E336947" w14:textId="77777777" w:rsidR="00C71375" w:rsidRPr="00B80E8B" w:rsidRDefault="00C71375">
            <w:r>
              <w:t>TE4-PDP-01</w:t>
            </w:r>
          </w:p>
        </w:tc>
        <w:tc>
          <w:tcPr>
            <w:tcW w:w="833" w:type="pct"/>
          </w:tcPr>
          <w:p w14:paraId="5CA8C5DD" w14:textId="0D05819B" w:rsidR="00C71375" w:rsidRPr="00B80E8B" w:rsidRDefault="00C71375">
            <w:pPr>
              <w:cnfStyle w:val="000000100000" w:firstRow="0" w:lastRow="0" w:firstColumn="0" w:lastColumn="0" w:oddVBand="0" w:evenVBand="0" w:oddHBand="1" w:evenHBand="0" w:firstRowFirstColumn="0" w:firstRowLastColumn="0" w:lastRowFirstColumn="0" w:lastRowLastColumn="0"/>
            </w:pPr>
            <w:r w:rsidRPr="00B80E8B">
              <w:t>Displays</w:t>
            </w:r>
            <w:r w:rsidR="002D0149">
              <w:t xml:space="preserve"> limited u</w:t>
            </w:r>
            <w:r w:rsidRPr="00B80E8B">
              <w:t>nderstanding of the agricultural supply chain</w:t>
            </w:r>
            <w:r w:rsidR="00AA5572">
              <w:t xml:space="preserve"> by naming one or more steps in the supply chain.</w:t>
            </w:r>
          </w:p>
        </w:tc>
        <w:tc>
          <w:tcPr>
            <w:tcW w:w="833" w:type="pct"/>
          </w:tcPr>
          <w:p w14:paraId="262E9845" w14:textId="6A5A25BA" w:rsidR="00C71375" w:rsidRPr="00B80E8B" w:rsidRDefault="00C71375">
            <w:pPr>
              <w:cnfStyle w:val="000000100000" w:firstRow="0" w:lastRow="0" w:firstColumn="0" w:lastColumn="0" w:oddVBand="0" w:evenVBand="0" w:oddHBand="1" w:evenHBand="0" w:firstRowFirstColumn="0" w:firstRowLastColumn="0" w:lastRowFirstColumn="0" w:lastRowLastColumn="0"/>
            </w:pPr>
            <w:r w:rsidRPr="00B80E8B">
              <w:t>Exhibits limited understanding of the agricultural supply chain</w:t>
            </w:r>
            <w:r w:rsidR="00AA5572">
              <w:t xml:space="preserve"> by identifying some of the steps in a supply chain.</w:t>
            </w:r>
          </w:p>
        </w:tc>
        <w:tc>
          <w:tcPr>
            <w:tcW w:w="833" w:type="pct"/>
          </w:tcPr>
          <w:p w14:paraId="2739BB20" w14:textId="26886197" w:rsidR="00C71375" w:rsidRPr="00B80E8B" w:rsidRDefault="00C71375">
            <w:pPr>
              <w:cnfStyle w:val="000000100000" w:firstRow="0" w:lastRow="0" w:firstColumn="0" w:lastColumn="0" w:oddVBand="0" w:evenVBand="0" w:oddHBand="1" w:evenHBand="0" w:firstRowFirstColumn="0" w:firstRowLastColumn="0" w:lastRowFirstColumn="0" w:lastRowLastColumn="0"/>
            </w:pPr>
            <w:r w:rsidRPr="00B80E8B">
              <w:t>Demonstrates a</w:t>
            </w:r>
            <w:r w:rsidR="002D0149">
              <w:t xml:space="preserve"> s</w:t>
            </w:r>
            <w:r w:rsidR="00395968">
              <w:t>atisfactory</w:t>
            </w:r>
            <w:r w:rsidRPr="00B80E8B">
              <w:t xml:space="preserve"> understanding of the agricultural supply chain</w:t>
            </w:r>
            <w:r w:rsidR="00AA5572">
              <w:t xml:space="preserve"> by identifying steps along the supply chain, mostly in order.</w:t>
            </w:r>
          </w:p>
        </w:tc>
        <w:tc>
          <w:tcPr>
            <w:tcW w:w="833" w:type="pct"/>
          </w:tcPr>
          <w:p w14:paraId="7E405838" w14:textId="576083B5" w:rsidR="00C71375" w:rsidRPr="00B80E8B" w:rsidRDefault="00C71375">
            <w:pPr>
              <w:cnfStyle w:val="000000100000" w:firstRow="0" w:lastRow="0" w:firstColumn="0" w:lastColumn="0" w:oddVBand="0" w:evenVBand="0" w:oddHBand="1" w:evenHBand="0" w:firstRowFirstColumn="0" w:firstRowLastColumn="0" w:lastRowFirstColumn="0" w:lastRowLastColumn="0"/>
            </w:pPr>
            <w:r w:rsidRPr="00B80E8B">
              <w:t>Shows a</w:t>
            </w:r>
            <w:r w:rsidRPr="00B80E8B" w:rsidDel="00505C80">
              <w:t xml:space="preserve"> </w:t>
            </w:r>
            <w:r w:rsidR="00505C80">
              <w:t xml:space="preserve">thorough </w:t>
            </w:r>
            <w:r w:rsidR="00E354E8">
              <w:t xml:space="preserve">understanding </w:t>
            </w:r>
            <w:r w:rsidRPr="00B80E8B">
              <w:t>of the agricultural supply chain</w:t>
            </w:r>
            <w:r w:rsidR="00AA5572">
              <w:t xml:space="preserve"> by identifying most of the steps along the supply chain in order.</w:t>
            </w:r>
          </w:p>
        </w:tc>
        <w:tc>
          <w:tcPr>
            <w:tcW w:w="833" w:type="pct"/>
          </w:tcPr>
          <w:p w14:paraId="688CB4FC" w14:textId="276E94D4" w:rsidR="00AA5572" w:rsidRPr="00B80E8B" w:rsidRDefault="00AA5572">
            <w:pPr>
              <w:cnfStyle w:val="000000100000" w:firstRow="0" w:lastRow="0" w:firstColumn="0" w:lastColumn="0" w:oddVBand="0" w:evenVBand="0" w:oddHBand="1" w:evenHBand="0" w:firstRowFirstColumn="0" w:firstRowLastColumn="0" w:lastRowFirstColumn="0" w:lastRowLastColumn="0"/>
            </w:pPr>
            <w:r>
              <w:t>Demonstrates a</w:t>
            </w:r>
            <w:r w:rsidR="00E354E8">
              <w:t>n extensive</w:t>
            </w:r>
            <w:r>
              <w:t xml:space="preserve"> understanding of </w:t>
            </w:r>
            <w:r w:rsidR="005430CB">
              <w:t>the agricultural</w:t>
            </w:r>
            <w:r>
              <w:t xml:space="preserve"> supply chain by identifying all steps along the chain in </w:t>
            </w:r>
            <w:r w:rsidR="005B582D">
              <w:t>the</w:t>
            </w:r>
            <w:r>
              <w:t xml:space="preserve"> correct order.</w:t>
            </w:r>
          </w:p>
        </w:tc>
      </w:tr>
      <w:tr w:rsidR="00C71375" w:rsidRPr="00B80E8B" w14:paraId="68B7F7C4" w14:textId="77777777" w:rsidTr="00757E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41899E7" w14:textId="77777777" w:rsidR="00C71375" w:rsidRPr="00295CF1" w:rsidRDefault="00C71375">
            <w:r w:rsidRPr="00295CF1">
              <w:t xml:space="preserve">Criteria </w:t>
            </w:r>
            <w:r>
              <w:t>2</w:t>
            </w:r>
          </w:p>
          <w:p w14:paraId="7ED50F9A" w14:textId="6B167049" w:rsidR="00C71375" w:rsidRDefault="00C71375">
            <w:pPr>
              <w:rPr>
                <w:b w:val="0"/>
              </w:rPr>
            </w:pPr>
            <w:r>
              <w:t xml:space="preserve">Flow chart: </w:t>
            </w:r>
            <w:r w:rsidRPr="004B14D2">
              <w:rPr>
                <w:b w:val="0"/>
                <w:bCs/>
              </w:rPr>
              <w:t>structure and organisation of a flowchart</w:t>
            </w:r>
          </w:p>
          <w:p w14:paraId="4EC47B3C" w14:textId="77777777" w:rsidR="00C71375" w:rsidRPr="00295CF1" w:rsidRDefault="00C71375">
            <w:r>
              <w:t>TE4-PDP-01</w:t>
            </w:r>
          </w:p>
        </w:tc>
        <w:tc>
          <w:tcPr>
            <w:tcW w:w="833" w:type="pct"/>
          </w:tcPr>
          <w:p w14:paraId="5B87F318" w14:textId="5F19A13D" w:rsidR="00C71375" w:rsidRPr="00B80E8B" w:rsidRDefault="00395968">
            <w:pPr>
              <w:cnfStyle w:val="000000010000" w:firstRow="0" w:lastRow="0" w:firstColumn="0" w:lastColumn="0" w:oddVBand="0" w:evenVBand="0" w:oddHBand="0" w:evenHBand="1" w:firstRowFirstColumn="0" w:firstRowLastColumn="0" w:lastRowFirstColumn="0" w:lastRowLastColumn="0"/>
            </w:pPr>
            <w:r w:rsidRPr="00B80E8B">
              <w:t>The flowchart has limited organisation and clarity.</w:t>
            </w:r>
          </w:p>
        </w:tc>
        <w:tc>
          <w:tcPr>
            <w:tcW w:w="833" w:type="pct"/>
          </w:tcPr>
          <w:p w14:paraId="6B012B0C" w14:textId="5FA24280" w:rsidR="00395968" w:rsidRPr="00B80E8B" w:rsidRDefault="00395968">
            <w:pPr>
              <w:cnfStyle w:val="000000010000" w:firstRow="0" w:lastRow="0" w:firstColumn="0" w:lastColumn="0" w:oddVBand="0" w:evenVBand="0" w:oddHBand="0" w:evenHBand="1" w:firstRowFirstColumn="0" w:firstRowLastColumn="0" w:lastRowFirstColumn="0" w:lastRowLastColumn="0"/>
            </w:pPr>
            <w:r w:rsidRPr="00B80E8B">
              <w:t>The flowchart</w:t>
            </w:r>
            <w:r w:rsidR="00E354E8">
              <w:t xml:space="preserve"> is basic</w:t>
            </w:r>
            <w:r w:rsidR="00B24B4C">
              <w:t xml:space="preserve"> without</w:t>
            </w:r>
            <w:r w:rsidRPr="00B80E8B" w:rsidDel="00B24B4C">
              <w:t xml:space="preserve"> </w:t>
            </w:r>
            <w:r w:rsidRPr="00B80E8B">
              <w:t>clear organisation and structure</w:t>
            </w:r>
            <w:r>
              <w:t>.</w:t>
            </w:r>
          </w:p>
        </w:tc>
        <w:tc>
          <w:tcPr>
            <w:tcW w:w="833" w:type="pct"/>
          </w:tcPr>
          <w:p w14:paraId="17ADC27A" w14:textId="6B7B3F23" w:rsidR="00C71375" w:rsidRPr="00B80E8B" w:rsidRDefault="007132CC">
            <w:pPr>
              <w:cnfStyle w:val="000000010000" w:firstRow="0" w:lastRow="0" w:firstColumn="0" w:lastColumn="0" w:oddVBand="0" w:evenVBand="0" w:oddHBand="0" w:evenHBand="1" w:firstRowFirstColumn="0" w:firstRowLastColumn="0" w:lastRowFirstColumn="0" w:lastRowLastColumn="0"/>
            </w:pPr>
            <w:r>
              <w:t xml:space="preserve">The </w:t>
            </w:r>
            <w:r w:rsidRPr="00B80E8B">
              <w:t>flowchart</w:t>
            </w:r>
            <w:r w:rsidR="00C71375" w:rsidRPr="00B80E8B">
              <w:t xml:space="preserve"> </w:t>
            </w:r>
            <w:r w:rsidR="00B24B4C">
              <w:t xml:space="preserve">generally </w:t>
            </w:r>
            <w:r w:rsidR="00C71375" w:rsidRPr="00B80E8B">
              <w:t xml:space="preserve">represents the supply </w:t>
            </w:r>
            <w:r w:rsidR="005430CB" w:rsidRPr="00B80E8B">
              <w:t>chain, with</w:t>
            </w:r>
            <w:r w:rsidR="00C71375" w:rsidRPr="00B80E8B">
              <w:t xml:space="preserve"> some inconsistenc</w:t>
            </w:r>
            <w:r w:rsidR="00C62115">
              <w:t>y</w:t>
            </w:r>
            <w:r w:rsidR="00C71375" w:rsidRPr="00B80E8B">
              <w:t xml:space="preserve"> in structure or clarity.</w:t>
            </w:r>
          </w:p>
        </w:tc>
        <w:tc>
          <w:tcPr>
            <w:tcW w:w="833" w:type="pct"/>
          </w:tcPr>
          <w:p w14:paraId="2C75835C" w14:textId="35EDE792" w:rsidR="00C71375" w:rsidRPr="00B80E8B" w:rsidRDefault="0039167D">
            <w:pPr>
              <w:cnfStyle w:val="000000010000" w:firstRow="0" w:lastRow="0" w:firstColumn="0" w:lastColumn="0" w:oddVBand="0" w:evenVBand="0" w:oddHBand="0" w:evenHBand="1" w:firstRowFirstColumn="0" w:firstRowLastColumn="0" w:lastRowFirstColumn="0" w:lastRowLastColumn="0"/>
            </w:pPr>
            <w:r>
              <w:t>Creates</w:t>
            </w:r>
            <w:r w:rsidRPr="00B80E8B">
              <w:t xml:space="preserve"> </w:t>
            </w:r>
            <w:r w:rsidR="00C71375" w:rsidRPr="00B80E8B">
              <w:t>a well-organised flowchart with clear structure.</w:t>
            </w:r>
          </w:p>
        </w:tc>
        <w:tc>
          <w:tcPr>
            <w:tcW w:w="833" w:type="pct"/>
          </w:tcPr>
          <w:p w14:paraId="4DD46874" w14:textId="654CAE92" w:rsidR="00C71375" w:rsidRPr="00B80E8B" w:rsidRDefault="00C71375">
            <w:pPr>
              <w:cnfStyle w:val="000000010000" w:firstRow="0" w:lastRow="0" w:firstColumn="0" w:lastColumn="0" w:oddVBand="0" w:evenVBand="0" w:oddHBand="0" w:evenHBand="1" w:firstRowFirstColumn="0" w:firstRowLastColumn="0" w:lastRowFirstColumn="0" w:lastRowLastColumn="0"/>
            </w:pPr>
            <w:r w:rsidRPr="00B80E8B">
              <w:t>Creates a clear, well-organised and visually appealing flowchart that accurately represents the agricultural supply chain.</w:t>
            </w:r>
          </w:p>
        </w:tc>
      </w:tr>
      <w:tr w:rsidR="00757EE6" w:rsidRPr="00B80E8B" w14:paraId="7FD9A3F1" w14:textId="77777777" w:rsidTr="00757E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74A8FAEF" w14:textId="77777777" w:rsidR="00C71375" w:rsidRPr="00295CF1" w:rsidRDefault="00C71375">
            <w:r w:rsidRPr="00295CF1">
              <w:t xml:space="preserve">Criteria </w:t>
            </w:r>
            <w:r>
              <w:t>3</w:t>
            </w:r>
          </w:p>
          <w:p w14:paraId="11AF8FC6" w14:textId="77777777" w:rsidR="00C71375" w:rsidRDefault="00C71375">
            <w:pPr>
              <w:rPr>
                <w:b w:val="0"/>
              </w:rPr>
            </w:pPr>
            <w:r>
              <w:lastRenderedPageBreak/>
              <w:t xml:space="preserve">Sustainable practices or technologies: </w:t>
            </w:r>
            <w:r w:rsidRPr="004B14D2">
              <w:rPr>
                <w:b w:val="0"/>
                <w:bCs/>
              </w:rPr>
              <w:t>identification and explanation of sustainable practices or technologies</w:t>
            </w:r>
          </w:p>
          <w:p w14:paraId="172B569B" w14:textId="77777777" w:rsidR="00C71375" w:rsidRPr="00B80E8B" w:rsidRDefault="00C71375">
            <w:r>
              <w:t>TE4-SDP-01</w:t>
            </w:r>
          </w:p>
        </w:tc>
        <w:tc>
          <w:tcPr>
            <w:tcW w:w="833" w:type="pct"/>
          </w:tcPr>
          <w:p w14:paraId="4EB83A67" w14:textId="7B9F5A3D" w:rsidR="00C71375" w:rsidRPr="00B80E8B" w:rsidRDefault="00757EE6">
            <w:pPr>
              <w:cnfStyle w:val="000000100000" w:firstRow="0" w:lastRow="0" w:firstColumn="0" w:lastColumn="0" w:oddVBand="0" w:evenVBand="0" w:oddHBand="1" w:evenHBand="0" w:firstRowFirstColumn="0" w:firstRowLastColumn="0" w:lastRowFirstColumn="0" w:lastRowLastColumn="0"/>
            </w:pPr>
            <w:r>
              <w:lastRenderedPageBreak/>
              <w:t xml:space="preserve">Attempts to identify </w:t>
            </w:r>
            <w:r>
              <w:lastRenderedPageBreak/>
              <w:t>sustainable practices or technologies in agricultural production.</w:t>
            </w:r>
          </w:p>
          <w:p w14:paraId="25AE3269" w14:textId="01BC4930" w:rsidR="00C71375" w:rsidRPr="00B80E8B" w:rsidRDefault="014949C0">
            <w:pPr>
              <w:cnfStyle w:val="000000100000" w:firstRow="0" w:lastRow="0" w:firstColumn="0" w:lastColumn="0" w:oddVBand="0" w:evenVBand="0" w:oddHBand="1" w:evenHBand="0" w:firstRowFirstColumn="0" w:firstRowLastColumn="0" w:lastRowFirstColumn="0" w:lastRowLastColumn="0"/>
            </w:pPr>
            <w:r>
              <w:t>Explanations are incomplete or lack depth</w:t>
            </w:r>
            <w:r w:rsidR="00FC1E43">
              <w:t>.</w:t>
            </w:r>
          </w:p>
        </w:tc>
        <w:tc>
          <w:tcPr>
            <w:tcW w:w="833" w:type="pct"/>
          </w:tcPr>
          <w:p w14:paraId="2233B9E0" w14:textId="5DC5C90A" w:rsidR="00C71375" w:rsidRPr="00B80E8B" w:rsidRDefault="005446F5" w:rsidP="27F02FD8">
            <w:pPr>
              <w:cnfStyle w:val="000000100000" w:firstRow="0" w:lastRow="0" w:firstColumn="0" w:lastColumn="0" w:oddVBand="0" w:evenVBand="0" w:oddHBand="1" w:evenHBand="0" w:firstRowFirstColumn="0" w:firstRowLastColumn="0" w:lastRowFirstColumn="0" w:lastRowLastColumn="0"/>
            </w:pPr>
            <w:r>
              <w:lastRenderedPageBreak/>
              <w:t>I</w:t>
            </w:r>
            <w:r w:rsidR="00757EE6" w:rsidRPr="00B80E8B">
              <w:t xml:space="preserve">dentifies sustainability </w:t>
            </w:r>
            <w:r w:rsidR="00757EE6" w:rsidRPr="00B80E8B">
              <w:lastRenderedPageBreak/>
              <w:t xml:space="preserve">practices or technologies in </w:t>
            </w:r>
            <w:r w:rsidR="00757EE6" w:rsidRPr="00DD3092">
              <w:rPr>
                <w:b/>
              </w:rPr>
              <w:t>at least one</w:t>
            </w:r>
            <w:r w:rsidR="00757EE6" w:rsidRPr="00B80E8B">
              <w:t xml:space="preserve"> key stage</w:t>
            </w:r>
            <w:r w:rsidR="00757EE6">
              <w:t xml:space="preserve"> of the supply chain.</w:t>
            </w:r>
          </w:p>
          <w:p w14:paraId="2D0C6A24" w14:textId="2FB1109F" w:rsidR="00C71375" w:rsidRPr="00B80E8B" w:rsidRDefault="00A73656">
            <w:pPr>
              <w:cnfStyle w:val="000000100000" w:firstRow="0" w:lastRow="0" w:firstColumn="0" w:lastColumn="0" w:oddVBand="0" w:evenVBand="0" w:oddHBand="1" w:evenHBand="0" w:firstRowFirstColumn="0" w:firstRowLastColumn="0" w:lastRowFirstColumn="0" w:lastRowLastColumn="0"/>
            </w:pPr>
            <w:r>
              <w:t xml:space="preserve">Provides an outline that </w:t>
            </w:r>
            <w:r w:rsidR="00CC009B">
              <w:t xml:space="preserve">demonstrates limited </w:t>
            </w:r>
            <w:r w:rsidR="1A193EFC">
              <w:t xml:space="preserve">understanding </w:t>
            </w:r>
            <w:r w:rsidR="00CC009B">
              <w:t xml:space="preserve">of </w:t>
            </w:r>
            <w:r w:rsidR="1A193EFC">
              <w:t>sustainability.</w:t>
            </w:r>
          </w:p>
        </w:tc>
        <w:tc>
          <w:tcPr>
            <w:tcW w:w="833" w:type="pct"/>
          </w:tcPr>
          <w:p w14:paraId="5050ABF0" w14:textId="268079E0" w:rsidR="00C71375" w:rsidRPr="00B80E8B" w:rsidRDefault="001D002E">
            <w:pPr>
              <w:cnfStyle w:val="000000100000" w:firstRow="0" w:lastRow="0" w:firstColumn="0" w:lastColumn="0" w:oddVBand="0" w:evenVBand="0" w:oddHBand="1" w:evenHBand="0" w:firstRowFirstColumn="0" w:firstRowLastColumn="0" w:lastRowFirstColumn="0" w:lastRowLastColumn="0"/>
            </w:pPr>
            <w:r>
              <w:lastRenderedPageBreak/>
              <w:t>I</w:t>
            </w:r>
            <w:r w:rsidR="00C71375" w:rsidRPr="00B80E8B">
              <w:t xml:space="preserve">dentifies sustainability </w:t>
            </w:r>
            <w:r w:rsidR="00C71375" w:rsidRPr="00B80E8B">
              <w:lastRenderedPageBreak/>
              <w:t xml:space="preserve">practices or technologies in </w:t>
            </w:r>
            <w:r w:rsidR="00757EE6" w:rsidRPr="00DD3092">
              <w:rPr>
                <w:b/>
              </w:rPr>
              <w:t>at least</w:t>
            </w:r>
            <w:r w:rsidR="00757EE6">
              <w:t xml:space="preserve"> </w:t>
            </w:r>
            <w:r w:rsidRPr="00934DF0">
              <w:rPr>
                <w:rStyle w:val="Strong"/>
              </w:rPr>
              <w:t>2</w:t>
            </w:r>
            <w:r w:rsidR="00C71375" w:rsidRPr="00B80E8B">
              <w:t xml:space="preserve"> key stage</w:t>
            </w:r>
            <w:r w:rsidR="00757EE6">
              <w:t>s of the supply chain.</w:t>
            </w:r>
          </w:p>
          <w:p w14:paraId="41E0ED41" w14:textId="29D055E0" w:rsidR="00C71375" w:rsidRPr="00B80E8B" w:rsidRDefault="00C71375">
            <w:pPr>
              <w:cnfStyle w:val="000000100000" w:firstRow="0" w:lastRow="0" w:firstColumn="0" w:lastColumn="0" w:oddVBand="0" w:evenVBand="0" w:oddHBand="1" w:evenHBand="0" w:firstRowFirstColumn="0" w:firstRowLastColumn="0" w:lastRowFirstColumn="0" w:lastRowLastColumn="0"/>
            </w:pPr>
            <w:r w:rsidRPr="00B80E8B">
              <w:t xml:space="preserve">Provides a </w:t>
            </w:r>
            <w:r w:rsidR="5BB7AF83">
              <w:t xml:space="preserve">sound </w:t>
            </w:r>
            <w:r w:rsidR="00757EE6">
              <w:t>explanation</w:t>
            </w:r>
            <w:r w:rsidRPr="00B80E8B">
              <w:t xml:space="preserve"> of their impact on sustainability</w:t>
            </w:r>
            <w:r w:rsidR="00757EE6">
              <w:t xml:space="preserve"> in agriculture or at least </w:t>
            </w:r>
            <w:r w:rsidR="00CC009B">
              <w:t xml:space="preserve">2 </w:t>
            </w:r>
            <w:r w:rsidR="00757EE6">
              <w:t>annotations.</w:t>
            </w:r>
          </w:p>
        </w:tc>
        <w:tc>
          <w:tcPr>
            <w:tcW w:w="833" w:type="pct"/>
          </w:tcPr>
          <w:p w14:paraId="6CFAB2FF" w14:textId="6B8C9E25" w:rsidR="00C71375" w:rsidRPr="00B80E8B" w:rsidRDefault="001D002E">
            <w:pPr>
              <w:cnfStyle w:val="000000100000" w:firstRow="0" w:lastRow="0" w:firstColumn="0" w:lastColumn="0" w:oddVBand="0" w:evenVBand="0" w:oddHBand="1" w:evenHBand="0" w:firstRowFirstColumn="0" w:firstRowLastColumn="0" w:lastRowFirstColumn="0" w:lastRowLastColumn="0"/>
            </w:pPr>
            <w:r>
              <w:lastRenderedPageBreak/>
              <w:t>I</w:t>
            </w:r>
            <w:r w:rsidR="00C71375" w:rsidRPr="00B80E8B">
              <w:t xml:space="preserve">dentifies sustainability </w:t>
            </w:r>
            <w:r w:rsidR="00C71375" w:rsidRPr="00B80E8B">
              <w:lastRenderedPageBreak/>
              <w:t xml:space="preserve">practices </w:t>
            </w:r>
            <w:r w:rsidR="000F4BC4">
              <w:t>or</w:t>
            </w:r>
            <w:r w:rsidR="00C71375" w:rsidRPr="00B80E8B">
              <w:t xml:space="preserve"> technologies in</w:t>
            </w:r>
            <w:r w:rsidR="00757EE6">
              <w:t xml:space="preserve"> </w:t>
            </w:r>
            <w:r w:rsidR="00736543">
              <w:rPr>
                <w:b/>
              </w:rPr>
              <w:t>3</w:t>
            </w:r>
            <w:r w:rsidR="00C71375" w:rsidRPr="00B80E8B">
              <w:t xml:space="preserve"> key stage</w:t>
            </w:r>
            <w:r w:rsidR="00757EE6">
              <w:t>s of the supply chain</w:t>
            </w:r>
            <w:r w:rsidR="00C71375" w:rsidRPr="00B80E8B">
              <w:t>.</w:t>
            </w:r>
          </w:p>
          <w:p w14:paraId="68B1DF6A" w14:textId="6F351A93" w:rsidR="00C71375" w:rsidRPr="00B80E8B" w:rsidRDefault="00C71375">
            <w:pPr>
              <w:cnfStyle w:val="000000100000" w:firstRow="0" w:lastRow="0" w:firstColumn="0" w:lastColumn="0" w:oddVBand="0" w:evenVBand="0" w:oddHBand="1" w:evenHBand="0" w:firstRowFirstColumn="0" w:firstRowLastColumn="0" w:lastRowFirstColumn="0" w:lastRowLastColumn="0"/>
            </w:pPr>
            <w:r w:rsidRPr="00B80E8B">
              <w:t>Provides</w:t>
            </w:r>
            <w:r w:rsidR="00543B2A">
              <w:t xml:space="preserve"> thorough</w:t>
            </w:r>
            <w:r w:rsidRPr="00B80E8B">
              <w:t xml:space="preserve"> explanations, with some gaps </w:t>
            </w:r>
            <w:r w:rsidR="00757EE6">
              <w:t>of how these practices contribute to sustainability in agriculture.</w:t>
            </w:r>
          </w:p>
        </w:tc>
        <w:tc>
          <w:tcPr>
            <w:tcW w:w="833" w:type="pct"/>
          </w:tcPr>
          <w:p w14:paraId="0AD4CC3D" w14:textId="63495C15" w:rsidR="00C71375" w:rsidRPr="00B80E8B" w:rsidRDefault="000F4BC4">
            <w:pPr>
              <w:cnfStyle w:val="000000100000" w:firstRow="0" w:lastRow="0" w:firstColumn="0" w:lastColumn="0" w:oddVBand="0" w:evenVBand="0" w:oddHBand="1" w:evenHBand="0" w:firstRowFirstColumn="0" w:firstRowLastColumn="0" w:lastRowFirstColumn="0" w:lastRowLastColumn="0"/>
            </w:pPr>
            <w:r>
              <w:lastRenderedPageBreak/>
              <w:t xml:space="preserve">Accurately </w:t>
            </w:r>
            <w:r w:rsidR="00C71375" w:rsidRPr="00B80E8B">
              <w:t xml:space="preserve">identifies </w:t>
            </w:r>
            <w:r w:rsidR="00C71375" w:rsidRPr="00B80E8B">
              <w:lastRenderedPageBreak/>
              <w:t xml:space="preserve">specific sustainability practices or technologies used in </w:t>
            </w:r>
            <w:r w:rsidR="00736543">
              <w:rPr>
                <w:b/>
              </w:rPr>
              <w:t>3</w:t>
            </w:r>
            <w:r w:rsidR="00C71375" w:rsidRPr="00B80E8B">
              <w:t xml:space="preserve"> key stage</w:t>
            </w:r>
            <w:r w:rsidR="00757EE6">
              <w:t>s of the supply chain.</w:t>
            </w:r>
          </w:p>
          <w:p w14:paraId="20ABF4C3" w14:textId="105E7403" w:rsidR="00C71375" w:rsidRPr="00B80E8B" w:rsidRDefault="00C71375">
            <w:pPr>
              <w:cnfStyle w:val="000000100000" w:firstRow="0" w:lastRow="0" w:firstColumn="0" w:lastColumn="0" w:oddVBand="0" w:evenVBand="0" w:oddHBand="1" w:evenHBand="0" w:firstRowFirstColumn="0" w:firstRowLastColumn="0" w:lastRowFirstColumn="0" w:lastRowLastColumn="0"/>
            </w:pPr>
            <w:r w:rsidRPr="00B80E8B">
              <w:t>Offers</w:t>
            </w:r>
            <w:r w:rsidR="00543B2A">
              <w:t xml:space="preserve"> </w:t>
            </w:r>
            <w:r w:rsidR="00B9004E">
              <w:t xml:space="preserve">a </w:t>
            </w:r>
            <w:r w:rsidR="00543B2A">
              <w:t>comprehensive</w:t>
            </w:r>
            <w:r w:rsidRPr="00B80E8B">
              <w:t xml:space="preserve"> explanation of how these practices contribute to sustainability in agriculture</w:t>
            </w:r>
            <w:r>
              <w:t>.</w:t>
            </w:r>
          </w:p>
        </w:tc>
      </w:tr>
    </w:tbl>
    <w:p w14:paraId="274CB918" w14:textId="77777777" w:rsidR="00055A10" w:rsidRDefault="00055A10" w:rsidP="00F12D5C">
      <w:pPr>
        <w:sectPr w:rsidR="00055A10" w:rsidSect="00055A10">
          <w:headerReference w:type="first" r:id="rId16"/>
          <w:footerReference w:type="first" r:id="rId17"/>
          <w:pgSz w:w="16838" w:h="11906" w:orient="landscape"/>
          <w:pgMar w:top="1134" w:right="1134" w:bottom="1134" w:left="1134" w:header="709" w:footer="709" w:gutter="0"/>
          <w:cols w:space="708"/>
          <w:titlePg/>
          <w:docGrid w:linePitch="360"/>
        </w:sectPr>
      </w:pPr>
    </w:p>
    <w:p w14:paraId="5270B0AD" w14:textId="77777777" w:rsidR="00EA4101" w:rsidRPr="004775EA" w:rsidRDefault="00EA4101" w:rsidP="00EA4101">
      <w:pPr>
        <w:pStyle w:val="Heading1"/>
      </w:pPr>
      <w:bookmarkStart w:id="7" w:name="_Toc147840979"/>
      <w:bookmarkStart w:id="8" w:name="_Toc175563527"/>
      <w:r w:rsidRPr="004775EA">
        <w:lastRenderedPageBreak/>
        <w:t>Support and alignment</w:t>
      </w:r>
      <w:bookmarkEnd w:id="7"/>
      <w:bookmarkEnd w:id="8"/>
    </w:p>
    <w:p w14:paraId="4836CC57" w14:textId="727973C4" w:rsidR="00EA4101" w:rsidRDefault="00EA4101" w:rsidP="00EA4101">
      <w:r w:rsidRPr="708AD2A7">
        <w:rPr>
          <w:b/>
          <w:bCs/>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or to provide feedback, contact the </w:t>
      </w:r>
      <w:r w:rsidR="001A5C99">
        <w:t xml:space="preserve">TAS </w:t>
      </w:r>
      <w:r>
        <w:t xml:space="preserve">Curriculum team by emailing </w:t>
      </w:r>
      <w:hyperlink r:id="rId18" w:history="1">
        <w:r w:rsidR="001A5C99" w:rsidRPr="002452C2">
          <w:rPr>
            <w:rStyle w:val="Hyperlink"/>
          </w:rPr>
          <w:t>TAS@det.nsw.edu.au</w:t>
        </w:r>
      </w:hyperlink>
      <w:r w:rsidR="001A5C99">
        <w:t>.</w:t>
      </w:r>
    </w:p>
    <w:p w14:paraId="794A0A3B" w14:textId="16526660" w:rsidR="00EA4101" w:rsidRPr="00C82E19" w:rsidRDefault="00EA4101" w:rsidP="00EA4101">
      <w:pPr>
        <w:rPr>
          <w:rFonts w:eastAsia="Arial"/>
        </w:rPr>
      </w:pPr>
      <w:r w:rsidRPr="19B962B9">
        <w:rPr>
          <w:b/>
          <w:bCs/>
        </w:rPr>
        <w:t xml:space="preserve">Differentiation: </w:t>
      </w:r>
      <w:r w:rsidRPr="00DD3092">
        <w:t>f</w:t>
      </w:r>
      <w:r w:rsidRPr="19B962B9">
        <w:rPr>
          <w:rFonts w:eastAsia="Arial"/>
        </w:rPr>
        <w:t xml:space="preserve">urther advice to support Aboriginal and Torres Strait Islander students, EALD students, students with a disability and/or additional needs and High Potential and gifted students can be found on the </w:t>
      </w:r>
      <w:hyperlink r:id="rId19">
        <w:r w:rsidR="000D4FC2">
          <w:rPr>
            <w:rStyle w:val="Hyperlink"/>
            <w:rFonts w:eastAsia="Arial"/>
          </w:rPr>
          <w:t>Planning, programming and assessing 7–12</w:t>
        </w:r>
      </w:hyperlink>
      <w:r w:rsidRPr="19B962B9">
        <w:rPr>
          <w:rFonts w:eastAsia="Arial"/>
        </w:rPr>
        <w:t xml:space="preserve"> webpage. </w:t>
      </w:r>
      <w:r>
        <w:rPr>
          <w:rFonts w:eastAsia="Arial"/>
        </w:rPr>
        <w:t>This includes the</w:t>
      </w:r>
      <w:r>
        <w:t xml:space="preserve"> </w:t>
      </w:r>
      <w:hyperlink r:id="rId20" w:history="1">
        <w:r w:rsidRPr="00BD39B0">
          <w:rPr>
            <w:rStyle w:val="Hyperlink"/>
          </w:rPr>
          <w:t>Inclusion and differentiation 7</w:t>
        </w:r>
        <w:r>
          <w:rPr>
            <w:rStyle w:val="Hyperlink"/>
          </w:rPr>
          <w:t>–</w:t>
        </w:r>
        <w:r w:rsidRPr="00BD39B0">
          <w:rPr>
            <w:rStyle w:val="Hyperlink"/>
          </w:rPr>
          <w:t>10 advice</w:t>
        </w:r>
      </w:hyperlink>
      <w:r>
        <w:t xml:space="preserve"> webpage.</w:t>
      </w:r>
    </w:p>
    <w:p w14:paraId="28777777" w14:textId="3714F692" w:rsidR="00EA4101" w:rsidRDefault="00EA4101" w:rsidP="00EA4101">
      <w:r w:rsidRPr="19B962B9">
        <w:rPr>
          <w:b/>
          <w:bCs/>
        </w:rPr>
        <w:t>Assessment</w:t>
      </w:r>
      <w:r>
        <w:t xml:space="preserve">: </w:t>
      </w:r>
      <w:r w:rsidRPr="19B962B9">
        <w:rPr>
          <w:rFonts w:eastAsia="Arial"/>
        </w:rPr>
        <w:t xml:space="preserve">further advice to support formative assessment is available on the </w:t>
      </w:r>
      <w:hyperlink r:id="rId21">
        <w:r w:rsidR="0020699D">
          <w:rPr>
            <w:rStyle w:val="Hyperlink"/>
            <w:rFonts w:eastAsia="Arial"/>
          </w:rPr>
          <w:t>Planning, programming and assessing 7–12</w:t>
        </w:r>
      </w:hyperlink>
      <w:r w:rsidRPr="19B962B9">
        <w:rPr>
          <w:rFonts w:eastAsia="Arial"/>
        </w:rPr>
        <w:t xml:space="preserve"> webpage.</w:t>
      </w:r>
      <w:r>
        <w:rPr>
          <w:rFonts w:eastAsia="Arial"/>
        </w:rPr>
        <w:t xml:space="preserve"> This includes the</w:t>
      </w:r>
      <w:r>
        <w:t xml:space="preserve"> </w:t>
      </w:r>
      <w:hyperlink r:id="rId22" w:history="1">
        <w:r w:rsidR="0020699D">
          <w:rPr>
            <w:rStyle w:val="Hyperlink"/>
          </w:rPr>
          <w:t>Classroom assessment advice 7–10</w:t>
        </w:r>
      </w:hyperlink>
      <w:r>
        <w:t xml:space="preserve">. For summative assessment tasks, the </w:t>
      </w:r>
      <w:hyperlink r:id="rId23" w:history="1">
        <w:r w:rsidR="0020699D">
          <w:rPr>
            <w:rStyle w:val="Hyperlink"/>
          </w:rPr>
          <w:t>Assessment task advice 7–10</w:t>
        </w:r>
      </w:hyperlink>
      <w:r>
        <w:t xml:space="preserve"> webpage is available.</w:t>
      </w:r>
    </w:p>
    <w:p w14:paraId="5773FC07" w14:textId="28C1BD1F" w:rsidR="00D34D40" w:rsidRDefault="00D34D40" w:rsidP="00EA4101">
      <w:r w:rsidRPr="002E73A5">
        <w:rPr>
          <w:rStyle w:val="Strong"/>
        </w:rPr>
        <w:t>Explicit teaching:</w:t>
      </w:r>
      <w:r w:rsidRPr="002E73A5">
        <w:t xml:space="preserve"> further advice to support explicit teaching is available on the </w:t>
      </w:r>
      <w:hyperlink r:id="rId24" w:history="1">
        <w:r w:rsidRPr="002E73A5">
          <w:rPr>
            <w:rStyle w:val="Hyperlink"/>
          </w:rPr>
          <w:t>Explicit teaching</w:t>
        </w:r>
      </w:hyperlink>
      <w:r w:rsidRPr="002E73A5">
        <w:t xml:space="preserve"> webpage. This includes the CESE </w:t>
      </w:r>
      <w:hyperlink r:id="rId25" w:history="1">
        <w:r w:rsidRPr="002E73A5">
          <w:rPr>
            <w:rStyle w:val="Hyperlink"/>
          </w:rPr>
          <w:t>Explicit teaching – Driving learning and engagement</w:t>
        </w:r>
      </w:hyperlink>
      <w:r w:rsidRPr="002E73A5">
        <w:t xml:space="preserve"> webpage.</w:t>
      </w:r>
    </w:p>
    <w:p w14:paraId="0A2ED7CA" w14:textId="77777777" w:rsidR="00EA4101" w:rsidRPr="00B97B06" w:rsidRDefault="00EA4101" w:rsidP="00B97B06">
      <w:pPr>
        <w:spacing w:line="240" w:lineRule="auto"/>
      </w:pPr>
      <w:r w:rsidRPr="00B97B06">
        <w:rPr>
          <w:rStyle w:val="Strong"/>
        </w:rPr>
        <w:t>Consulted with:</w:t>
      </w:r>
      <w:r w:rsidRPr="00B97B06">
        <w:t xml:space="preserve"> Curriculum and Reform, Inclusive Education, Multicultural Education, </w:t>
      </w:r>
    </w:p>
    <w:p w14:paraId="421925C4" w14:textId="77777777" w:rsidR="00EA4101" w:rsidRDefault="00EA4101" w:rsidP="00B97B06">
      <w:pPr>
        <w:spacing w:line="240" w:lineRule="auto"/>
      </w:pPr>
      <w:r w:rsidRPr="00B97B06">
        <w:t>Aboriginal Outcomes and Partnerships and subject matter experts.</w:t>
      </w:r>
    </w:p>
    <w:p w14:paraId="59CAB1AF" w14:textId="1B8D7A4D" w:rsidR="00EA4101" w:rsidRDefault="00EA4101" w:rsidP="00EA4101">
      <w:r w:rsidRPr="002E7C6F">
        <w:rPr>
          <w:b/>
          <w:bCs/>
        </w:rPr>
        <w:t>Alignment to system priorities and/or needs</w:t>
      </w:r>
      <w:r>
        <w:t xml:space="preserve">: </w:t>
      </w:r>
      <w:hyperlink r:id="rId26" w:history="1">
        <w:r w:rsidR="0026785C">
          <w:rPr>
            <w:rStyle w:val="Hyperlink"/>
          </w:rPr>
          <w:t>School excellence</w:t>
        </w:r>
      </w:hyperlink>
      <w:r w:rsidR="00AD60AA" w:rsidRPr="00AD60AA">
        <w:t xml:space="preserve">, </w:t>
      </w:r>
      <w:hyperlink r:id="rId27" w:history="1">
        <w:r w:rsidR="00AD60AA" w:rsidRPr="00AD60AA">
          <w:rPr>
            <w:rStyle w:val="Hyperlink"/>
          </w:rPr>
          <w:t>Our Plan for NSW Public Education</w:t>
        </w:r>
      </w:hyperlink>
      <w:r w:rsidR="00AD60AA" w:rsidRPr="00AD60AA">
        <w:t>.</w:t>
      </w:r>
      <w:r>
        <w:t>.</w:t>
      </w:r>
    </w:p>
    <w:p w14:paraId="500F6C7A" w14:textId="6F9846F1" w:rsidR="00EA4101" w:rsidRDefault="00EA4101" w:rsidP="00EA4101">
      <w:r w:rsidRPr="002E7C6F">
        <w:rPr>
          <w:b/>
          <w:bCs/>
        </w:rPr>
        <w:t>Alignment to the School Excellence Framework</w:t>
      </w:r>
      <w:r>
        <w:t xml:space="preserve">: this resource supports the </w:t>
      </w:r>
      <w:hyperlink r:id="rId28" w:history="1">
        <w:r w:rsidR="0026785C">
          <w:rPr>
            <w:rStyle w:val="Hyperlink"/>
          </w:rPr>
          <w:t>School excellence</w:t>
        </w:r>
      </w:hyperlink>
      <w:r>
        <w:t xml:space="preserve"> elements of curriculum (curriculum provision) and effective classroom practice (lesson planning, explicit teaching).</w:t>
      </w:r>
    </w:p>
    <w:p w14:paraId="7AC15F5B" w14:textId="1D99A52E" w:rsidR="00EA4101" w:rsidRDefault="00EA4101" w:rsidP="00EA4101">
      <w:r w:rsidRPr="006023A1">
        <w:rPr>
          <w:b/>
          <w:bCs/>
        </w:rPr>
        <w:t>Alignment to Australian Professional Teaching Standards</w:t>
      </w:r>
      <w:r w:rsidRPr="006023A1">
        <w:t xml:space="preserve">: this resource supports teachers to address </w:t>
      </w:r>
      <w:hyperlink r:id="rId29">
        <w:r w:rsidR="00AC5924">
          <w:rPr>
            <w:rStyle w:val="Hyperlink"/>
          </w:rPr>
          <w:t>Proficient Teacher Standard Descriptors</w:t>
        </w:r>
      </w:hyperlink>
      <w:r w:rsidRPr="006023A1">
        <w:t xml:space="preserve"> [3.2.2, 3.3.2].</w:t>
      </w:r>
    </w:p>
    <w:p w14:paraId="7A1991DA" w14:textId="31244143" w:rsidR="006C5739" w:rsidRPr="001A5C99" w:rsidRDefault="006C5739" w:rsidP="001A5C99">
      <w:r w:rsidRPr="006C5739">
        <w:rPr>
          <w:rStyle w:val="Strong"/>
        </w:rPr>
        <w:t>Creation date:</w:t>
      </w:r>
      <w:r w:rsidR="001A5C99">
        <w:rPr>
          <w:rStyle w:val="Strong"/>
        </w:rPr>
        <w:t xml:space="preserve"> </w:t>
      </w:r>
      <w:r w:rsidR="001A5C99" w:rsidRPr="001A5C99">
        <w:t xml:space="preserve">22 </w:t>
      </w:r>
      <w:r w:rsidR="006023A1">
        <w:t>May</w:t>
      </w:r>
      <w:r w:rsidR="001A5C99" w:rsidRPr="001A5C99">
        <w:t xml:space="preserve"> 2024.</w:t>
      </w:r>
    </w:p>
    <w:p w14:paraId="6FC01D98" w14:textId="77777777" w:rsidR="00D53913" w:rsidRDefault="00D53913">
      <w:pPr>
        <w:spacing w:before="0" w:after="160" w:line="259" w:lineRule="auto"/>
      </w:pPr>
      <w:r>
        <w:br w:type="page"/>
      </w:r>
    </w:p>
    <w:p w14:paraId="2CF8B5DF" w14:textId="23DF0976" w:rsidR="00A8296F" w:rsidRDefault="00F52A5B" w:rsidP="006F1A55">
      <w:pPr>
        <w:pStyle w:val="Heading1"/>
      </w:pPr>
      <w:bookmarkStart w:id="9" w:name="_Toc175563528"/>
      <w:r>
        <w:lastRenderedPageBreak/>
        <w:t>References</w:t>
      </w:r>
      <w:bookmarkEnd w:id="9"/>
    </w:p>
    <w:p w14:paraId="7F794634" w14:textId="77777777" w:rsidR="002E5C57" w:rsidRDefault="002E5C57" w:rsidP="002E5C57">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A873C9D" w14:textId="77777777" w:rsidR="002E5C57" w:rsidRDefault="002E5C57" w:rsidP="002E5C57">
      <w:pPr>
        <w:pStyle w:val="FeatureBox2"/>
      </w:pPr>
      <w:r>
        <w:t xml:space="preserve">Please refer to the NESA Copyright Disclaimer for more information </w:t>
      </w:r>
      <w:hyperlink r:id="rId30" w:tgtFrame="_blank" w:tooltip="https://educationstandards.nsw.edu.au/wps/portal/nesa/mini-footer/copyright" w:history="1">
        <w:r>
          <w:rPr>
            <w:rStyle w:val="Hyperlink"/>
          </w:rPr>
          <w:t>https://educationstandards.nsw.edu.au/wps/portal/nesa/mini-footer/copyright</w:t>
        </w:r>
      </w:hyperlink>
      <w:r>
        <w:t>.</w:t>
      </w:r>
    </w:p>
    <w:p w14:paraId="612D3976" w14:textId="77777777" w:rsidR="002E5C57" w:rsidRDefault="002E5C57" w:rsidP="002E5C57">
      <w:pPr>
        <w:pStyle w:val="FeatureBox2"/>
      </w:pPr>
      <w:r>
        <w:t xml:space="preserve">NESA holds the only official and up-to-date versions of the NSW Curriculum and syllabus documents. Please visit the NSW Education Standards Authority (NESA) website </w:t>
      </w:r>
      <w:hyperlink r:id="rId31" w:history="1">
        <w:r>
          <w:rPr>
            <w:rStyle w:val="Hyperlink"/>
          </w:rPr>
          <w:t>https://educationstandards.nsw.edu.au</w:t>
        </w:r>
      </w:hyperlink>
      <w:r>
        <w:t xml:space="preserve"> and the NSW Curriculum website </w:t>
      </w:r>
      <w:hyperlink r:id="rId32" w:history="1">
        <w:r>
          <w:rPr>
            <w:rStyle w:val="Hyperlink"/>
          </w:rPr>
          <w:t>https://curriculum.nsw.edu.au</w:t>
        </w:r>
      </w:hyperlink>
      <w:r>
        <w:t>.</w:t>
      </w:r>
    </w:p>
    <w:p w14:paraId="70CC5BF5" w14:textId="3E7ABBA6" w:rsidR="00662ED0" w:rsidRDefault="00000000" w:rsidP="00AA284D">
      <w:pPr>
        <w:spacing w:after="160"/>
      </w:pPr>
      <w:hyperlink r:id="rId33" w:history="1">
        <w:r w:rsidR="00AA284D">
          <w:rPr>
            <w:rStyle w:val="Hyperlink"/>
          </w:rPr>
          <w:t>Technology 7–8 Syllabus</w:t>
        </w:r>
      </w:hyperlink>
      <w:r w:rsidR="00A1699A">
        <w:t xml:space="preserve"> </w:t>
      </w:r>
      <w:r w:rsidR="00662ED0" w:rsidRPr="00915F7E">
        <w:t>©</w:t>
      </w:r>
      <w:r w:rsidR="00662ED0" w:rsidRPr="00C63EA7">
        <w:t xml:space="preserve"> NSW Education Standards Authority (NESA) for and on behalf of the Crown in right of the State of New South Wales, </w:t>
      </w:r>
      <w:r w:rsidR="00A1699A">
        <w:t>2023</w:t>
      </w:r>
      <w:r w:rsidR="00662ED0" w:rsidRPr="00C63EA7">
        <w:t>.</w:t>
      </w:r>
    </w:p>
    <w:p w14:paraId="32FD2F84" w14:textId="205842D6" w:rsidR="00A8296F" w:rsidRDefault="00A8296F" w:rsidP="00A8296F">
      <w:r>
        <w:t>Brookhart S</w:t>
      </w:r>
      <w:r w:rsidR="00F33C95">
        <w:t>M</w:t>
      </w:r>
      <w:r>
        <w:t xml:space="preserve"> (2018) ‘</w:t>
      </w:r>
      <w:hyperlink r:id="rId34" w:history="1">
        <w:r w:rsidRPr="00420460">
          <w:rPr>
            <w:rStyle w:val="Hyperlink"/>
          </w:rPr>
          <w:t xml:space="preserve">Appropriate Criteria: </w:t>
        </w:r>
        <w:r w:rsidR="00420460" w:rsidRPr="00420460">
          <w:rPr>
            <w:rStyle w:val="Hyperlink"/>
          </w:rPr>
          <w:t>K</w:t>
        </w:r>
        <w:r w:rsidRPr="00420460">
          <w:rPr>
            <w:rStyle w:val="Hyperlink"/>
          </w:rPr>
          <w:t xml:space="preserve">ey to </w:t>
        </w:r>
        <w:r w:rsidR="00420460" w:rsidRPr="00420460">
          <w:rPr>
            <w:rStyle w:val="Hyperlink"/>
          </w:rPr>
          <w:t>E</w:t>
        </w:r>
        <w:r w:rsidRPr="00420460">
          <w:rPr>
            <w:rStyle w:val="Hyperlink"/>
          </w:rPr>
          <w:t xml:space="preserve">ffective </w:t>
        </w:r>
        <w:r w:rsidR="00420460" w:rsidRPr="00420460">
          <w:rPr>
            <w:rStyle w:val="Hyperlink"/>
          </w:rPr>
          <w:t>R</w:t>
        </w:r>
        <w:r w:rsidRPr="00420460">
          <w:rPr>
            <w:rStyle w:val="Hyperlink"/>
          </w:rPr>
          <w:t>ubrics</w:t>
        </w:r>
      </w:hyperlink>
      <w:r>
        <w:t xml:space="preserve">’, </w:t>
      </w:r>
      <w:r w:rsidRPr="00ED1F2F">
        <w:rPr>
          <w:rStyle w:val="Emphasis"/>
        </w:rPr>
        <w:t>Frontiers in Education</w:t>
      </w:r>
      <w:r>
        <w:t>, volume 3(22):1</w:t>
      </w:r>
      <w:r w:rsidR="00662ED0">
        <w:t>–</w:t>
      </w:r>
      <w:r>
        <w:t xml:space="preserve">12, </w:t>
      </w:r>
      <w:r w:rsidR="00D15BEB" w:rsidRPr="00420460">
        <w:t>doi</w:t>
      </w:r>
      <w:r w:rsidR="00420460" w:rsidRPr="00420460">
        <w:t>:</w:t>
      </w:r>
      <w:r w:rsidR="00D15BEB" w:rsidRPr="00420460">
        <w:t>10.3389/feduc.2018.00022</w:t>
      </w:r>
      <w:r w:rsidR="00D15BEB">
        <w:t>,</w:t>
      </w:r>
      <w:r>
        <w:t xml:space="preserve"> accessed </w:t>
      </w:r>
      <w:r w:rsidR="00E64A83">
        <w:t>18 April 2024.</w:t>
      </w:r>
    </w:p>
    <w:p w14:paraId="7535697F" w14:textId="7434B443" w:rsidR="001D01BA" w:rsidRDefault="001D01BA" w:rsidP="001D01BA">
      <w:r>
        <w:t xml:space="preserve">CESE </w:t>
      </w:r>
      <w:r w:rsidRPr="001D01BA">
        <w:t xml:space="preserve">(Centre for Education Statistics and Evaluation) </w:t>
      </w:r>
      <w:r>
        <w:t xml:space="preserve">(2020) </w:t>
      </w:r>
      <w:hyperlink r:id="rId35" w:history="1">
        <w:r w:rsidRPr="0038321C">
          <w:rPr>
            <w:rStyle w:val="Hyperlink"/>
            <w:i/>
            <w:iCs/>
          </w:rPr>
          <w:t>What works best: 2020 update</w:t>
        </w:r>
      </w:hyperlink>
      <w:r>
        <w:t xml:space="preserve">, NSW Department of Education, accessed </w:t>
      </w:r>
      <w:r w:rsidR="00303CAB">
        <w:t>17 April 2024</w:t>
      </w:r>
      <w:r>
        <w:t>.</w:t>
      </w:r>
    </w:p>
    <w:p w14:paraId="17C2C80A" w14:textId="6D58515C" w:rsidR="00A8296F" w:rsidRDefault="00A8296F" w:rsidP="00A8296F">
      <w:r>
        <w:t>Fisher D and Frey N (</w:t>
      </w:r>
      <w:r w:rsidR="00420460">
        <w:t xml:space="preserve">1 </w:t>
      </w:r>
      <w:r>
        <w:t>November 2009) ‘</w:t>
      </w:r>
      <w:hyperlink r:id="rId36" w:history="1">
        <w:r w:rsidRPr="00D15BEB">
          <w:rPr>
            <w:rStyle w:val="Hyperlink"/>
          </w:rPr>
          <w:t>Feed Up, Back, Forward</w:t>
        </w:r>
      </w:hyperlink>
      <w:r>
        <w:t xml:space="preserve">’, </w:t>
      </w:r>
      <w:r w:rsidRPr="000C00C7">
        <w:rPr>
          <w:rStyle w:val="Emphasis"/>
        </w:rPr>
        <w:t>ASCD</w:t>
      </w:r>
      <w:r w:rsidR="0014336C" w:rsidRPr="000C00C7">
        <w:rPr>
          <w:rStyle w:val="Emphasis"/>
        </w:rPr>
        <w:t xml:space="preserve"> (Association for Supervision and Curriculum Development): Educational Leadership magazine</w:t>
      </w:r>
      <w:r>
        <w:t>, 67(3)</w:t>
      </w:r>
      <w:r w:rsidR="00F33C95">
        <w:t xml:space="preserve">, accessed </w:t>
      </w:r>
      <w:r w:rsidR="00E64A83">
        <w:t>1 May 2024.</w:t>
      </w:r>
    </w:p>
    <w:p w14:paraId="3779BD52" w14:textId="3C3A41DC" w:rsidR="00A8296F" w:rsidRDefault="00A8296F" w:rsidP="00A8296F">
      <w:r>
        <w:t>Hattie J and Timperley H</w:t>
      </w:r>
      <w:r w:rsidR="00D15BEB">
        <w:t xml:space="preserve"> </w:t>
      </w:r>
      <w:r>
        <w:t xml:space="preserve">(2007) </w:t>
      </w:r>
      <w:r w:rsidR="000C00C7">
        <w:t>‘</w:t>
      </w:r>
      <w:r>
        <w:t xml:space="preserve">The </w:t>
      </w:r>
      <w:r w:rsidR="001A28D1">
        <w:t>P</w:t>
      </w:r>
      <w:r>
        <w:t xml:space="preserve">ower of </w:t>
      </w:r>
      <w:r w:rsidR="001A28D1">
        <w:t>F</w:t>
      </w:r>
      <w:r>
        <w:t>eedback</w:t>
      </w:r>
      <w:r w:rsidR="000C00C7">
        <w:t>’</w:t>
      </w:r>
      <w:r>
        <w:t xml:space="preserve">, </w:t>
      </w:r>
      <w:r w:rsidRPr="000C00C7">
        <w:rPr>
          <w:rStyle w:val="Emphasis"/>
        </w:rPr>
        <w:t xml:space="preserve">Review of </w:t>
      </w:r>
      <w:r w:rsidR="000C00C7" w:rsidRPr="000C00C7">
        <w:rPr>
          <w:rStyle w:val="Emphasis"/>
        </w:rPr>
        <w:t>Educational Research</w:t>
      </w:r>
      <w:r>
        <w:t>, 77(1): 81</w:t>
      </w:r>
      <w:r w:rsidR="00662ED0">
        <w:t>–</w:t>
      </w:r>
      <w:r>
        <w:t>112</w:t>
      </w:r>
      <w:r w:rsidR="007A00B8">
        <w:t xml:space="preserve">, </w:t>
      </w:r>
      <w:r w:rsidR="007A00B8" w:rsidRPr="007A00B8">
        <w:t>doi:10.3102/003465430298487</w:t>
      </w:r>
      <w:r w:rsidR="00622A42">
        <w:t>.</w:t>
      </w:r>
    </w:p>
    <w:p w14:paraId="0D72DD1B" w14:textId="02D8AB9A" w:rsidR="00903B33" w:rsidRDefault="00903B33" w:rsidP="00A8296F">
      <w:r w:rsidRPr="00903B33">
        <w:t>Panadero E and Jonsson A (2013) ‘</w:t>
      </w:r>
      <w:hyperlink r:id="rId37" w:history="1">
        <w:r w:rsidRPr="00903B33">
          <w:rPr>
            <w:rStyle w:val="Hyperlink"/>
          </w:rPr>
          <w:t>The use of scoring rubrics for formative assessment purposes revisited: A review</w:t>
        </w:r>
      </w:hyperlink>
      <w:r w:rsidRPr="00903B33">
        <w:t xml:space="preserve">’, </w:t>
      </w:r>
      <w:r w:rsidRPr="00C15BD1">
        <w:rPr>
          <w:rStyle w:val="Emphasis"/>
        </w:rPr>
        <w:t>Educational Research Review</w:t>
      </w:r>
      <w:r w:rsidRPr="00903B33">
        <w:t xml:space="preserve">, 9:129–144, doi:10.1016/j.edurev.2013.01.002, accessed </w:t>
      </w:r>
      <w:r w:rsidR="00E64A83">
        <w:t>1 May 2024.</w:t>
      </w:r>
    </w:p>
    <w:p w14:paraId="1AF2CF1D" w14:textId="1EE63084" w:rsidR="00075DDD" w:rsidRDefault="00A8296F" w:rsidP="00075DDD">
      <w:pPr>
        <w:sectPr w:rsidR="00075DDD" w:rsidSect="00055A10">
          <w:headerReference w:type="first" r:id="rId38"/>
          <w:footerReference w:type="first" r:id="rId39"/>
          <w:pgSz w:w="11906" w:h="16838"/>
          <w:pgMar w:top="1134" w:right="1134" w:bottom="1134" w:left="1134" w:header="709" w:footer="709" w:gutter="0"/>
          <w:cols w:space="708"/>
          <w:titlePg/>
          <w:docGrid w:linePitch="360"/>
        </w:sectPr>
      </w:pPr>
      <w:r>
        <w:t>Wiliam D (201</w:t>
      </w:r>
      <w:r w:rsidR="00B07A0B">
        <w:t>7</w:t>
      </w:r>
      <w:r>
        <w:t xml:space="preserve">) </w:t>
      </w:r>
      <w:r w:rsidRPr="00C15BD1">
        <w:rPr>
          <w:rStyle w:val="Emphasis"/>
        </w:rPr>
        <w:t>Embedded Formative Assessment</w:t>
      </w:r>
      <w:r w:rsidRPr="00722C1F">
        <w:t>,</w:t>
      </w:r>
      <w:r>
        <w:t xml:space="preserve"> 2nd </w:t>
      </w:r>
      <w:proofErr w:type="spellStart"/>
      <w:r>
        <w:t>ed</w:t>
      </w:r>
      <w:r w:rsidR="001D01BA">
        <w:t>n</w:t>
      </w:r>
      <w:proofErr w:type="spellEnd"/>
      <w:r>
        <w:t>, Solution Tree Press, Bloomington, I</w:t>
      </w:r>
      <w:r w:rsidR="00622A42">
        <w:t>N.</w:t>
      </w:r>
    </w:p>
    <w:p w14:paraId="32E7D5AE" w14:textId="77777777" w:rsidR="00455293" w:rsidRPr="001748AB" w:rsidRDefault="00455293" w:rsidP="00455293">
      <w:pPr>
        <w:rPr>
          <w:rStyle w:val="Strong"/>
          <w:szCs w:val="22"/>
        </w:rPr>
      </w:pPr>
      <w:r w:rsidRPr="001748AB">
        <w:rPr>
          <w:rStyle w:val="Strong"/>
          <w:szCs w:val="22"/>
        </w:rPr>
        <w:lastRenderedPageBreak/>
        <w:t>© State of New South Wales (Department of Education), 202</w:t>
      </w:r>
      <w:r>
        <w:rPr>
          <w:rStyle w:val="Strong"/>
          <w:szCs w:val="22"/>
        </w:rPr>
        <w:t>4</w:t>
      </w:r>
    </w:p>
    <w:p w14:paraId="02FD4EE1" w14:textId="77777777" w:rsidR="00455293" w:rsidRDefault="00455293" w:rsidP="00455293">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4AC7B8F9" w14:textId="77777777" w:rsidR="00455293" w:rsidRDefault="00455293" w:rsidP="00455293">
      <w:r>
        <w:t xml:space="preserve">Copyright material available in this resource and owned by the NSW Department of Education is licensed under a </w:t>
      </w:r>
      <w:hyperlink r:id="rId40" w:history="1">
        <w:r w:rsidRPr="003B3E41">
          <w:rPr>
            <w:rStyle w:val="Hyperlink"/>
          </w:rPr>
          <w:t>Creative Commons Attribution 4.0 International (CC BY 4.0) license</w:t>
        </w:r>
      </w:hyperlink>
      <w:r>
        <w:t>.</w:t>
      </w:r>
    </w:p>
    <w:p w14:paraId="6B0FFAE1" w14:textId="77777777" w:rsidR="00455293" w:rsidRDefault="00455293" w:rsidP="00455293">
      <w:r>
        <w:rPr>
          <w:noProof/>
        </w:rPr>
        <w:drawing>
          <wp:inline distT="0" distB="0" distL="0" distR="0" wp14:anchorId="24176E80" wp14:editId="31F6F5F3">
            <wp:extent cx="1228725" cy="428625"/>
            <wp:effectExtent l="0" t="0" r="9525" b="9525"/>
            <wp:docPr id="32" name="Picture 32" descr="Creative Commons Attribution license log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F187316" w14:textId="77777777" w:rsidR="00455293" w:rsidRDefault="00455293" w:rsidP="00455293">
      <w:r>
        <w:t>This license allows you to share and adapt the material for any purpose, even commercially.</w:t>
      </w:r>
    </w:p>
    <w:p w14:paraId="4803FBD1" w14:textId="77777777" w:rsidR="00455293" w:rsidRDefault="00455293" w:rsidP="00455293">
      <w:r>
        <w:t>Attribution should be given to © State of New South Wales (Department of Education), 2024.</w:t>
      </w:r>
    </w:p>
    <w:p w14:paraId="5BE05F2F" w14:textId="77777777" w:rsidR="00455293" w:rsidRDefault="00455293" w:rsidP="00455293">
      <w:r>
        <w:t>Material in this resource not available under a Creative Commons license:</w:t>
      </w:r>
    </w:p>
    <w:p w14:paraId="49B07B3F" w14:textId="77777777" w:rsidR="00455293" w:rsidRDefault="00455293" w:rsidP="00455293">
      <w:pPr>
        <w:pStyle w:val="ListBullet"/>
        <w:numPr>
          <w:ilvl w:val="0"/>
          <w:numId w:val="4"/>
        </w:numPr>
      </w:pPr>
      <w:r>
        <w:t>the NSW Department of Education logo, other logos and trademark-protected material</w:t>
      </w:r>
    </w:p>
    <w:p w14:paraId="1274EC51" w14:textId="77777777" w:rsidR="00455293" w:rsidRDefault="00455293" w:rsidP="00455293">
      <w:pPr>
        <w:pStyle w:val="ListBullet"/>
        <w:numPr>
          <w:ilvl w:val="0"/>
          <w:numId w:val="4"/>
        </w:numPr>
      </w:pPr>
      <w:r>
        <w:t>material owned by a third party that has been reproduced with permission. You will need to obtain permission from the third party to reuse its material.</w:t>
      </w:r>
    </w:p>
    <w:p w14:paraId="2A9A9D65" w14:textId="77777777" w:rsidR="00455293" w:rsidRPr="003B3E41" w:rsidRDefault="00455293" w:rsidP="00455293">
      <w:pPr>
        <w:pStyle w:val="FeatureBox2"/>
        <w:rPr>
          <w:rStyle w:val="Strong"/>
        </w:rPr>
      </w:pPr>
      <w:r w:rsidRPr="003B3E41">
        <w:rPr>
          <w:rStyle w:val="Strong"/>
        </w:rPr>
        <w:t>Links to third-party material and websites</w:t>
      </w:r>
    </w:p>
    <w:p w14:paraId="0894E77D" w14:textId="77777777" w:rsidR="00455293" w:rsidRDefault="00455293" w:rsidP="00455293">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43C3281" w14:textId="32C4C89A" w:rsidR="00A8296F" w:rsidRDefault="00455293" w:rsidP="00455293">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p>
    <w:sectPr w:rsidR="00A8296F" w:rsidSect="00455293">
      <w:headerReference w:type="first" r:id="rId42"/>
      <w:footerReference w:type="first" r:id="rId4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AD873" w14:textId="77777777" w:rsidR="00C43A43" w:rsidRDefault="00C43A43" w:rsidP="00E51733">
      <w:r>
        <w:separator/>
      </w:r>
    </w:p>
  </w:endnote>
  <w:endnote w:type="continuationSeparator" w:id="0">
    <w:p w14:paraId="476DD518" w14:textId="77777777" w:rsidR="00C43A43" w:rsidRDefault="00C43A43" w:rsidP="00E51733">
      <w:r>
        <w:continuationSeparator/>
      </w:r>
    </w:p>
  </w:endnote>
  <w:endnote w:type="continuationNotice" w:id="1">
    <w:p w14:paraId="7A818438" w14:textId="77777777" w:rsidR="00C43A43" w:rsidRDefault="00C43A4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ABE37" w14:textId="2ABE9D8F"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06754">
      <w:rPr>
        <w:noProof/>
      </w:rPr>
      <w:t>Aug-24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06118" w14:textId="35645B9E" w:rsidR="00F66145" w:rsidRPr="00CF0AB3" w:rsidRDefault="00CF0AB3" w:rsidP="00CF0AB3">
    <w:pPr>
      <w:pStyle w:val="Footer"/>
    </w:pPr>
    <w:r>
      <w:t xml:space="preserve">© NSW Department of Education, </w:t>
    </w:r>
    <w:r>
      <w:fldChar w:fldCharType="begin"/>
    </w:r>
    <w:r>
      <w:instrText xml:space="preserve"> DATE  \@ "MMM-yy"  \* MERGEFORMAT </w:instrText>
    </w:r>
    <w:r>
      <w:fldChar w:fldCharType="separate"/>
    </w:r>
    <w:r w:rsidR="00706754">
      <w:rPr>
        <w:noProof/>
      </w:rPr>
      <w:t>Aug-24</w:t>
    </w:r>
    <w:r>
      <w:fldChar w:fldCharType="end"/>
    </w:r>
    <w:r>
      <w:ptab w:relativeTo="margin" w:alignment="right" w:leader="none"/>
    </w:r>
    <w:r>
      <w:rPr>
        <w:b/>
        <w:noProof/>
        <w:sz w:val="28"/>
        <w:szCs w:val="28"/>
      </w:rPr>
      <w:drawing>
        <wp:inline distT="0" distB="0" distL="0" distR="0" wp14:anchorId="03928F06" wp14:editId="288599EB">
          <wp:extent cx="571500" cy="190500"/>
          <wp:effectExtent l="0" t="0" r="0" b="0"/>
          <wp:docPr id="1673827344" name="Picture 167382734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20BFA" w14:textId="7684412D" w:rsidR="00D5631E" w:rsidRPr="00734023" w:rsidRDefault="00734023" w:rsidP="00734023">
    <w:pPr>
      <w:pStyle w:val="Logo"/>
      <w:jc w:val="right"/>
    </w:pPr>
    <w:r w:rsidRPr="008426B6">
      <w:rPr>
        <w:noProof/>
      </w:rPr>
      <w:drawing>
        <wp:inline distT="0" distB="0" distL="0" distR="0" wp14:anchorId="2CFF7B32" wp14:editId="60260846">
          <wp:extent cx="834442" cy="906218"/>
          <wp:effectExtent l="0" t="0" r="3810" b="8255"/>
          <wp:docPr id="754253838" name="Graphic 75425383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777B9" w14:textId="0FC2462D" w:rsidR="00055A10" w:rsidRPr="00734023" w:rsidRDefault="00055A10" w:rsidP="00055A10">
    <w:pPr>
      <w:pStyle w:val="Footer"/>
    </w:pPr>
    <w:r>
      <w:t xml:space="preserve">© NSW Department of Education, </w:t>
    </w:r>
    <w:r>
      <w:fldChar w:fldCharType="begin"/>
    </w:r>
    <w:r>
      <w:instrText xml:space="preserve"> DATE  \@ "MMM-yy"  \* MERGEFORMAT </w:instrText>
    </w:r>
    <w:r>
      <w:fldChar w:fldCharType="separate"/>
    </w:r>
    <w:r w:rsidR="00706754">
      <w:rPr>
        <w:noProof/>
      </w:rPr>
      <w:t>Aug-24</w:t>
    </w:r>
    <w:r>
      <w:fldChar w:fldCharType="end"/>
    </w:r>
    <w:r>
      <w:ptab w:relativeTo="margin" w:alignment="right" w:leader="none"/>
    </w:r>
    <w:r>
      <w:rPr>
        <w:b/>
        <w:noProof/>
        <w:sz w:val="28"/>
        <w:szCs w:val="28"/>
      </w:rPr>
      <w:drawing>
        <wp:inline distT="0" distB="0" distL="0" distR="0" wp14:anchorId="7246296C" wp14:editId="08B01377">
          <wp:extent cx="571500" cy="190500"/>
          <wp:effectExtent l="0" t="0" r="0" b="0"/>
          <wp:docPr id="1311544322" name="Picture 131154432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96173" w14:textId="1D9FD998" w:rsidR="00055A10" w:rsidRPr="00055A10" w:rsidRDefault="00055A10" w:rsidP="00055A10">
    <w:pPr>
      <w:pStyle w:val="Footer"/>
    </w:pPr>
    <w:r>
      <w:t xml:space="preserve">© NSW Department of Education, </w:t>
    </w:r>
    <w:r>
      <w:fldChar w:fldCharType="begin"/>
    </w:r>
    <w:r>
      <w:instrText xml:space="preserve"> DATE  \@ "MMM-yy"  \* MERGEFORMAT </w:instrText>
    </w:r>
    <w:r>
      <w:fldChar w:fldCharType="separate"/>
    </w:r>
    <w:r w:rsidR="00706754">
      <w:rPr>
        <w:noProof/>
      </w:rPr>
      <w:t>Aug-24</w:t>
    </w:r>
    <w:r>
      <w:fldChar w:fldCharType="end"/>
    </w:r>
    <w:r>
      <w:ptab w:relativeTo="margin" w:alignment="right" w:leader="none"/>
    </w:r>
    <w:r>
      <w:rPr>
        <w:b/>
        <w:noProof/>
        <w:sz w:val="28"/>
        <w:szCs w:val="28"/>
      </w:rPr>
      <w:drawing>
        <wp:inline distT="0" distB="0" distL="0" distR="0" wp14:anchorId="29B4FB8E" wp14:editId="1F2345CA">
          <wp:extent cx="571500" cy="190500"/>
          <wp:effectExtent l="0" t="0" r="0" b="0"/>
          <wp:docPr id="1042212814" name="Picture 104221281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61498" w14:textId="77777777" w:rsidR="00175597" w:rsidRPr="00EC1782" w:rsidRDefault="00175597"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1F81F" w14:textId="77777777" w:rsidR="00C43A43" w:rsidRDefault="00C43A43" w:rsidP="00E51733">
      <w:r>
        <w:separator/>
      </w:r>
    </w:p>
  </w:footnote>
  <w:footnote w:type="continuationSeparator" w:id="0">
    <w:p w14:paraId="2E5334F7" w14:textId="77777777" w:rsidR="00C43A43" w:rsidRDefault="00C43A43" w:rsidP="00E51733">
      <w:r>
        <w:continuationSeparator/>
      </w:r>
    </w:p>
  </w:footnote>
  <w:footnote w:type="continuationNotice" w:id="1">
    <w:p w14:paraId="7B27B6D2" w14:textId="77777777" w:rsidR="00C43A43" w:rsidRDefault="00C43A4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B97C" w14:textId="69C8F191" w:rsidR="00734023" w:rsidRDefault="00D435F2" w:rsidP="00734023">
    <w:pPr>
      <w:pStyle w:val="Documentname"/>
    </w:pPr>
    <w:r>
      <w:t xml:space="preserve">Technology 7–8 </w:t>
    </w:r>
    <w:r w:rsidR="00153DEF">
      <w:t xml:space="preserve">– Food and agricultural practices </w:t>
    </w:r>
    <w:r w:rsidR="006F1A55" w:rsidRPr="006F1A55">
      <w:t xml:space="preserve">– sample assessment task </w:t>
    </w:r>
    <w:r>
      <w:t>1</w:t>
    </w:r>
    <w:r w:rsidR="006F1A55" w:rsidRPr="006F1A55">
      <w:t xml:space="preserve"> notification</w:t>
    </w:r>
    <w:r w:rsidR="006F1A55">
      <w:t xml:space="preserve"> </w:t>
    </w:r>
    <w:r w:rsidR="00734023" w:rsidRPr="00D2403C">
      <w:t xml:space="preserve">| </w:t>
    </w:r>
    <w:r w:rsidR="00734023">
      <w:fldChar w:fldCharType="begin"/>
    </w:r>
    <w:r w:rsidR="00734023">
      <w:instrText xml:space="preserve"> PAGE   \* MERGEFORMAT </w:instrText>
    </w:r>
    <w:r w:rsidR="00734023">
      <w:fldChar w:fldCharType="separate"/>
    </w:r>
    <w:r w:rsidR="00734023">
      <w:t>2</w:t>
    </w:r>
    <w:r w:rsidR="0073402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BF888" w14:textId="426133BD" w:rsidR="00734023" w:rsidRDefault="00000000" w:rsidP="00734023">
    <w:pPr>
      <w:pStyle w:val="Header"/>
      <w:spacing w:after="0"/>
    </w:pPr>
    <w:r>
      <w:pict w14:anchorId="5DCC1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734023" w:rsidRPr="009D43DD">
      <w:t>NSW Department of Education</w:t>
    </w:r>
    <w:r w:rsidR="00734023"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884FD" w14:textId="7D5E740D" w:rsidR="00055A10" w:rsidRPr="00055A10" w:rsidRDefault="00D5149B" w:rsidP="00055A10">
    <w:pPr>
      <w:pStyle w:val="Documentname"/>
    </w:pPr>
    <w:r>
      <w:t xml:space="preserve">Technology 7 – 8 </w:t>
    </w:r>
    <w:r w:rsidRPr="006F1A55">
      <w:t xml:space="preserve">Stage </w:t>
    </w:r>
    <w:r>
      <w:t xml:space="preserve">4 </w:t>
    </w:r>
    <w:r w:rsidRPr="006F1A55">
      <w:t xml:space="preserve">Year </w:t>
    </w:r>
    <w:r>
      <w:t>7</w:t>
    </w:r>
    <w:r w:rsidRPr="006F1A55">
      <w:t xml:space="preserve"> – sample assessment task </w:t>
    </w:r>
    <w:r>
      <w:t>1</w:t>
    </w:r>
    <w:r w:rsidR="00055A10" w:rsidRPr="006F1A55">
      <w:t xml:space="preserve"> notification</w:t>
    </w:r>
    <w:r w:rsidR="00055A10">
      <w:t xml:space="preserve"> </w:t>
    </w:r>
    <w:r w:rsidR="00055A10" w:rsidRPr="00D2403C">
      <w:t xml:space="preserve">| </w:t>
    </w:r>
    <w:r w:rsidR="00055A10">
      <w:fldChar w:fldCharType="begin"/>
    </w:r>
    <w:r w:rsidR="00055A10">
      <w:instrText xml:space="preserve"> PAGE   \* MERGEFORMAT </w:instrText>
    </w:r>
    <w:r w:rsidR="00055A10">
      <w:fldChar w:fldCharType="separate"/>
    </w:r>
    <w:r w:rsidR="00055A10">
      <w:t>6</w:t>
    </w:r>
    <w:r w:rsidR="00055A10">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609FD" w14:textId="6073BB88" w:rsidR="00055A10" w:rsidRPr="00055A10" w:rsidRDefault="00D5149B" w:rsidP="00055A10">
    <w:pPr>
      <w:pStyle w:val="Documentname"/>
    </w:pPr>
    <w:r>
      <w:t xml:space="preserve">Technology 7 – 8 </w:t>
    </w:r>
    <w:r w:rsidRPr="006F1A55">
      <w:t xml:space="preserve">Stage </w:t>
    </w:r>
    <w:r>
      <w:t xml:space="preserve">4 </w:t>
    </w:r>
    <w:r w:rsidRPr="006F1A55">
      <w:t xml:space="preserve">Year </w:t>
    </w:r>
    <w:r>
      <w:t>7</w:t>
    </w:r>
    <w:r w:rsidRPr="006F1A55">
      <w:t xml:space="preserve"> – sample assessment task </w:t>
    </w:r>
    <w:r>
      <w:t>1</w:t>
    </w:r>
    <w:r w:rsidRPr="006F1A55">
      <w:t xml:space="preserve"> </w:t>
    </w:r>
    <w:r w:rsidR="00055A10" w:rsidRPr="006F1A55">
      <w:t>notification</w:t>
    </w:r>
    <w:r w:rsidR="00055A10">
      <w:t xml:space="preserve"> </w:t>
    </w:r>
    <w:r w:rsidR="00055A10" w:rsidRPr="00D2403C">
      <w:t xml:space="preserve">| </w:t>
    </w:r>
    <w:r w:rsidR="00055A10">
      <w:fldChar w:fldCharType="begin"/>
    </w:r>
    <w:r w:rsidR="00055A10">
      <w:instrText xml:space="preserve"> PAGE   \* MERGEFORMAT </w:instrText>
    </w:r>
    <w:r w:rsidR="00055A10">
      <w:fldChar w:fldCharType="separate"/>
    </w:r>
    <w:r w:rsidR="00055A10">
      <w:t>8</w:t>
    </w:r>
    <w:r w:rsidR="00055A1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62FC2" w14:textId="77777777" w:rsidR="00175597" w:rsidRPr="00EC1782" w:rsidRDefault="00175597"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1BF004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697CBF"/>
    <w:multiLevelType w:val="multilevel"/>
    <w:tmpl w:val="0518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700718"/>
    <w:multiLevelType w:val="multilevel"/>
    <w:tmpl w:val="A88E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2A2390"/>
    <w:multiLevelType w:val="multilevel"/>
    <w:tmpl w:val="E3DC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BE4897"/>
    <w:multiLevelType w:val="multilevel"/>
    <w:tmpl w:val="FD1A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105F4E"/>
    <w:multiLevelType w:val="multilevel"/>
    <w:tmpl w:val="6B2ACB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614A48"/>
    <w:multiLevelType w:val="multilevel"/>
    <w:tmpl w:val="D280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74295B"/>
    <w:multiLevelType w:val="multilevel"/>
    <w:tmpl w:val="8FBA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BE5C18"/>
    <w:multiLevelType w:val="multilevel"/>
    <w:tmpl w:val="9CF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0D661A"/>
    <w:multiLevelType w:val="multilevel"/>
    <w:tmpl w:val="966C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824CA6"/>
    <w:multiLevelType w:val="multilevel"/>
    <w:tmpl w:val="96E4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C664F8"/>
    <w:multiLevelType w:val="multilevel"/>
    <w:tmpl w:val="A0E0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A1011A"/>
    <w:multiLevelType w:val="multilevel"/>
    <w:tmpl w:val="E93A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20B05A3"/>
    <w:multiLevelType w:val="multilevel"/>
    <w:tmpl w:val="EEB4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B04CAD"/>
    <w:multiLevelType w:val="multilevel"/>
    <w:tmpl w:val="8164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4027C6"/>
    <w:multiLevelType w:val="multilevel"/>
    <w:tmpl w:val="6B2ACB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EF5C43"/>
    <w:multiLevelType w:val="multilevel"/>
    <w:tmpl w:val="5AF4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5863BF"/>
    <w:multiLevelType w:val="multilevel"/>
    <w:tmpl w:val="C00E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2E043D"/>
    <w:multiLevelType w:val="multilevel"/>
    <w:tmpl w:val="7D64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D62F45"/>
    <w:multiLevelType w:val="multilevel"/>
    <w:tmpl w:val="2CB0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DD26AD"/>
    <w:multiLevelType w:val="multilevel"/>
    <w:tmpl w:val="F920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1D1544"/>
    <w:multiLevelType w:val="multilevel"/>
    <w:tmpl w:val="1A8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462010"/>
    <w:multiLevelType w:val="multilevel"/>
    <w:tmpl w:val="8C48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2E15E1"/>
    <w:multiLevelType w:val="hybridMultilevel"/>
    <w:tmpl w:val="1FB83D16"/>
    <w:lvl w:ilvl="0" w:tplc="F830F212">
      <w:start w:val="1"/>
      <w:numFmt w:val="bullet"/>
      <w:lvlText w:val=""/>
      <w:lvlJc w:val="left"/>
      <w:pPr>
        <w:ind w:left="720" w:hanging="360"/>
      </w:pPr>
      <w:rPr>
        <w:rFonts w:ascii="Symbol" w:hAnsi="Symbol"/>
      </w:rPr>
    </w:lvl>
    <w:lvl w:ilvl="1" w:tplc="2BFCB64E">
      <w:start w:val="1"/>
      <w:numFmt w:val="bullet"/>
      <w:lvlText w:val=""/>
      <w:lvlJc w:val="left"/>
      <w:pPr>
        <w:ind w:left="720" w:hanging="360"/>
      </w:pPr>
      <w:rPr>
        <w:rFonts w:ascii="Symbol" w:hAnsi="Symbol"/>
      </w:rPr>
    </w:lvl>
    <w:lvl w:ilvl="2" w:tplc="74B6D69A">
      <w:start w:val="1"/>
      <w:numFmt w:val="bullet"/>
      <w:lvlText w:val=""/>
      <w:lvlJc w:val="left"/>
      <w:pPr>
        <w:ind w:left="720" w:hanging="360"/>
      </w:pPr>
      <w:rPr>
        <w:rFonts w:ascii="Symbol" w:hAnsi="Symbol"/>
      </w:rPr>
    </w:lvl>
    <w:lvl w:ilvl="3" w:tplc="66D8F52E">
      <w:start w:val="1"/>
      <w:numFmt w:val="bullet"/>
      <w:lvlText w:val=""/>
      <w:lvlJc w:val="left"/>
      <w:pPr>
        <w:ind w:left="720" w:hanging="360"/>
      </w:pPr>
      <w:rPr>
        <w:rFonts w:ascii="Symbol" w:hAnsi="Symbol"/>
      </w:rPr>
    </w:lvl>
    <w:lvl w:ilvl="4" w:tplc="87626530">
      <w:start w:val="1"/>
      <w:numFmt w:val="bullet"/>
      <w:lvlText w:val=""/>
      <w:lvlJc w:val="left"/>
      <w:pPr>
        <w:ind w:left="720" w:hanging="360"/>
      </w:pPr>
      <w:rPr>
        <w:rFonts w:ascii="Symbol" w:hAnsi="Symbol"/>
      </w:rPr>
    </w:lvl>
    <w:lvl w:ilvl="5" w:tplc="830E3C9C">
      <w:start w:val="1"/>
      <w:numFmt w:val="bullet"/>
      <w:lvlText w:val=""/>
      <w:lvlJc w:val="left"/>
      <w:pPr>
        <w:ind w:left="720" w:hanging="360"/>
      </w:pPr>
      <w:rPr>
        <w:rFonts w:ascii="Symbol" w:hAnsi="Symbol"/>
      </w:rPr>
    </w:lvl>
    <w:lvl w:ilvl="6" w:tplc="8EC6BE0E">
      <w:start w:val="1"/>
      <w:numFmt w:val="bullet"/>
      <w:lvlText w:val=""/>
      <w:lvlJc w:val="left"/>
      <w:pPr>
        <w:ind w:left="720" w:hanging="360"/>
      </w:pPr>
      <w:rPr>
        <w:rFonts w:ascii="Symbol" w:hAnsi="Symbol"/>
      </w:rPr>
    </w:lvl>
    <w:lvl w:ilvl="7" w:tplc="AA1A58CC">
      <w:start w:val="1"/>
      <w:numFmt w:val="bullet"/>
      <w:lvlText w:val=""/>
      <w:lvlJc w:val="left"/>
      <w:pPr>
        <w:ind w:left="720" w:hanging="360"/>
      </w:pPr>
      <w:rPr>
        <w:rFonts w:ascii="Symbol" w:hAnsi="Symbol"/>
      </w:rPr>
    </w:lvl>
    <w:lvl w:ilvl="8" w:tplc="EFF04C02">
      <w:start w:val="1"/>
      <w:numFmt w:val="bullet"/>
      <w:lvlText w:val=""/>
      <w:lvlJc w:val="left"/>
      <w:pPr>
        <w:ind w:left="720" w:hanging="360"/>
      </w:pPr>
      <w:rPr>
        <w:rFonts w:ascii="Symbol" w:hAnsi="Symbol"/>
      </w:rPr>
    </w:lvl>
  </w:abstractNum>
  <w:abstractNum w:abstractNumId="29" w15:restartNumberingAfterBreak="0">
    <w:nsid w:val="55A60163"/>
    <w:multiLevelType w:val="multilevel"/>
    <w:tmpl w:val="E792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0D21EF"/>
    <w:multiLevelType w:val="multilevel"/>
    <w:tmpl w:val="6B2ACB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E7397B"/>
    <w:multiLevelType w:val="multilevel"/>
    <w:tmpl w:val="AA60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454698"/>
    <w:multiLevelType w:val="multilevel"/>
    <w:tmpl w:val="D1CC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5C625C"/>
    <w:multiLevelType w:val="multilevel"/>
    <w:tmpl w:val="7CAE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386C71"/>
    <w:multiLevelType w:val="multilevel"/>
    <w:tmpl w:val="0BEA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8A71B99"/>
    <w:multiLevelType w:val="multilevel"/>
    <w:tmpl w:val="072E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EB44FB"/>
    <w:multiLevelType w:val="multilevel"/>
    <w:tmpl w:val="39A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D8231E"/>
    <w:multiLevelType w:val="multilevel"/>
    <w:tmpl w:val="BBF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182783">
    <w:abstractNumId w:val="27"/>
  </w:num>
  <w:num w:numId="2" w16cid:durableId="1541236239">
    <w:abstractNumId w:val="21"/>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632711819">
    <w:abstractNumId w:val="0"/>
  </w:num>
  <w:num w:numId="4" w16cid:durableId="510147974">
    <w:abstractNumId w:val="12"/>
  </w:num>
  <w:num w:numId="5" w16cid:durableId="1839542397">
    <w:abstractNumId w:val="35"/>
  </w:num>
  <w:num w:numId="6" w16cid:durableId="1884361808">
    <w:abstractNumId w:val="15"/>
  </w:num>
  <w:num w:numId="7" w16cid:durableId="1846746497">
    <w:abstractNumId w:val="1"/>
  </w:num>
  <w:num w:numId="8" w16cid:durableId="1017386674">
    <w:abstractNumId w:val="28"/>
  </w:num>
  <w:num w:numId="9" w16cid:durableId="59720933">
    <w:abstractNumId w:val="30"/>
  </w:num>
  <w:num w:numId="10" w16cid:durableId="930821336">
    <w:abstractNumId w:val="6"/>
  </w:num>
  <w:num w:numId="11" w16cid:durableId="2124567295">
    <w:abstractNumId w:val="18"/>
  </w:num>
  <w:num w:numId="12" w16cid:durableId="1288855975">
    <w:abstractNumId w:val="4"/>
  </w:num>
  <w:num w:numId="13" w16cid:durableId="1778136301">
    <w:abstractNumId w:val="36"/>
  </w:num>
  <w:num w:numId="14" w16cid:durableId="1723477387">
    <w:abstractNumId w:val="24"/>
  </w:num>
  <w:num w:numId="15" w16cid:durableId="1538931913">
    <w:abstractNumId w:val="34"/>
  </w:num>
  <w:num w:numId="16" w16cid:durableId="1649742111">
    <w:abstractNumId w:val="7"/>
  </w:num>
  <w:num w:numId="17" w16cid:durableId="1947226069">
    <w:abstractNumId w:val="37"/>
  </w:num>
  <w:num w:numId="18" w16cid:durableId="630288736">
    <w:abstractNumId w:val="13"/>
  </w:num>
  <w:num w:numId="19" w16cid:durableId="896864797">
    <w:abstractNumId w:val="22"/>
  </w:num>
  <w:num w:numId="20" w16cid:durableId="1779252174">
    <w:abstractNumId w:val="17"/>
  </w:num>
  <w:num w:numId="21" w16cid:durableId="1296637893">
    <w:abstractNumId w:val="26"/>
  </w:num>
  <w:num w:numId="22" w16cid:durableId="1514027811">
    <w:abstractNumId w:val="16"/>
  </w:num>
  <w:num w:numId="23" w16cid:durableId="130052405">
    <w:abstractNumId w:val="8"/>
  </w:num>
  <w:num w:numId="24" w16cid:durableId="236209332">
    <w:abstractNumId w:val="25"/>
  </w:num>
  <w:num w:numId="25" w16cid:durableId="1924221901">
    <w:abstractNumId w:val="33"/>
  </w:num>
  <w:num w:numId="26" w16cid:durableId="1149710370">
    <w:abstractNumId w:val="38"/>
  </w:num>
  <w:num w:numId="27" w16cid:durableId="520053478">
    <w:abstractNumId w:val="11"/>
  </w:num>
  <w:num w:numId="28" w16cid:durableId="684865762">
    <w:abstractNumId w:val="5"/>
  </w:num>
  <w:num w:numId="29" w16cid:durableId="1089889168">
    <w:abstractNumId w:val="32"/>
  </w:num>
  <w:num w:numId="30" w16cid:durableId="980889022">
    <w:abstractNumId w:val="20"/>
  </w:num>
  <w:num w:numId="31" w16cid:durableId="373387894">
    <w:abstractNumId w:val="14"/>
  </w:num>
  <w:num w:numId="32" w16cid:durableId="326590695">
    <w:abstractNumId w:val="2"/>
  </w:num>
  <w:num w:numId="33" w16cid:durableId="1544290777">
    <w:abstractNumId w:val="31"/>
  </w:num>
  <w:num w:numId="34" w16cid:durableId="2029519353">
    <w:abstractNumId w:val="19"/>
  </w:num>
  <w:num w:numId="35" w16cid:durableId="1407461108">
    <w:abstractNumId w:val="9"/>
  </w:num>
  <w:num w:numId="36" w16cid:durableId="935097613">
    <w:abstractNumId w:val="3"/>
  </w:num>
  <w:num w:numId="37" w16cid:durableId="399791070">
    <w:abstractNumId w:val="10"/>
  </w:num>
  <w:num w:numId="38" w16cid:durableId="1527013927">
    <w:abstractNumId w:val="23"/>
  </w:num>
  <w:num w:numId="39" w16cid:durableId="1488353619">
    <w:abstractNumId w:val="29"/>
  </w:num>
  <w:num w:numId="40" w16cid:durableId="1075200767">
    <w:abstractNumId w:val="21"/>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1934823384">
    <w:abstractNumId w:val="0"/>
  </w:num>
  <w:num w:numId="42" w16cid:durableId="181631524">
    <w:abstractNumId w:val="12"/>
  </w:num>
  <w:num w:numId="43" w16cid:durableId="16661397">
    <w:abstractNumId w:val="35"/>
  </w:num>
  <w:num w:numId="44" w16cid:durableId="150681355">
    <w:abstractNumId w:val="35"/>
  </w:num>
  <w:num w:numId="45" w16cid:durableId="166751031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5C"/>
    <w:rsid w:val="0000287E"/>
    <w:rsid w:val="00002CDE"/>
    <w:rsid w:val="00007D44"/>
    <w:rsid w:val="000113E0"/>
    <w:rsid w:val="00013FF2"/>
    <w:rsid w:val="0001660E"/>
    <w:rsid w:val="00017463"/>
    <w:rsid w:val="00020973"/>
    <w:rsid w:val="000214B6"/>
    <w:rsid w:val="000236B9"/>
    <w:rsid w:val="00024556"/>
    <w:rsid w:val="000252CB"/>
    <w:rsid w:val="000257FC"/>
    <w:rsid w:val="00045F0D"/>
    <w:rsid w:val="0004750C"/>
    <w:rsid w:val="00047724"/>
    <w:rsid w:val="00047862"/>
    <w:rsid w:val="000513F9"/>
    <w:rsid w:val="000520C5"/>
    <w:rsid w:val="000537F9"/>
    <w:rsid w:val="00055A10"/>
    <w:rsid w:val="00061D5B"/>
    <w:rsid w:val="00072193"/>
    <w:rsid w:val="00074F0F"/>
    <w:rsid w:val="00074FD5"/>
    <w:rsid w:val="00075DDD"/>
    <w:rsid w:val="00085114"/>
    <w:rsid w:val="0008611F"/>
    <w:rsid w:val="00087D95"/>
    <w:rsid w:val="00096512"/>
    <w:rsid w:val="000A32CF"/>
    <w:rsid w:val="000A40F9"/>
    <w:rsid w:val="000A558A"/>
    <w:rsid w:val="000A5854"/>
    <w:rsid w:val="000A649A"/>
    <w:rsid w:val="000A7ED3"/>
    <w:rsid w:val="000B379C"/>
    <w:rsid w:val="000B3E35"/>
    <w:rsid w:val="000C00C7"/>
    <w:rsid w:val="000C1B93"/>
    <w:rsid w:val="000C24ED"/>
    <w:rsid w:val="000C5BFD"/>
    <w:rsid w:val="000D08FE"/>
    <w:rsid w:val="000D18F3"/>
    <w:rsid w:val="000D3BBE"/>
    <w:rsid w:val="000D4FC2"/>
    <w:rsid w:val="000D6A60"/>
    <w:rsid w:val="000D7466"/>
    <w:rsid w:val="000E620D"/>
    <w:rsid w:val="000E6707"/>
    <w:rsid w:val="000F1586"/>
    <w:rsid w:val="000F4BC4"/>
    <w:rsid w:val="000F69E6"/>
    <w:rsid w:val="0010368E"/>
    <w:rsid w:val="00103A6E"/>
    <w:rsid w:val="00112528"/>
    <w:rsid w:val="00121F05"/>
    <w:rsid w:val="0012277D"/>
    <w:rsid w:val="00122CAE"/>
    <w:rsid w:val="00123B04"/>
    <w:rsid w:val="001272AF"/>
    <w:rsid w:val="0014077B"/>
    <w:rsid w:val="001428F3"/>
    <w:rsid w:val="0014336C"/>
    <w:rsid w:val="00153DEF"/>
    <w:rsid w:val="00156475"/>
    <w:rsid w:val="00161069"/>
    <w:rsid w:val="00161310"/>
    <w:rsid w:val="0016365C"/>
    <w:rsid w:val="0016429E"/>
    <w:rsid w:val="00175597"/>
    <w:rsid w:val="00176B22"/>
    <w:rsid w:val="00180FAF"/>
    <w:rsid w:val="0019065F"/>
    <w:rsid w:val="00190A92"/>
    <w:rsid w:val="00190C6F"/>
    <w:rsid w:val="0019173E"/>
    <w:rsid w:val="001A28D1"/>
    <w:rsid w:val="001A2D64"/>
    <w:rsid w:val="001A3009"/>
    <w:rsid w:val="001A5C99"/>
    <w:rsid w:val="001B1980"/>
    <w:rsid w:val="001B2E36"/>
    <w:rsid w:val="001B684B"/>
    <w:rsid w:val="001C12F7"/>
    <w:rsid w:val="001C413E"/>
    <w:rsid w:val="001C67A6"/>
    <w:rsid w:val="001C7E97"/>
    <w:rsid w:val="001D002E"/>
    <w:rsid w:val="001D01BA"/>
    <w:rsid w:val="001D4A1E"/>
    <w:rsid w:val="001D5230"/>
    <w:rsid w:val="001E38A9"/>
    <w:rsid w:val="001E79EB"/>
    <w:rsid w:val="001F2A16"/>
    <w:rsid w:val="0020322B"/>
    <w:rsid w:val="0020699D"/>
    <w:rsid w:val="002105AD"/>
    <w:rsid w:val="00210FBB"/>
    <w:rsid w:val="0021167D"/>
    <w:rsid w:val="00212D70"/>
    <w:rsid w:val="00212E16"/>
    <w:rsid w:val="00217ACE"/>
    <w:rsid w:val="0022188F"/>
    <w:rsid w:val="002222F3"/>
    <w:rsid w:val="00223E7A"/>
    <w:rsid w:val="002300A3"/>
    <w:rsid w:val="00234380"/>
    <w:rsid w:val="00250D1C"/>
    <w:rsid w:val="0025333F"/>
    <w:rsid w:val="002556DD"/>
    <w:rsid w:val="0025592F"/>
    <w:rsid w:val="0026407C"/>
    <w:rsid w:val="0026548C"/>
    <w:rsid w:val="00266207"/>
    <w:rsid w:val="0026785C"/>
    <w:rsid w:val="0027370C"/>
    <w:rsid w:val="002752AD"/>
    <w:rsid w:val="00283FF3"/>
    <w:rsid w:val="0029311F"/>
    <w:rsid w:val="002937E0"/>
    <w:rsid w:val="00295CF1"/>
    <w:rsid w:val="002A1A18"/>
    <w:rsid w:val="002A28B4"/>
    <w:rsid w:val="002A2B8C"/>
    <w:rsid w:val="002A35CF"/>
    <w:rsid w:val="002A475D"/>
    <w:rsid w:val="002B4D67"/>
    <w:rsid w:val="002B792F"/>
    <w:rsid w:val="002D0149"/>
    <w:rsid w:val="002D3F1E"/>
    <w:rsid w:val="002D46D1"/>
    <w:rsid w:val="002D79F3"/>
    <w:rsid w:val="002E5C57"/>
    <w:rsid w:val="002F1EFB"/>
    <w:rsid w:val="002F716A"/>
    <w:rsid w:val="002F7CFE"/>
    <w:rsid w:val="00302BA4"/>
    <w:rsid w:val="00303085"/>
    <w:rsid w:val="00303CAB"/>
    <w:rsid w:val="00306C23"/>
    <w:rsid w:val="00311AF4"/>
    <w:rsid w:val="0031333A"/>
    <w:rsid w:val="003147C2"/>
    <w:rsid w:val="0032119F"/>
    <w:rsid w:val="003300FD"/>
    <w:rsid w:val="003307CD"/>
    <w:rsid w:val="003311E1"/>
    <w:rsid w:val="0033245C"/>
    <w:rsid w:val="00335510"/>
    <w:rsid w:val="00340DD9"/>
    <w:rsid w:val="003517D9"/>
    <w:rsid w:val="00360AD2"/>
    <w:rsid w:val="00360E17"/>
    <w:rsid w:val="0036209C"/>
    <w:rsid w:val="00363FA7"/>
    <w:rsid w:val="0037131F"/>
    <w:rsid w:val="00371568"/>
    <w:rsid w:val="00375FB1"/>
    <w:rsid w:val="0038321C"/>
    <w:rsid w:val="00385DFB"/>
    <w:rsid w:val="0039167D"/>
    <w:rsid w:val="00395968"/>
    <w:rsid w:val="003A40D2"/>
    <w:rsid w:val="003A5190"/>
    <w:rsid w:val="003A5255"/>
    <w:rsid w:val="003B240E"/>
    <w:rsid w:val="003C0EC7"/>
    <w:rsid w:val="003C4673"/>
    <w:rsid w:val="003D13EF"/>
    <w:rsid w:val="003D5B90"/>
    <w:rsid w:val="003D7789"/>
    <w:rsid w:val="003F5381"/>
    <w:rsid w:val="003F7D9C"/>
    <w:rsid w:val="00401084"/>
    <w:rsid w:val="00401CFD"/>
    <w:rsid w:val="00407EF0"/>
    <w:rsid w:val="00410299"/>
    <w:rsid w:val="00412774"/>
    <w:rsid w:val="00412F2B"/>
    <w:rsid w:val="004178B3"/>
    <w:rsid w:val="00420460"/>
    <w:rsid w:val="00420664"/>
    <w:rsid w:val="00430F12"/>
    <w:rsid w:val="00433644"/>
    <w:rsid w:val="00440BBA"/>
    <w:rsid w:val="00443456"/>
    <w:rsid w:val="00443D3C"/>
    <w:rsid w:val="00450499"/>
    <w:rsid w:val="0045148C"/>
    <w:rsid w:val="00455293"/>
    <w:rsid w:val="00456F47"/>
    <w:rsid w:val="00460446"/>
    <w:rsid w:val="00464AB3"/>
    <w:rsid w:val="004662AB"/>
    <w:rsid w:val="00480185"/>
    <w:rsid w:val="00480B81"/>
    <w:rsid w:val="00482BB2"/>
    <w:rsid w:val="00483161"/>
    <w:rsid w:val="0048642E"/>
    <w:rsid w:val="00486DA1"/>
    <w:rsid w:val="00487CAD"/>
    <w:rsid w:val="00491051"/>
    <w:rsid w:val="00492C7F"/>
    <w:rsid w:val="004A1639"/>
    <w:rsid w:val="004A57BB"/>
    <w:rsid w:val="004A7AF4"/>
    <w:rsid w:val="004A7FD0"/>
    <w:rsid w:val="004B0F58"/>
    <w:rsid w:val="004B14D2"/>
    <w:rsid w:val="004B302E"/>
    <w:rsid w:val="004B484F"/>
    <w:rsid w:val="004C11A9"/>
    <w:rsid w:val="004C1DED"/>
    <w:rsid w:val="004C2E85"/>
    <w:rsid w:val="004C52C5"/>
    <w:rsid w:val="004C7F3E"/>
    <w:rsid w:val="004D03AD"/>
    <w:rsid w:val="004D613B"/>
    <w:rsid w:val="004D7C5C"/>
    <w:rsid w:val="004E300F"/>
    <w:rsid w:val="004E423C"/>
    <w:rsid w:val="004F48DD"/>
    <w:rsid w:val="004F6AF2"/>
    <w:rsid w:val="00505C80"/>
    <w:rsid w:val="00510BB5"/>
    <w:rsid w:val="00511863"/>
    <w:rsid w:val="0051218B"/>
    <w:rsid w:val="005149CA"/>
    <w:rsid w:val="0051643C"/>
    <w:rsid w:val="00523C29"/>
    <w:rsid w:val="00526795"/>
    <w:rsid w:val="005367D0"/>
    <w:rsid w:val="00537EA3"/>
    <w:rsid w:val="005407EF"/>
    <w:rsid w:val="00541FBB"/>
    <w:rsid w:val="00542ACA"/>
    <w:rsid w:val="005430CB"/>
    <w:rsid w:val="00543B2A"/>
    <w:rsid w:val="005446F5"/>
    <w:rsid w:val="00554DFB"/>
    <w:rsid w:val="00556F90"/>
    <w:rsid w:val="005649D2"/>
    <w:rsid w:val="00565B0D"/>
    <w:rsid w:val="0056642E"/>
    <w:rsid w:val="00566479"/>
    <w:rsid w:val="00575814"/>
    <w:rsid w:val="0058102D"/>
    <w:rsid w:val="00583731"/>
    <w:rsid w:val="005934B4"/>
    <w:rsid w:val="00594840"/>
    <w:rsid w:val="0059755F"/>
    <w:rsid w:val="005A34D4"/>
    <w:rsid w:val="005A545A"/>
    <w:rsid w:val="005A67CA"/>
    <w:rsid w:val="005A6D2B"/>
    <w:rsid w:val="005B184F"/>
    <w:rsid w:val="005B582D"/>
    <w:rsid w:val="005B77E0"/>
    <w:rsid w:val="005C14A7"/>
    <w:rsid w:val="005D0140"/>
    <w:rsid w:val="005D49FE"/>
    <w:rsid w:val="005D4C68"/>
    <w:rsid w:val="005D739A"/>
    <w:rsid w:val="005E1F63"/>
    <w:rsid w:val="005F78FF"/>
    <w:rsid w:val="00601B33"/>
    <w:rsid w:val="006023A1"/>
    <w:rsid w:val="006026C8"/>
    <w:rsid w:val="00602782"/>
    <w:rsid w:val="006031AE"/>
    <w:rsid w:val="0060695A"/>
    <w:rsid w:val="00606D8E"/>
    <w:rsid w:val="00611B88"/>
    <w:rsid w:val="00612F22"/>
    <w:rsid w:val="006144A0"/>
    <w:rsid w:val="00614973"/>
    <w:rsid w:val="006169FB"/>
    <w:rsid w:val="00622A42"/>
    <w:rsid w:val="00626BBF"/>
    <w:rsid w:val="006272E7"/>
    <w:rsid w:val="00637A95"/>
    <w:rsid w:val="00641141"/>
    <w:rsid w:val="0064273E"/>
    <w:rsid w:val="00643CC4"/>
    <w:rsid w:val="0064434E"/>
    <w:rsid w:val="0064780D"/>
    <w:rsid w:val="0065407C"/>
    <w:rsid w:val="006625E1"/>
    <w:rsid w:val="00662ED0"/>
    <w:rsid w:val="00677835"/>
    <w:rsid w:val="00680388"/>
    <w:rsid w:val="0068246E"/>
    <w:rsid w:val="006851D5"/>
    <w:rsid w:val="006857EC"/>
    <w:rsid w:val="00685911"/>
    <w:rsid w:val="0069335A"/>
    <w:rsid w:val="00694050"/>
    <w:rsid w:val="0069518C"/>
    <w:rsid w:val="00696410"/>
    <w:rsid w:val="00697B45"/>
    <w:rsid w:val="006A0A81"/>
    <w:rsid w:val="006A0C5D"/>
    <w:rsid w:val="006A2F66"/>
    <w:rsid w:val="006A3755"/>
    <w:rsid w:val="006A3884"/>
    <w:rsid w:val="006B28B1"/>
    <w:rsid w:val="006B3488"/>
    <w:rsid w:val="006C2F67"/>
    <w:rsid w:val="006C38BF"/>
    <w:rsid w:val="006C5739"/>
    <w:rsid w:val="006D00B0"/>
    <w:rsid w:val="006D1CF3"/>
    <w:rsid w:val="006D59EB"/>
    <w:rsid w:val="006E105C"/>
    <w:rsid w:val="006E16B0"/>
    <w:rsid w:val="006E54D3"/>
    <w:rsid w:val="006F1A55"/>
    <w:rsid w:val="006F47F9"/>
    <w:rsid w:val="006F62CE"/>
    <w:rsid w:val="00706754"/>
    <w:rsid w:val="0070777D"/>
    <w:rsid w:val="00707D9F"/>
    <w:rsid w:val="0071269B"/>
    <w:rsid w:val="00712778"/>
    <w:rsid w:val="007132CC"/>
    <w:rsid w:val="007135CE"/>
    <w:rsid w:val="00717237"/>
    <w:rsid w:val="00722C1F"/>
    <w:rsid w:val="0072534C"/>
    <w:rsid w:val="00726A3F"/>
    <w:rsid w:val="00734023"/>
    <w:rsid w:val="00734B1B"/>
    <w:rsid w:val="00736543"/>
    <w:rsid w:val="00736BC1"/>
    <w:rsid w:val="007503A1"/>
    <w:rsid w:val="0075082D"/>
    <w:rsid w:val="00756F81"/>
    <w:rsid w:val="00757CBD"/>
    <w:rsid w:val="00757EE6"/>
    <w:rsid w:val="00762857"/>
    <w:rsid w:val="00762903"/>
    <w:rsid w:val="00763C54"/>
    <w:rsid w:val="00766D19"/>
    <w:rsid w:val="00773D0A"/>
    <w:rsid w:val="00775D1A"/>
    <w:rsid w:val="007761A8"/>
    <w:rsid w:val="00780E9A"/>
    <w:rsid w:val="0078357E"/>
    <w:rsid w:val="00785A48"/>
    <w:rsid w:val="007A00B8"/>
    <w:rsid w:val="007B020C"/>
    <w:rsid w:val="007B523A"/>
    <w:rsid w:val="007C096E"/>
    <w:rsid w:val="007C213D"/>
    <w:rsid w:val="007C61E6"/>
    <w:rsid w:val="007D55E0"/>
    <w:rsid w:val="007E2F32"/>
    <w:rsid w:val="007E4401"/>
    <w:rsid w:val="007F066A"/>
    <w:rsid w:val="007F25C9"/>
    <w:rsid w:val="007F6BE6"/>
    <w:rsid w:val="0080248A"/>
    <w:rsid w:val="00804F58"/>
    <w:rsid w:val="008073B1"/>
    <w:rsid w:val="00810D7F"/>
    <w:rsid w:val="008141E4"/>
    <w:rsid w:val="008156DE"/>
    <w:rsid w:val="00821442"/>
    <w:rsid w:val="00822F0F"/>
    <w:rsid w:val="00825198"/>
    <w:rsid w:val="00833B36"/>
    <w:rsid w:val="00833F2C"/>
    <w:rsid w:val="008559F3"/>
    <w:rsid w:val="00856CA3"/>
    <w:rsid w:val="00865BC1"/>
    <w:rsid w:val="0086699C"/>
    <w:rsid w:val="008678B5"/>
    <w:rsid w:val="00867DC1"/>
    <w:rsid w:val="0087496A"/>
    <w:rsid w:val="008749A8"/>
    <w:rsid w:val="00874ABE"/>
    <w:rsid w:val="0088179F"/>
    <w:rsid w:val="00884A97"/>
    <w:rsid w:val="00885539"/>
    <w:rsid w:val="008878A7"/>
    <w:rsid w:val="00890EEE"/>
    <w:rsid w:val="0089316E"/>
    <w:rsid w:val="00893986"/>
    <w:rsid w:val="008A4CF6"/>
    <w:rsid w:val="008A56D9"/>
    <w:rsid w:val="008A5BB2"/>
    <w:rsid w:val="008A74F4"/>
    <w:rsid w:val="008B3AD6"/>
    <w:rsid w:val="008B3D6E"/>
    <w:rsid w:val="008B5D95"/>
    <w:rsid w:val="008C0C29"/>
    <w:rsid w:val="008C2189"/>
    <w:rsid w:val="008D4AB6"/>
    <w:rsid w:val="008D55F1"/>
    <w:rsid w:val="008E0B8C"/>
    <w:rsid w:val="008E3DE9"/>
    <w:rsid w:val="008F3EC9"/>
    <w:rsid w:val="008F5BBD"/>
    <w:rsid w:val="008F66C4"/>
    <w:rsid w:val="00902C52"/>
    <w:rsid w:val="00903B33"/>
    <w:rsid w:val="00904D98"/>
    <w:rsid w:val="009076C2"/>
    <w:rsid w:val="009107ED"/>
    <w:rsid w:val="009138BF"/>
    <w:rsid w:val="00924097"/>
    <w:rsid w:val="00934DF0"/>
    <w:rsid w:val="0093679E"/>
    <w:rsid w:val="00941269"/>
    <w:rsid w:val="0095080D"/>
    <w:rsid w:val="0095636E"/>
    <w:rsid w:val="00967C89"/>
    <w:rsid w:val="009739C8"/>
    <w:rsid w:val="00973D90"/>
    <w:rsid w:val="00982157"/>
    <w:rsid w:val="00990E5C"/>
    <w:rsid w:val="009975DA"/>
    <w:rsid w:val="009A0767"/>
    <w:rsid w:val="009A0DD4"/>
    <w:rsid w:val="009A3902"/>
    <w:rsid w:val="009A7798"/>
    <w:rsid w:val="009B1280"/>
    <w:rsid w:val="009B349E"/>
    <w:rsid w:val="009C0088"/>
    <w:rsid w:val="009C2DB5"/>
    <w:rsid w:val="009C404A"/>
    <w:rsid w:val="009C5B0E"/>
    <w:rsid w:val="009D013F"/>
    <w:rsid w:val="009D1DC7"/>
    <w:rsid w:val="009E333D"/>
    <w:rsid w:val="009E3EBC"/>
    <w:rsid w:val="009E5E32"/>
    <w:rsid w:val="009E6FBE"/>
    <w:rsid w:val="009F17E2"/>
    <w:rsid w:val="00A10F29"/>
    <w:rsid w:val="00A119B4"/>
    <w:rsid w:val="00A13FC1"/>
    <w:rsid w:val="00A1699A"/>
    <w:rsid w:val="00A170A2"/>
    <w:rsid w:val="00A27E95"/>
    <w:rsid w:val="00A43A81"/>
    <w:rsid w:val="00A45E4A"/>
    <w:rsid w:val="00A46F6E"/>
    <w:rsid w:val="00A534B8"/>
    <w:rsid w:val="00A54063"/>
    <w:rsid w:val="00A5409F"/>
    <w:rsid w:val="00A54E2A"/>
    <w:rsid w:val="00A57460"/>
    <w:rsid w:val="00A63054"/>
    <w:rsid w:val="00A67BE8"/>
    <w:rsid w:val="00A70B7E"/>
    <w:rsid w:val="00A73656"/>
    <w:rsid w:val="00A80A85"/>
    <w:rsid w:val="00A80E01"/>
    <w:rsid w:val="00A8163D"/>
    <w:rsid w:val="00A8296F"/>
    <w:rsid w:val="00A85FE1"/>
    <w:rsid w:val="00A90FF5"/>
    <w:rsid w:val="00A91B96"/>
    <w:rsid w:val="00A94B68"/>
    <w:rsid w:val="00A97240"/>
    <w:rsid w:val="00AA284D"/>
    <w:rsid w:val="00AA3ED0"/>
    <w:rsid w:val="00AA5572"/>
    <w:rsid w:val="00AA5FB4"/>
    <w:rsid w:val="00AB099B"/>
    <w:rsid w:val="00AB6046"/>
    <w:rsid w:val="00AB6B57"/>
    <w:rsid w:val="00AC5924"/>
    <w:rsid w:val="00AC5AE1"/>
    <w:rsid w:val="00AC5BE1"/>
    <w:rsid w:val="00AC5CB9"/>
    <w:rsid w:val="00AC7BD3"/>
    <w:rsid w:val="00AC7C97"/>
    <w:rsid w:val="00AD02C1"/>
    <w:rsid w:val="00AD2F42"/>
    <w:rsid w:val="00AD54C2"/>
    <w:rsid w:val="00AD60AA"/>
    <w:rsid w:val="00AE6F35"/>
    <w:rsid w:val="00AF2734"/>
    <w:rsid w:val="00AF28C6"/>
    <w:rsid w:val="00AF4AC8"/>
    <w:rsid w:val="00B00C4F"/>
    <w:rsid w:val="00B01C67"/>
    <w:rsid w:val="00B04713"/>
    <w:rsid w:val="00B07A0B"/>
    <w:rsid w:val="00B1200C"/>
    <w:rsid w:val="00B2036D"/>
    <w:rsid w:val="00B212E1"/>
    <w:rsid w:val="00B21B40"/>
    <w:rsid w:val="00B24B4C"/>
    <w:rsid w:val="00B24EE4"/>
    <w:rsid w:val="00B26C50"/>
    <w:rsid w:val="00B3707F"/>
    <w:rsid w:val="00B4466C"/>
    <w:rsid w:val="00B44BC6"/>
    <w:rsid w:val="00B46033"/>
    <w:rsid w:val="00B46ED5"/>
    <w:rsid w:val="00B47550"/>
    <w:rsid w:val="00B51BB5"/>
    <w:rsid w:val="00B5340E"/>
    <w:rsid w:val="00B53FC7"/>
    <w:rsid w:val="00B53FCE"/>
    <w:rsid w:val="00B55727"/>
    <w:rsid w:val="00B55F7A"/>
    <w:rsid w:val="00B56A07"/>
    <w:rsid w:val="00B65452"/>
    <w:rsid w:val="00B65B31"/>
    <w:rsid w:val="00B6770F"/>
    <w:rsid w:val="00B72931"/>
    <w:rsid w:val="00B80AAD"/>
    <w:rsid w:val="00B80E8B"/>
    <w:rsid w:val="00B829C3"/>
    <w:rsid w:val="00B857B4"/>
    <w:rsid w:val="00B85A90"/>
    <w:rsid w:val="00B9004E"/>
    <w:rsid w:val="00B917E0"/>
    <w:rsid w:val="00B93B24"/>
    <w:rsid w:val="00B97B06"/>
    <w:rsid w:val="00BA098B"/>
    <w:rsid w:val="00BA0FCC"/>
    <w:rsid w:val="00BA7230"/>
    <w:rsid w:val="00BA7AAB"/>
    <w:rsid w:val="00BB17E9"/>
    <w:rsid w:val="00BB1FB3"/>
    <w:rsid w:val="00BB2583"/>
    <w:rsid w:val="00BB6158"/>
    <w:rsid w:val="00BB6F24"/>
    <w:rsid w:val="00BC4289"/>
    <w:rsid w:val="00BC5D0F"/>
    <w:rsid w:val="00BC6CB4"/>
    <w:rsid w:val="00BD1A84"/>
    <w:rsid w:val="00BD4782"/>
    <w:rsid w:val="00BE13F4"/>
    <w:rsid w:val="00BE4514"/>
    <w:rsid w:val="00BE5303"/>
    <w:rsid w:val="00BE75CF"/>
    <w:rsid w:val="00BF091C"/>
    <w:rsid w:val="00BF317F"/>
    <w:rsid w:val="00BF35D4"/>
    <w:rsid w:val="00BF732E"/>
    <w:rsid w:val="00C04119"/>
    <w:rsid w:val="00C0536F"/>
    <w:rsid w:val="00C06290"/>
    <w:rsid w:val="00C11E82"/>
    <w:rsid w:val="00C15261"/>
    <w:rsid w:val="00C15BD1"/>
    <w:rsid w:val="00C202C5"/>
    <w:rsid w:val="00C20DEB"/>
    <w:rsid w:val="00C2225F"/>
    <w:rsid w:val="00C30824"/>
    <w:rsid w:val="00C3405A"/>
    <w:rsid w:val="00C361B7"/>
    <w:rsid w:val="00C363BE"/>
    <w:rsid w:val="00C409CF"/>
    <w:rsid w:val="00C4218E"/>
    <w:rsid w:val="00C436AB"/>
    <w:rsid w:val="00C43A43"/>
    <w:rsid w:val="00C455FC"/>
    <w:rsid w:val="00C5030D"/>
    <w:rsid w:val="00C54B05"/>
    <w:rsid w:val="00C54E68"/>
    <w:rsid w:val="00C62115"/>
    <w:rsid w:val="00C62B29"/>
    <w:rsid w:val="00C6542C"/>
    <w:rsid w:val="00C664FC"/>
    <w:rsid w:val="00C70284"/>
    <w:rsid w:val="00C70C44"/>
    <w:rsid w:val="00C71375"/>
    <w:rsid w:val="00C7303D"/>
    <w:rsid w:val="00C7399B"/>
    <w:rsid w:val="00C73D4C"/>
    <w:rsid w:val="00C84909"/>
    <w:rsid w:val="00C84910"/>
    <w:rsid w:val="00C94717"/>
    <w:rsid w:val="00C94F2B"/>
    <w:rsid w:val="00C97339"/>
    <w:rsid w:val="00CA0226"/>
    <w:rsid w:val="00CA07BF"/>
    <w:rsid w:val="00CA0C56"/>
    <w:rsid w:val="00CA21B8"/>
    <w:rsid w:val="00CA3A65"/>
    <w:rsid w:val="00CA5151"/>
    <w:rsid w:val="00CA66D8"/>
    <w:rsid w:val="00CB2145"/>
    <w:rsid w:val="00CB2A0D"/>
    <w:rsid w:val="00CB4B4E"/>
    <w:rsid w:val="00CB66B0"/>
    <w:rsid w:val="00CC009B"/>
    <w:rsid w:val="00CD6723"/>
    <w:rsid w:val="00CE0353"/>
    <w:rsid w:val="00CE25F4"/>
    <w:rsid w:val="00CE3571"/>
    <w:rsid w:val="00CE5951"/>
    <w:rsid w:val="00CE69F8"/>
    <w:rsid w:val="00CF0AB3"/>
    <w:rsid w:val="00CF358B"/>
    <w:rsid w:val="00CF4703"/>
    <w:rsid w:val="00CF55F3"/>
    <w:rsid w:val="00CF73E9"/>
    <w:rsid w:val="00D05592"/>
    <w:rsid w:val="00D10B8E"/>
    <w:rsid w:val="00D136E3"/>
    <w:rsid w:val="00D14100"/>
    <w:rsid w:val="00D15A52"/>
    <w:rsid w:val="00D15BEB"/>
    <w:rsid w:val="00D2033E"/>
    <w:rsid w:val="00D25F9A"/>
    <w:rsid w:val="00D31E35"/>
    <w:rsid w:val="00D34D40"/>
    <w:rsid w:val="00D435F2"/>
    <w:rsid w:val="00D437F5"/>
    <w:rsid w:val="00D50026"/>
    <w:rsid w:val="00D507E2"/>
    <w:rsid w:val="00D5149B"/>
    <w:rsid w:val="00D52044"/>
    <w:rsid w:val="00D527EC"/>
    <w:rsid w:val="00D534B3"/>
    <w:rsid w:val="00D53913"/>
    <w:rsid w:val="00D55424"/>
    <w:rsid w:val="00D55DBC"/>
    <w:rsid w:val="00D5631E"/>
    <w:rsid w:val="00D61CE0"/>
    <w:rsid w:val="00D63B81"/>
    <w:rsid w:val="00D65D61"/>
    <w:rsid w:val="00D678DB"/>
    <w:rsid w:val="00D71ABB"/>
    <w:rsid w:val="00DB11F7"/>
    <w:rsid w:val="00DC53A5"/>
    <w:rsid w:val="00DC74E1"/>
    <w:rsid w:val="00DD1B9B"/>
    <w:rsid w:val="00DD2F4E"/>
    <w:rsid w:val="00DD3092"/>
    <w:rsid w:val="00DE07A5"/>
    <w:rsid w:val="00DE116F"/>
    <w:rsid w:val="00DE2AF4"/>
    <w:rsid w:val="00DE2CE3"/>
    <w:rsid w:val="00DE3385"/>
    <w:rsid w:val="00E01AC0"/>
    <w:rsid w:val="00E04DAF"/>
    <w:rsid w:val="00E112C7"/>
    <w:rsid w:val="00E12B38"/>
    <w:rsid w:val="00E12D06"/>
    <w:rsid w:val="00E219F3"/>
    <w:rsid w:val="00E22078"/>
    <w:rsid w:val="00E23618"/>
    <w:rsid w:val="00E23B4B"/>
    <w:rsid w:val="00E23D0E"/>
    <w:rsid w:val="00E24C64"/>
    <w:rsid w:val="00E251EF"/>
    <w:rsid w:val="00E25E86"/>
    <w:rsid w:val="00E33B22"/>
    <w:rsid w:val="00E354E8"/>
    <w:rsid w:val="00E40A53"/>
    <w:rsid w:val="00E4272D"/>
    <w:rsid w:val="00E43EE0"/>
    <w:rsid w:val="00E5058E"/>
    <w:rsid w:val="00E51733"/>
    <w:rsid w:val="00E51EB5"/>
    <w:rsid w:val="00E540F6"/>
    <w:rsid w:val="00E56264"/>
    <w:rsid w:val="00E604B6"/>
    <w:rsid w:val="00E620A8"/>
    <w:rsid w:val="00E64A83"/>
    <w:rsid w:val="00E66CA0"/>
    <w:rsid w:val="00E75216"/>
    <w:rsid w:val="00E836F5"/>
    <w:rsid w:val="00E8501D"/>
    <w:rsid w:val="00EA4101"/>
    <w:rsid w:val="00EA5F31"/>
    <w:rsid w:val="00EA6DF0"/>
    <w:rsid w:val="00EA7023"/>
    <w:rsid w:val="00EB19BF"/>
    <w:rsid w:val="00EB6ACF"/>
    <w:rsid w:val="00EC2F61"/>
    <w:rsid w:val="00ED1F2F"/>
    <w:rsid w:val="00EE280A"/>
    <w:rsid w:val="00EE4AE9"/>
    <w:rsid w:val="00EE5E2A"/>
    <w:rsid w:val="00EE73E8"/>
    <w:rsid w:val="00EF3B00"/>
    <w:rsid w:val="00F0527E"/>
    <w:rsid w:val="00F111A5"/>
    <w:rsid w:val="00F12D5C"/>
    <w:rsid w:val="00F14D7F"/>
    <w:rsid w:val="00F16E81"/>
    <w:rsid w:val="00F20AC8"/>
    <w:rsid w:val="00F22585"/>
    <w:rsid w:val="00F275EE"/>
    <w:rsid w:val="00F3388F"/>
    <w:rsid w:val="00F33C95"/>
    <w:rsid w:val="00F3454B"/>
    <w:rsid w:val="00F379BE"/>
    <w:rsid w:val="00F4460E"/>
    <w:rsid w:val="00F522E3"/>
    <w:rsid w:val="00F52A5B"/>
    <w:rsid w:val="00F54C73"/>
    <w:rsid w:val="00F54CC7"/>
    <w:rsid w:val="00F551D3"/>
    <w:rsid w:val="00F55EA7"/>
    <w:rsid w:val="00F66145"/>
    <w:rsid w:val="00F67719"/>
    <w:rsid w:val="00F70212"/>
    <w:rsid w:val="00F71370"/>
    <w:rsid w:val="00F75801"/>
    <w:rsid w:val="00F76954"/>
    <w:rsid w:val="00F81980"/>
    <w:rsid w:val="00F82B2C"/>
    <w:rsid w:val="00F838C4"/>
    <w:rsid w:val="00F8674B"/>
    <w:rsid w:val="00F945C5"/>
    <w:rsid w:val="00FA0B21"/>
    <w:rsid w:val="00FA31BE"/>
    <w:rsid w:val="00FA3555"/>
    <w:rsid w:val="00FA3F7C"/>
    <w:rsid w:val="00FB02E0"/>
    <w:rsid w:val="00FB1A28"/>
    <w:rsid w:val="00FC1E43"/>
    <w:rsid w:val="00FC4427"/>
    <w:rsid w:val="00FC4BF6"/>
    <w:rsid w:val="00FD0A93"/>
    <w:rsid w:val="00FD277E"/>
    <w:rsid w:val="00FD2F25"/>
    <w:rsid w:val="00FD3335"/>
    <w:rsid w:val="00FD44CF"/>
    <w:rsid w:val="00FD6D6A"/>
    <w:rsid w:val="00FE3A62"/>
    <w:rsid w:val="00FE5E0D"/>
    <w:rsid w:val="00FF039F"/>
    <w:rsid w:val="00FF4673"/>
    <w:rsid w:val="00FF7DFB"/>
    <w:rsid w:val="014949C0"/>
    <w:rsid w:val="147954B5"/>
    <w:rsid w:val="179D69E3"/>
    <w:rsid w:val="1A193EFC"/>
    <w:rsid w:val="27F02FD8"/>
    <w:rsid w:val="3C3453AD"/>
    <w:rsid w:val="44A87319"/>
    <w:rsid w:val="5712A4BA"/>
    <w:rsid w:val="5927B2A1"/>
    <w:rsid w:val="5BB7AF83"/>
    <w:rsid w:val="7D12802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8F909"/>
  <w15:chartTrackingRefBased/>
  <w15:docId w15:val="{2AF78151-C882-4DB1-AB94-84D271E0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14973"/>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14973"/>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1497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14973"/>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14973"/>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14973"/>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14973"/>
    <w:pPr>
      <w:keepNext/>
      <w:spacing w:after="200" w:line="240" w:lineRule="auto"/>
    </w:pPr>
    <w:rPr>
      <w:iCs/>
      <w:color w:val="002664"/>
      <w:sz w:val="18"/>
      <w:szCs w:val="18"/>
    </w:rPr>
  </w:style>
  <w:style w:type="table" w:customStyle="1" w:styleId="Tableheader">
    <w:name w:val="ŠTable header"/>
    <w:basedOn w:val="TableNormal"/>
    <w:uiPriority w:val="99"/>
    <w:rsid w:val="00614973"/>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14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14973"/>
    <w:pPr>
      <w:numPr>
        <w:numId w:val="45"/>
      </w:numPr>
    </w:pPr>
  </w:style>
  <w:style w:type="paragraph" w:styleId="ListNumber2">
    <w:name w:val="List Number 2"/>
    <w:aliases w:val="ŠList Number 2"/>
    <w:basedOn w:val="Normal"/>
    <w:uiPriority w:val="8"/>
    <w:qFormat/>
    <w:rsid w:val="00614973"/>
    <w:pPr>
      <w:numPr>
        <w:numId w:val="44"/>
      </w:numPr>
    </w:pPr>
  </w:style>
  <w:style w:type="paragraph" w:styleId="ListBullet">
    <w:name w:val="List Bullet"/>
    <w:aliases w:val="ŠList Bullet"/>
    <w:basedOn w:val="Normal"/>
    <w:uiPriority w:val="9"/>
    <w:qFormat/>
    <w:rsid w:val="00614973"/>
    <w:pPr>
      <w:numPr>
        <w:numId w:val="42"/>
      </w:numPr>
    </w:pPr>
  </w:style>
  <w:style w:type="paragraph" w:styleId="ListBullet2">
    <w:name w:val="List Bullet 2"/>
    <w:aliases w:val="ŠList Bullet 2"/>
    <w:basedOn w:val="Normal"/>
    <w:uiPriority w:val="10"/>
    <w:qFormat/>
    <w:rsid w:val="00614973"/>
    <w:pPr>
      <w:numPr>
        <w:numId w:val="40"/>
      </w:numPr>
    </w:pPr>
  </w:style>
  <w:style w:type="character" w:styleId="SubtleReference">
    <w:name w:val="Subtle Reference"/>
    <w:aliases w:val="ŠSubtle Reference"/>
    <w:uiPriority w:val="31"/>
    <w:qFormat/>
    <w:rsid w:val="00085114"/>
    <w:rPr>
      <w:rFonts w:ascii="Arial" w:hAnsi="Arial"/>
      <w:sz w:val="22"/>
    </w:rPr>
  </w:style>
  <w:style w:type="paragraph" w:styleId="Quote">
    <w:name w:val="Quote"/>
    <w:aliases w:val="ŠQuote"/>
    <w:basedOn w:val="Normal"/>
    <w:next w:val="Normal"/>
    <w:link w:val="QuoteChar"/>
    <w:uiPriority w:val="29"/>
    <w:qFormat/>
    <w:rsid w:val="00085114"/>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after="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after="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Bold"/>
    <w:qFormat/>
    <w:rsid w:val="00614973"/>
    <w:rPr>
      <w:b/>
      <w:bCs/>
    </w:rPr>
  </w:style>
  <w:style w:type="character" w:customStyle="1" w:styleId="QuoteChar">
    <w:name w:val="Quote Char"/>
    <w:aliases w:val="ŠQuote Char"/>
    <w:basedOn w:val="DefaultParagraphFont"/>
    <w:link w:val="Quote"/>
    <w:uiPriority w:val="29"/>
    <w:rsid w:val="00085114"/>
    <w:rPr>
      <w:rFonts w:ascii="Arial" w:hAnsi="Arial" w:cs="Arial"/>
      <w:sz w:val="24"/>
      <w:szCs w:val="24"/>
    </w:rPr>
  </w:style>
  <w:style w:type="paragraph" w:customStyle="1" w:styleId="FeatureBox2">
    <w:name w:val="ŠFeature Box 2"/>
    <w:basedOn w:val="Normal"/>
    <w:next w:val="Normal"/>
    <w:uiPriority w:val="12"/>
    <w:qFormat/>
    <w:rsid w:val="00614973"/>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085114"/>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614973"/>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1497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14973"/>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614973"/>
    <w:rPr>
      <w:color w:val="2F5496" w:themeColor="accent1" w:themeShade="BF"/>
      <w:u w:val="single"/>
    </w:rPr>
  </w:style>
  <w:style w:type="paragraph" w:customStyle="1" w:styleId="Logo">
    <w:name w:val="ŠLogo"/>
    <w:basedOn w:val="Normal"/>
    <w:uiPriority w:val="18"/>
    <w:qFormat/>
    <w:rsid w:val="00614973"/>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14973"/>
    <w:pPr>
      <w:tabs>
        <w:tab w:val="right" w:leader="dot" w:pos="14570"/>
      </w:tabs>
      <w:spacing w:before="0"/>
    </w:pPr>
    <w:rPr>
      <w:b/>
      <w:noProof/>
    </w:rPr>
  </w:style>
  <w:style w:type="paragraph" w:styleId="TOC2">
    <w:name w:val="toc 2"/>
    <w:aliases w:val="ŠTOC 2"/>
    <w:basedOn w:val="Normal"/>
    <w:next w:val="Normal"/>
    <w:uiPriority w:val="39"/>
    <w:unhideWhenUsed/>
    <w:rsid w:val="00614973"/>
    <w:pPr>
      <w:tabs>
        <w:tab w:val="right" w:leader="dot" w:pos="14570"/>
      </w:tabs>
      <w:spacing w:before="0"/>
    </w:pPr>
    <w:rPr>
      <w:noProof/>
    </w:rPr>
  </w:style>
  <w:style w:type="paragraph" w:styleId="TOC3">
    <w:name w:val="toc 3"/>
    <w:aliases w:val="ŠTOC 3"/>
    <w:basedOn w:val="Normal"/>
    <w:next w:val="Normal"/>
    <w:uiPriority w:val="39"/>
    <w:unhideWhenUsed/>
    <w:rsid w:val="00614973"/>
    <w:pPr>
      <w:spacing w:before="0"/>
      <w:ind w:left="244"/>
    </w:pPr>
  </w:style>
  <w:style w:type="paragraph" w:styleId="Title">
    <w:name w:val="Title"/>
    <w:aliases w:val="ŠTitle"/>
    <w:basedOn w:val="Normal"/>
    <w:next w:val="Normal"/>
    <w:link w:val="TitleChar"/>
    <w:uiPriority w:val="1"/>
    <w:rsid w:val="00614973"/>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14973"/>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614973"/>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1497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14973"/>
    <w:pPr>
      <w:spacing w:after="240"/>
      <w:outlineLvl w:val="9"/>
    </w:pPr>
    <w:rPr>
      <w:szCs w:val="40"/>
    </w:rPr>
  </w:style>
  <w:style w:type="paragraph" w:styleId="Footer">
    <w:name w:val="footer"/>
    <w:aliases w:val="ŠFooter"/>
    <w:basedOn w:val="Normal"/>
    <w:link w:val="FooterChar"/>
    <w:uiPriority w:val="19"/>
    <w:rsid w:val="00614973"/>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14973"/>
    <w:rPr>
      <w:rFonts w:ascii="Arial" w:hAnsi="Arial" w:cs="Arial"/>
      <w:sz w:val="18"/>
      <w:szCs w:val="18"/>
    </w:rPr>
  </w:style>
  <w:style w:type="paragraph" w:styleId="Header">
    <w:name w:val="header"/>
    <w:aliases w:val="ŠHeader"/>
    <w:basedOn w:val="Normal"/>
    <w:link w:val="HeaderChar"/>
    <w:uiPriority w:val="16"/>
    <w:rsid w:val="00614973"/>
    <w:rPr>
      <w:noProof/>
      <w:color w:val="002664"/>
      <w:sz w:val="28"/>
      <w:szCs w:val="28"/>
    </w:rPr>
  </w:style>
  <w:style w:type="character" w:customStyle="1" w:styleId="HeaderChar">
    <w:name w:val="Header Char"/>
    <w:aliases w:val="ŠHeader Char"/>
    <w:basedOn w:val="DefaultParagraphFont"/>
    <w:link w:val="Header"/>
    <w:uiPriority w:val="16"/>
    <w:rsid w:val="00614973"/>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14973"/>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14973"/>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14973"/>
    <w:rPr>
      <w:rFonts w:ascii="Arial" w:hAnsi="Arial" w:cs="Arial"/>
      <w:b/>
      <w:szCs w:val="32"/>
    </w:rPr>
  </w:style>
  <w:style w:type="character" w:styleId="UnresolvedMention">
    <w:name w:val="Unresolved Mention"/>
    <w:basedOn w:val="DefaultParagraphFont"/>
    <w:uiPriority w:val="99"/>
    <w:semiHidden/>
    <w:unhideWhenUsed/>
    <w:rsid w:val="00614973"/>
    <w:rPr>
      <w:color w:val="605E5C"/>
      <w:shd w:val="clear" w:color="auto" w:fill="E1DFDD"/>
    </w:rPr>
  </w:style>
  <w:style w:type="character" w:styleId="Emphasis">
    <w:name w:val="Emphasis"/>
    <w:aliases w:val="ŠEmphasis,Italic"/>
    <w:qFormat/>
    <w:rsid w:val="00614973"/>
    <w:rPr>
      <w:i/>
      <w:iCs/>
    </w:rPr>
  </w:style>
  <w:style w:type="character" w:styleId="SubtleEmphasis">
    <w:name w:val="Subtle Emphasis"/>
    <w:basedOn w:val="DefaultParagraphFont"/>
    <w:uiPriority w:val="19"/>
    <w:semiHidden/>
    <w:qFormat/>
    <w:rsid w:val="00614973"/>
    <w:rPr>
      <w:i/>
      <w:iCs/>
      <w:color w:val="404040" w:themeColor="text1" w:themeTint="BF"/>
    </w:rPr>
  </w:style>
  <w:style w:type="paragraph" w:styleId="TOC4">
    <w:name w:val="toc 4"/>
    <w:aliases w:val="ŠTOC 4"/>
    <w:basedOn w:val="Normal"/>
    <w:next w:val="Normal"/>
    <w:autoRedefine/>
    <w:uiPriority w:val="39"/>
    <w:unhideWhenUsed/>
    <w:rsid w:val="00614973"/>
    <w:pPr>
      <w:spacing w:before="0"/>
      <w:ind w:left="488"/>
    </w:pPr>
  </w:style>
  <w:style w:type="character" w:styleId="CommentReference">
    <w:name w:val="annotation reference"/>
    <w:basedOn w:val="DefaultParagraphFont"/>
    <w:uiPriority w:val="99"/>
    <w:semiHidden/>
    <w:unhideWhenUsed/>
    <w:rsid w:val="00614973"/>
    <w:rPr>
      <w:sz w:val="16"/>
      <w:szCs w:val="16"/>
    </w:rPr>
  </w:style>
  <w:style w:type="paragraph" w:styleId="CommentText">
    <w:name w:val="annotation text"/>
    <w:basedOn w:val="Normal"/>
    <w:link w:val="CommentTextChar"/>
    <w:uiPriority w:val="99"/>
    <w:unhideWhenUsed/>
    <w:rsid w:val="00614973"/>
    <w:pPr>
      <w:spacing w:line="240" w:lineRule="auto"/>
    </w:pPr>
    <w:rPr>
      <w:sz w:val="20"/>
      <w:szCs w:val="20"/>
    </w:rPr>
  </w:style>
  <w:style w:type="character" w:customStyle="1" w:styleId="CommentTextChar">
    <w:name w:val="Comment Text Char"/>
    <w:basedOn w:val="DefaultParagraphFont"/>
    <w:link w:val="CommentText"/>
    <w:uiPriority w:val="99"/>
    <w:rsid w:val="0061497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4973"/>
    <w:rPr>
      <w:b/>
      <w:bCs/>
    </w:rPr>
  </w:style>
  <w:style w:type="character" w:customStyle="1" w:styleId="CommentSubjectChar">
    <w:name w:val="Comment Subject Char"/>
    <w:basedOn w:val="CommentTextChar"/>
    <w:link w:val="CommentSubject"/>
    <w:uiPriority w:val="99"/>
    <w:semiHidden/>
    <w:rsid w:val="00614973"/>
    <w:rPr>
      <w:rFonts w:ascii="Arial" w:hAnsi="Arial" w:cs="Arial"/>
      <w:b/>
      <w:bCs/>
      <w:sz w:val="20"/>
      <w:szCs w:val="20"/>
    </w:rPr>
  </w:style>
  <w:style w:type="paragraph" w:styleId="ListParagraph">
    <w:name w:val="List Paragraph"/>
    <w:aliases w:val="ŠList Paragraph"/>
    <w:basedOn w:val="Normal"/>
    <w:uiPriority w:val="34"/>
    <w:unhideWhenUsed/>
    <w:qFormat/>
    <w:rsid w:val="00614973"/>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614973"/>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styleId="ListBullet3">
    <w:name w:val="List Bullet 3"/>
    <w:aliases w:val="ŠList Bullet 3"/>
    <w:basedOn w:val="Normal"/>
    <w:uiPriority w:val="10"/>
    <w:rsid w:val="00614973"/>
    <w:pPr>
      <w:numPr>
        <w:numId w:val="41"/>
      </w:numPr>
    </w:pPr>
  </w:style>
  <w:style w:type="paragraph" w:styleId="ListNumber3">
    <w:name w:val="List Number 3"/>
    <w:aliases w:val="ŠList Number 3"/>
    <w:basedOn w:val="ListBullet3"/>
    <w:uiPriority w:val="8"/>
    <w:rsid w:val="00614973"/>
    <w:pPr>
      <w:numPr>
        <w:ilvl w:val="2"/>
        <w:numId w:val="44"/>
      </w:numPr>
    </w:pPr>
  </w:style>
  <w:style w:type="character" w:styleId="PlaceholderText">
    <w:name w:val="Placeholder Text"/>
    <w:basedOn w:val="DefaultParagraphFont"/>
    <w:uiPriority w:val="99"/>
    <w:semiHidden/>
    <w:rsid w:val="00614973"/>
    <w:rPr>
      <w:color w:val="808080"/>
    </w:rPr>
  </w:style>
  <w:style w:type="character" w:customStyle="1" w:styleId="BoldItalic">
    <w:name w:val="ŠBold Italic"/>
    <w:basedOn w:val="DefaultParagraphFont"/>
    <w:uiPriority w:val="1"/>
    <w:qFormat/>
    <w:rsid w:val="00614973"/>
    <w:rPr>
      <w:b/>
      <w:i/>
      <w:iCs/>
    </w:rPr>
  </w:style>
  <w:style w:type="paragraph" w:customStyle="1" w:styleId="Documentname">
    <w:name w:val="ŠDocument name"/>
    <w:basedOn w:val="Normal"/>
    <w:next w:val="Normal"/>
    <w:uiPriority w:val="17"/>
    <w:qFormat/>
    <w:rsid w:val="00614973"/>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614973"/>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1497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14973"/>
    <w:pPr>
      <w:spacing w:after="0"/>
    </w:pPr>
    <w:rPr>
      <w:sz w:val="18"/>
      <w:szCs w:val="18"/>
    </w:rPr>
  </w:style>
  <w:style w:type="paragraph" w:customStyle="1" w:styleId="Pulloutquote">
    <w:name w:val="ŠPull out quote"/>
    <w:basedOn w:val="Normal"/>
    <w:next w:val="Normal"/>
    <w:uiPriority w:val="20"/>
    <w:qFormat/>
    <w:rsid w:val="00614973"/>
    <w:pPr>
      <w:keepNext/>
      <w:ind w:left="567" w:right="57"/>
    </w:pPr>
    <w:rPr>
      <w:szCs w:val="22"/>
    </w:rPr>
  </w:style>
  <w:style w:type="paragraph" w:customStyle="1" w:styleId="Subtitle0">
    <w:name w:val="ŠSubtitle"/>
    <w:basedOn w:val="Normal"/>
    <w:link w:val="SubtitleChar0"/>
    <w:uiPriority w:val="2"/>
    <w:qFormat/>
    <w:rsid w:val="00614973"/>
    <w:pPr>
      <w:spacing w:before="360"/>
    </w:pPr>
    <w:rPr>
      <w:color w:val="002664"/>
      <w:sz w:val="44"/>
      <w:szCs w:val="48"/>
    </w:rPr>
  </w:style>
  <w:style w:type="character" w:customStyle="1" w:styleId="SubtitleChar0">
    <w:name w:val="ŠSubtitle Char"/>
    <w:basedOn w:val="DefaultParagraphFont"/>
    <w:link w:val="Subtitle0"/>
    <w:uiPriority w:val="2"/>
    <w:rsid w:val="00614973"/>
    <w:rPr>
      <w:rFonts w:ascii="Arial" w:hAnsi="Arial" w:cs="Arial"/>
      <w:color w:val="002664"/>
      <w:sz w:val="44"/>
      <w:szCs w:val="48"/>
    </w:rPr>
  </w:style>
  <w:style w:type="character" w:styleId="Mention">
    <w:name w:val="Mention"/>
    <w:basedOn w:val="DefaultParagraphFont"/>
    <w:uiPriority w:val="99"/>
    <w:unhideWhenUsed/>
    <w:rsid w:val="008A5B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6169">
      <w:bodyDiv w:val="1"/>
      <w:marLeft w:val="0"/>
      <w:marRight w:val="0"/>
      <w:marTop w:val="0"/>
      <w:marBottom w:val="0"/>
      <w:divBdr>
        <w:top w:val="none" w:sz="0" w:space="0" w:color="auto"/>
        <w:left w:val="none" w:sz="0" w:space="0" w:color="auto"/>
        <w:bottom w:val="none" w:sz="0" w:space="0" w:color="auto"/>
        <w:right w:val="none" w:sz="0" w:space="0" w:color="auto"/>
      </w:divBdr>
    </w:div>
    <w:div w:id="109055745">
      <w:bodyDiv w:val="1"/>
      <w:marLeft w:val="0"/>
      <w:marRight w:val="0"/>
      <w:marTop w:val="0"/>
      <w:marBottom w:val="0"/>
      <w:divBdr>
        <w:top w:val="none" w:sz="0" w:space="0" w:color="auto"/>
        <w:left w:val="none" w:sz="0" w:space="0" w:color="auto"/>
        <w:bottom w:val="none" w:sz="0" w:space="0" w:color="auto"/>
        <w:right w:val="none" w:sz="0" w:space="0" w:color="auto"/>
      </w:divBdr>
    </w:div>
    <w:div w:id="126748203">
      <w:bodyDiv w:val="1"/>
      <w:marLeft w:val="0"/>
      <w:marRight w:val="0"/>
      <w:marTop w:val="0"/>
      <w:marBottom w:val="0"/>
      <w:divBdr>
        <w:top w:val="none" w:sz="0" w:space="0" w:color="auto"/>
        <w:left w:val="none" w:sz="0" w:space="0" w:color="auto"/>
        <w:bottom w:val="none" w:sz="0" w:space="0" w:color="auto"/>
        <w:right w:val="none" w:sz="0" w:space="0" w:color="auto"/>
      </w:divBdr>
    </w:div>
    <w:div w:id="129326317">
      <w:bodyDiv w:val="1"/>
      <w:marLeft w:val="0"/>
      <w:marRight w:val="0"/>
      <w:marTop w:val="0"/>
      <w:marBottom w:val="0"/>
      <w:divBdr>
        <w:top w:val="none" w:sz="0" w:space="0" w:color="auto"/>
        <w:left w:val="none" w:sz="0" w:space="0" w:color="auto"/>
        <w:bottom w:val="none" w:sz="0" w:space="0" w:color="auto"/>
        <w:right w:val="none" w:sz="0" w:space="0" w:color="auto"/>
      </w:divBdr>
    </w:div>
    <w:div w:id="167214449">
      <w:bodyDiv w:val="1"/>
      <w:marLeft w:val="0"/>
      <w:marRight w:val="0"/>
      <w:marTop w:val="0"/>
      <w:marBottom w:val="0"/>
      <w:divBdr>
        <w:top w:val="none" w:sz="0" w:space="0" w:color="auto"/>
        <w:left w:val="none" w:sz="0" w:space="0" w:color="auto"/>
        <w:bottom w:val="none" w:sz="0" w:space="0" w:color="auto"/>
        <w:right w:val="none" w:sz="0" w:space="0" w:color="auto"/>
      </w:divBdr>
    </w:div>
    <w:div w:id="203754921">
      <w:bodyDiv w:val="1"/>
      <w:marLeft w:val="0"/>
      <w:marRight w:val="0"/>
      <w:marTop w:val="0"/>
      <w:marBottom w:val="0"/>
      <w:divBdr>
        <w:top w:val="none" w:sz="0" w:space="0" w:color="auto"/>
        <w:left w:val="none" w:sz="0" w:space="0" w:color="auto"/>
        <w:bottom w:val="none" w:sz="0" w:space="0" w:color="auto"/>
        <w:right w:val="none" w:sz="0" w:space="0" w:color="auto"/>
      </w:divBdr>
    </w:div>
    <w:div w:id="325059968">
      <w:bodyDiv w:val="1"/>
      <w:marLeft w:val="0"/>
      <w:marRight w:val="0"/>
      <w:marTop w:val="0"/>
      <w:marBottom w:val="0"/>
      <w:divBdr>
        <w:top w:val="none" w:sz="0" w:space="0" w:color="auto"/>
        <w:left w:val="none" w:sz="0" w:space="0" w:color="auto"/>
        <w:bottom w:val="none" w:sz="0" w:space="0" w:color="auto"/>
        <w:right w:val="none" w:sz="0" w:space="0" w:color="auto"/>
      </w:divBdr>
    </w:div>
    <w:div w:id="387388300">
      <w:bodyDiv w:val="1"/>
      <w:marLeft w:val="0"/>
      <w:marRight w:val="0"/>
      <w:marTop w:val="0"/>
      <w:marBottom w:val="0"/>
      <w:divBdr>
        <w:top w:val="none" w:sz="0" w:space="0" w:color="auto"/>
        <w:left w:val="none" w:sz="0" w:space="0" w:color="auto"/>
        <w:bottom w:val="none" w:sz="0" w:space="0" w:color="auto"/>
        <w:right w:val="none" w:sz="0" w:space="0" w:color="auto"/>
      </w:divBdr>
    </w:div>
    <w:div w:id="389504483">
      <w:bodyDiv w:val="1"/>
      <w:marLeft w:val="0"/>
      <w:marRight w:val="0"/>
      <w:marTop w:val="0"/>
      <w:marBottom w:val="0"/>
      <w:divBdr>
        <w:top w:val="none" w:sz="0" w:space="0" w:color="auto"/>
        <w:left w:val="none" w:sz="0" w:space="0" w:color="auto"/>
        <w:bottom w:val="none" w:sz="0" w:space="0" w:color="auto"/>
        <w:right w:val="none" w:sz="0" w:space="0" w:color="auto"/>
      </w:divBdr>
    </w:div>
    <w:div w:id="441925955">
      <w:bodyDiv w:val="1"/>
      <w:marLeft w:val="0"/>
      <w:marRight w:val="0"/>
      <w:marTop w:val="0"/>
      <w:marBottom w:val="0"/>
      <w:divBdr>
        <w:top w:val="none" w:sz="0" w:space="0" w:color="auto"/>
        <w:left w:val="none" w:sz="0" w:space="0" w:color="auto"/>
        <w:bottom w:val="none" w:sz="0" w:space="0" w:color="auto"/>
        <w:right w:val="none" w:sz="0" w:space="0" w:color="auto"/>
      </w:divBdr>
    </w:div>
    <w:div w:id="528839732">
      <w:bodyDiv w:val="1"/>
      <w:marLeft w:val="0"/>
      <w:marRight w:val="0"/>
      <w:marTop w:val="0"/>
      <w:marBottom w:val="0"/>
      <w:divBdr>
        <w:top w:val="none" w:sz="0" w:space="0" w:color="auto"/>
        <w:left w:val="none" w:sz="0" w:space="0" w:color="auto"/>
        <w:bottom w:val="none" w:sz="0" w:space="0" w:color="auto"/>
        <w:right w:val="none" w:sz="0" w:space="0" w:color="auto"/>
      </w:divBdr>
    </w:div>
    <w:div w:id="537086555">
      <w:bodyDiv w:val="1"/>
      <w:marLeft w:val="0"/>
      <w:marRight w:val="0"/>
      <w:marTop w:val="0"/>
      <w:marBottom w:val="0"/>
      <w:divBdr>
        <w:top w:val="none" w:sz="0" w:space="0" w:color="auto"/>
        <w:left w:val="none" w:sz="0" w:space="0" w:color="auto"/>
        <w:bottom w:val="none" w:sz="0" w:space="0" w:color="auto"/>
        <w:right w:val="none" w:sz="0" w:space="0" w:color="auto"/>
      </w:divBdr>
    </w:div>
    <w:div w:id="544219324">
      <w:bodyDiv w:val="1"/>
      <w:marLeft w:val="0"/>
      <w:marRight w:val="0"/>
      <w:marTop w:val="0"/>
      <w:marBottom w:val="0"/>
      <w:divBdr>
        <w:top w:val="none" w:sz="0" w:space="0" w:color="auto"/>
        <w:left w:val="none" w:sz="0" w:space="0" w:color="auto"/>
        <w:bottom w:val="none" w:sz="0" w:space="0" w:color="auto"/>
        <w:right w:val="none" w:sz="0" w:space="0" w:color="auto"/>
      </w:divBdr>
    </w:div>
    <w:div w:id="622662143">
      <w:bodyDiv w:val="1"/>
      <w:marLeft w:val="0"/>
      <w:marRight w:val="0"/>
      <w:marTop w:val="0"/>
      <w:marBottom w:val="0"/>
      <w:divBdr>
        <w:top w:val="none" w:sz="0" w:space="0" w:color="auto"/>
        <w:left w:val="none" w:sz="0" w:space="0" w:color="auto"/>
        <w:bottom w:val="none" w:sz="0" w:space="0" w:color="auto"/>
        <w:right w:val="none" w:sz="0" w:space="0" w:color="auto"/>
      </w:divBdr>
    </w:div>
    <w:div w:id="758647751">
      <w:bodyDiv w:val="1"/>
      <w:marLeft w:val="0"/>
      <w:marRight w:val="0"/>
      <w:marTop w:val="0"/>
      <w:marBottom w:val="0"/>
      <w:divBdr>
        <w:top w:val="none" w:sz="0" w:space="0" w:color="auto"/>
        <w:left w:val="none" w:sz="0" w:space="0" w:color="auto"/>
        <w:bottom w:val="none" w:sz="0" w:space="0" w:color="auto"/>
        <w:right w:val="none" w:sz="0" w:space="0" w:color="auto"/>
      </w:divBdr>
    </w:div>
    <w:div w:id="763456849">
      <w:bodyDiv w:val="1"/>
      <w:marLeft w:val="0"/>
      <w:marRight w:val="0"/>
      <w:marTop w:val="0"/>
      <w:marBottom w:val="0"/>
      <w:divBdr>
        <w:top w:val="none" w:sz="0" w:space="0" w:color="auto"/>
        <w:left w:val="none" w:sz="0" w:space="0" w:color="auto"/>
        <w:bottom w:val="none" w:sz="0" w:space="0" w:color="auto"/>
        <w:right w:val="none" w:sz="0" w:space="0" w:color="auto"/>
      </w:divBdr>
    </w:div>
    <w:div w:id="878201255">
      <w:bodyDiv w:val="1"/>
      <w:marLeft w:val="0"/>
      <w:marRight w:val="0"/>
      <w:marTop w:val="0"/>
      <w:marBottom w:val="0"/>
      <w:divBdr>
        <w:top w:val="none" w:sz="0" w:space="0" w:color="auto"/>
        <w:left w:val="none" w:sz="0" w:space="0" w:color="auto"/>
        <w:bottom w:val="none" w:sz="0" w:space="0" w:color="auto"/>
        <w:right w:val="none" w:sz="0" w:space="0" w:color="auto"/>
      </w:divBdr>
    </w:div>
    <w:div w:id="883248314">
      <w:bodyDiv w:val="1"/>
      <w:marLeft w:val="0"/>
      <w:marRight w:val="0"/>
      <w:marTop w:val="0"/>
      <w:marBottom w:val="0"/>
      <w:divBdr>
        <w:top w:val="none" w:sz="0" w:space="0" w:color="auto"/>
        <w:left w:val="none" w:sz="0" w:space="0" w:color="auto"/>
        <w:bottom w:val="none" w:sz="0" w:space="0" w:color="auto"/>
        <w:right w:val="none" w:sz="0" w:space="0" w:color="auto"/>
      </w:divBdr>
    </w:div>
    <w:div w:id="909779081">
      <w:bodyDiv w:val="1"/>
      <w:marLeft w:val="0"/>
      <w:marRight w:val="0"/>
      <w:marTop w:val="0"/>
      <w:marBottom w:val="0"/>
      <w:divBdr>
        <w:top w:val="none" w:sz="0" w:space="0" w:color="auto"/>
        <w:left w:val="none" w:sz="0" w:space="0" w:color="auto"/>
        <w:bottom w:val="none" w:sz="0" w:space="0" w:color="auto"/>
        <w:right w:val="none" w:sz="0" w:space="0" w:color="auto"/>
      </w:divBdr>
    </w:div>
    <w:div w:id="931549480">
      <w:bodyDiv w:val="1"/>
      <w:marLeft w:val="0"/>
      <w:marRight w:val="0"/>
      <w:marTop w:val="0"/>
      <w:marBottom w:val="0"/>
      <w:divBdr>
        <w:top w:val="none" w:sz="0" w:space="0" w:color="auto"/>
        <w:left w:val="none" w:sz="0" w:space="0" w:color="auto"/>
        <w:bottom w:val="none" w:sz="0" w:space="0" w:color="auto"/>
        <w:right w:val="none" w:sz="0" w:space="0" w:color="auto"/>
      </w:divBdr>
    </w:div>
    <w:div w:id="936057800">
      <w:bodyDiv w:val="1"/>
      <w:marLeft w:val="0"/>
      <w:marRight w:val="0"/>
      <w:marTop w:val="0"/>
      <w:marBottom w:val="0"/>
      <w:divBdr>
        <w:top w:val="none" w:sz="0" w:space="0" w:color="auto"/>
        <w:left w:val="none" w:sz="0" w:space="0" w:color="auto"/>
        <w:bottom w:val="none" w:sz="0" w:space="0" w:color="auto"/>
        <w:right w:val="none" w:sz="0" w:space="0" w:color="auto"/>
      </w:divBdr>
    </w:div>
    <w:div w:id="941260120">
      <w:bodyDiv w:val="1"/>
      <w:marLeft w:val="0"/>
      <w:marRight w:val="0"/>
      <w:marTop w:val="0"/>
      <w:marBottom w:val="0"/>
      <w:divBdr>
        <w:top w:val="none" w:sz="0" w:space="0" w:color="auto"/>
        <w:left w:val="none" w:sz="0" w:space="0" w:color="auto"/>
        <w:bottom w:val="none" w:sz="0" w:space="0" w:color="auto"/>
        <w:right w:val="none" w:sz="0" w:space="0" w:color="auto"/>
      </w:divBdr>
    </w:div>
    <w:div w:id="1001666482">
      <w:bodyDiv w:val="1"/>
      <w:marLeft w:val="0"/>
      <w:marRight w:val="0"/>
      <w:marTop w:val="0"/>
      <w:marBottom w:val="0"/>
      <w:divBdr>
        <w:top w:val="none" w:sz="0" w:space="0" w:color="auto"/>
        <w:left w:val="none" w:sz="0" w:space="0" w:color="auto"/>
        <w:bottom w:val="none" w:sz="0" w:space="0" w:color="auto"/>
        <w:right w:val="none" w:sz="0" w:space="0" w:color="auto"/>
      </w:divBdr>
    </w:div>
    <w:div w:id="1006664967">
      <w:bodyDiv w:val="1"/>
      <w:marLeft w:val="0"/>
      <w:marRight w:val="0"/>
      <w:marTop w:val="0"/>
      <w:marBottom w:val="0"/>
      <w:divBdr>
        <w:top w:val="none" w:sz="0" w:space="0" w:color="auto"/>
        <w:left w:val="none" w:sz="0" w:space="0" w:color="auto"/>
        <w:bottom w:val="none" w:sz="0" w:space="0" w:color="auto"/>
        <w:right w:val="none" w:sz="0" w:space="0" w:color="auto"/>
      </w:divBdr>
    </w:div>
    <w:div w:id="1024675755">
      <w:bodyDiv w:val="1"/>
      <w:marLeft w:val="0"/>
      <w:marRight w:val="0"/>
      <w:marTop w:val="0"/>
      <w:marBottom w:val="0"/>
      <w:divBdr>
        <w:top w:val="none" w:sz="0" w:space="0" w:color="auto"/>
        <w:left w:val="none" w:sz="0" w:space="0" w:color="auto"/>
        <w:bottom w:val="none" w:sz="0" w:space="0" w:color="auto"/>
        <w:right w:val="none" w:sz="0" w:space="0" w:color="auto"/>
      </w:divBdr>
    </w:div>
    <w:div w:id="1119378321">
      <w:bodyDiv w:val="1"/>
      <w:marLeft w:val="0"/>
      <w:marRight w:val="0"/>
      <w:marTop w:val="0"/>
      <w:marBottom w:val="0"/>
      <w:divBdr>
        <w:top w:val="none" w:sz="0" w:space="0" w:color="auto"/>
        <w:left w:val="none" w:sz="0" w:space="0" w:color="auto"/>
        <w:bottom w:val="none" w:sz="0" w:space="0" w:color="auto"/>
        <w:right w:val="none" w:sz="0" w:space="0" w:color="auto"/>
      </w:divBdr>
    </w:div>
    <w:div w:id="1150026947">
      <w:bodyDiv w:val="1"/>
      <w:marLeft w:val="0"/>
      <w:marRight w:val="0"/>
      <w:marTop w:val="0"/>
      <w:marBottom w:val="0"/>
      <w:divBdr>
        <w:top w:val="none" w:sz="0" w:space="0" w:color="auto"/>
        <w:left w:val="none" w:sz="0" w:space="0" w:color="auto"/>
        <w:bottom w:val="none" w:sz="0" w:space="0" w:color="auto"/>
        <w:right w:val="none" w:sz="0" w:space="0" w:color="auto"/>
      </w:divBdr>
    </w:div>
    <w:div w:id="1412386124">
      <w:bodyDiv w:val="1"/>
      <w:marLeft w:val="0"/>
      <w:marRight w:val="0"/>
      <w:marTop w:val="0"/>
      <w:marBottom w:val="0"/>
      <w:divBdr>
        <w:top w:val="none" w:sz="0" w:space="0" w:color="auto"/>
        <w:left w:val="none" w:sz="0" w:space="0" w:color="auto"/>
        <w:bottom w:val="none" w:sz="0" w:space="0" w:color="auto"/>
        <w:right w:val="none" w:sz="0" w:space="0" w:color="auto"/>
      </w:divBdr>
    </w:div>
    <w:div w:id="1430199552">
      <w:bodyDiv w:val="1"/>
      <w:marLeft w:val="0"/>
      <w:marRight w:val="0"/>
      <w:marTop w:val="0"/>
      <w:marBottom w:val="0"/>
      <w:divBdr>
        <w:top w:val="none" w:sz="0" w:space="0" w:color="auto"/>
        <w:left w:val="none" w:sz="0" w:space="0" w:color="auto"/>
        <w:bottom w:val="none" w:sz="0" w:space="0" w:color="auto"/>
        <w:right w:val="none" w:sz="0" w:space="0" w:color="auto"/>
      </w:divBdr>
    </w:div>
    <w:div w:id="1482699188">
      <w:bodyDiv w:val="1"/>
      <w:marLeft w:val="0"/>
      <w:marRight w:val="0"/>
      <w:marTop w:val="0"/>
      <w:marBottom w:val="0"/>
      <w:divBdr>
        <w:top w:val="none" w:sz="0" w:space="0" w:color="auto"/>
        <w:left w:val="none" w:sz="0" w:space="0" w:color="auto"/>
        <w:bottom w:val="none" w:sz="0" w:space="0" w:color="auto"/>
        <w:right w:val="none" w:sz="0" w:space="0" w:color="auto"/>
      </w:divBdr>
    </w:div>
    <w:div w:id="1489713445">
      <w:bodyDiv w:val="1"/>
      <w:marLeft w:val="0"/>
      <w:marRight w:val="0"/>
      <w:marTop w:val="0"/>
      <w:marBottom w:val="0"/>
      <w:divBdr>
        <w:top w:val="none" w:sz="0" w:space="0" w:color="auto"/>
        <w:left w:val="none" w:sz="0" w:space="0" w:color="auto"/>
        <w:bottom w:val="none" w:sz="0" w:space="0" w:color="auto"/>
        <w:right w:val="none" w:sz="0" w:space="0" w:color="auto"/>
      </w:divBdr>
    </w:div>
    <w:div w:id="1531186017">
      <w:bodyDiv w:val="1"/>
      <w:marLeft w:val="0"/>
      <w:marRight w:val="0"/>
      <w:marTop w:val="0"/>
      <w:marBottom w:val="0"/>
      <w:divBdr>
        <w:top w:val="none" w:sz="0" w:space="0" w:color="auto"/>
        <w:left w:val="none" w:sz="0" w:space="0" w:color="auto"/>
        <w:bottom w:val="none" w:sz="0" w:space="0" w:color="auto"/>
        <w:right w:val="none" w:sz="0" w:space="0" w:color="auto"/>
      </w:divBdr>
    </w:div>
    <w:div w:id="1607232748">
      <w:bodyDiv w:val="1"/>
      <w:marLeft w:val="0"/>
      <w:marRight w:val="0"/>
      <w:marTop w:val="0"/>
      <w:marBottom w:val="0"/>
      <w:divBdr>
        <w:top w:val="none" w:sz="0" w:space="0" w:color="auto"/>
        <w:left w:val="none" w:sz="0" w:space="0" w:color="auto"/>
        <w:bottom w:val="none" w:sz="0" w:space="0" w:color="auto"/>
        <w:right w:val="none" w:sz="0" w:space="0" w:color="auto"/>
      </w:divBdr>
    </w:div>
    <w:div w:id="1720740570">
      <w:bodyDiv w:val="1"/>
      <w:marLeft w:val="0"/>
      <w:marRight w:val="0"/>
      <w:marTop w:val="0"/>
      <w:marBottom w:val="0"/>
      <w:divBdr>
        <w:top w:val="none" w:sz="0" w:space="0" w:color="auto"/>
        <w:left w:val="none" w:sz="0" w:space="0" w:color="auto"/>
        <w:bottom w:val="none" w:sz="0" w:space="0" w:color="auto"/>
        <w:right w:val="none" w:sz="0" w:space="0" w:color="auto"/>
      </w:divBdr>
    </w:div>
    <w:div w:id="1742675181">
      <w:bodyDiv w:val="1"/>
      <w:marLeft w:val="0"/>
      <w:marRight w:val="0"/>
      <w:marTop w:val="0"/>
      <w:marBottom w:val="0"/>
      <w:divBdr>
        <w:top w:val="none" w:sz="0" w:space="0" w:color="auto"/>
        <w:left w:val="none" w:sz="0" w:space="0" w:color="auto"/>
        <w:bottom w:val="none" w:sz="0" w:space="0" w:color="auto"/>
        <w:right w:val="none" w:sz="0" w:space="0" w:color="auto"/>
      </w:divBdr>
    </w:div>
    <w:div w:id="1749693585">
      <w:bodyDiv w:val="1"/>
      <w:marLeft w:val="0"/>
      <w:marRight w:val="0"/>
      <w:marTop w:val="0"/>
      <w:marBottom w:val="0"/>
      <w:divBdr>
        <w:top w:val="none" w:sz="0" w:space="0" w:color="auto"/>
        <w:left w:val="none" w:sz="0" w:space="0" w:color="auto"/>
        <w:bottom w:val="none" w:sz="0" w:space="0" w:color="auto"/>
        <w:right w:val="none" w:sz="0" w:space="0" w:color="auto"/>
      </w:divBdr>
    </w:div>
    <w:div w:id="1796832140">
      <w:bodyDiv w:val="1"/>
      <w:marLeft w:val="0"/>
      <w:marRight w:val="0"/>
      <w:marTop w:val="0"/>
      <w:marBottom w:val="0"/>
      <w:divBdr>
        <w:top w:val="none" w:sz="0" w:space="0" w:color="auto"/>
        <w:left w:val="none" w:sz="0" w:space="0" w:color="auto"/>
        <w:bottom w:val="none" w:sz="0" w:space="0" w:color="auto"/>
        <w:right w:val="none" w:sz="0" w:space="0" w:color="auto"/>
      </w:divBdr>
    </w:div>
    <w:div w:id="1848135847">
      <w:bodyDiv w:val="1"/>
      <w:marLeft w:val="0"/>
      <w:marRight w:val="0"/>
      <w:marTop w:val="0"/>
      <w:marBottom w:val="0"/>
      <w:divBdr>
        <w:top w:val="none" w:sz="0" w:space="0" w:color="auto"/>
        <w:left w:val="none" w:sz="0" w:space="0" w:color="auto"/>
        <w:bottom w:val="none" w:sz="0" w:space="0" w:color="auto"/>
        <w:right w:val="none" w:sz="0" w:space="0" w:color="auto"/>
      </w:divBdr>
    </w:div>
    <w:div w:id="194264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TAS@det.nsw.edu.au" TargetMode="External"/><Relationship Id="rId26" Type="http://schemas.openxmlformats.org/officeDocument/2006/relationships/hyperlink" Target="https://education.nsw.gov.au/policy-library/policies/pd-2016-0468" TargetMode="External"/><Relationship Id="rId39" Type="http://schemas.openxmlformats.org/officeDocument/2006/relationships/footer" Target="footer5.xml"/><Relationship Id="rId21" Type="http://schemas.openxmlformats.org/officeDocument/2006/relationships/hyperlink" Target="https://education.nsw.gov.au/teaching-and-learning/curriculum/planning-programming-and-assessing-k-12/planning-programming-and-assessing-7-12" TargetMode="External"/><Relationship Id="rId34" Type="http://schemas.openxmlformats.org/officeDocument/2006/relationships/hyperlink" Target="https://www.frontiersin.org/articles/10.3389/feduc.2018.00022/full"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educationstandards.nsw.edu.au/wps/portal/nesa/teacher-accreditation/meeting-requirements/the-standards/proficient-teach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education.nsw.gov.au/teaching-and-learning/curriculum/explicit-teaching" TargetMode="External"/><Relationship Id="rId32" Type="http://schemas.openxmlformats.org/officeDocument/2006/relationships/hyperlink" Target="https://curriculum.nsw.edu.au" TargetMode="External"/><Relationship Id="rId37" Type="http://schemas.openxmlformats.org/officeDocument/2006/relationships/hyperlink" Target="https://www.sciencedirect.com/science/article/abs/pii/S1747938X13000109?via%3Dihub" TargetMode="External"/><Relationship Id="rId40" Type="http://schemas.openxmlformats.org/officeDocument/2006/relationships/hyperlink" Target="https://creativecommons.org/licenses/by/4.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ducation.nsw.gov.au/teaching-and-learning/curriculum/planning-programming-and-assessing-k-12/planning-programming-and-assessing-7-12/assessment-task-advice-7-10" TargetMode="External"/><Relationship Id="rId28" Type="http://schemas.openxmlformats.org/officeDocument/2006/relationships/hyperlink" Target="https://education.nsw.gov.au/policy-library/policies/pd-2016-0468" TargetMode="External"/><Relationship Id="rId36" Type="http://schemas.openxmlformats.org/officeDocument/2006/relationships/hyperlink" Target="https://www.ascd.org/el/articles/feed-up-back-forward" TargetMode="External"/><Relationship Id="rId10" Type="http://schemas.openxmlformats.org/officeDocument/2006/relationships/image" Target="media/image2.png"/><Relationship Id="rId19" Type="http://schemas.openxmlformats.org/officeDocument/2006/relationships/hyperlink" Target="https://education.nsw.gov.au/teaching-and-learning/curriculum/planning-programming-and-assessing-k-12/planning-programming-and-assessing-7-12" TargetMode="External"/><Relationship Id="rId31" Type="http://schemas.openxmlformats.org/officeDocument/2006/relationships/hyperlink" Target="https://educationstandards.nsw.edu.a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education.nsw.gov.au/teaching-and-learning/curriculum/planning-programming-and-assessing-k-12/planning-programming-and-assessing-7-12/classroom-assessment-advice-7-10-" TargetMode="External"/><Relationship Id="rId27" Type="http://schemas.openxmlformats.org/officeDocument/2006/relationships/hyperlink" Target="https://education.nsw.gov.au/about-us/strategies-and-reports/plan-for-nsw-public-education" TargetMode="External"/><Relationship Id="rId30" Type="http://schemas.openxmlformats.org/officeDocument/2006/relationships/hyperlink" Target="https://educationstandards.nsw.edu.au/wps/portal/nesa/mini-footer/copyright" TargetMode="External"/><Relationship Id="rId35" Type="http://schemas.openxmlformats.org/officeDocument/2006/relationships/hyperlink" Target="https://education.nsw.gov.au/about-us/educational-data/cese/publications/research-reports/what-works-best-2020-update" TargetMode="External"/><Relationship Id="rId43" Type="http://schemas.openxmlformats.org/officeDocument/2006/relationships/footer" Target="footer6.xml"/><Relationship Id="rId8" Type="http://schemas.openxmlformats.org/officeDocument/2006/relationships/hyperlink" Target="https://curriculum.nsw.edu.au/learning-areas/tas/technology-7-8-2023/overview"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education.nsw.gov.au/about-us/education-data-and-research/cese/publications/research-reports/what-works-best-2020-update/explicit-teaching-driving-learning-and-engagement" TargetMode="External"/><Relationship Id="rId33" Type="http://schemas.openxmlformats.org/officeDocument/2006/relationships/hyperlink" Target="https://curriculum.nsw.edu.au/learning-areas/tas/technology-7-8-2023/overview" TargetMode="External"/><Relationship Id="rId38" Type="http://schemas.openxmlformats.org/officeDocument/2006/relationships/header" Target="header4.xml"/><Relationship Id="rId20" Type="http://schemas.openxmlformats.org/officeDocument/2006/relationships/hyperlink" Target="https://education.nsw.gov.au/teaching-and-learning/curriculum/planning-programming-and-assessing-k-12/planning-programming-and-assessing-7-12/inclusion-and-differentiation-advice-7-10" TargetMode="External"/><Relationship Id="rId4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E3CDC-E952-45E8-9127-45E6B952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15</Pages>
  <Words>2638</Words>
  <Characters>15238</Characters>
  <Application>Microsoft Office Word</Application>
  <DocSecurity>0</DocSecurity>
  <Lines>425</Lines>
  <Paragraphs>176</Paragraphs>
  <ScaleCrop>false</ScaleCrop>
  <HeadingPairs>
    <vt:vector size="2" baseType="variant">
      <vt:variant>
        <vt:lpstr>Title</vt:lpstr>
      </vt:variant>
      <vt:variant>
        <vt:i4>1</vt:i4>
      </vt:variant>
    </vt:vector>
  </HeadingPairs>
  <TitlesOfParts>
    <vt:vector size="1" baseType="lpstr">
      <vt:lpstr>CR-secondary-assessment-task-template</vt:lpstr>
    </vt:vector>
  </TitlesOfParts>
  <Company/>
  <LinksUpToDate>false</LinksUpToDate>
  <CharactersWithSpaces>17732</CharactersWithSpaces>
  <SharedDoc>false</SharedDoc>
  <HLinks>
    <vt:vector size="180" baseType="variant">
      <vt:variant>
        <vt:i4>5308424</vt:i4>
      </vt:variant>
      <vt:variant>
        <vt:i4>114</vt:i4>
      </vt:variant>
      <vt:variant>
        <vt:i4>0</vt:i4>
      </vt:variant>
      <vt:variant>
        <vt:i4>5</vt:i4>
      </vt:variant>
      <vt:variant>
        <vt:lpwstr>https://creativecommons.org/licenses/by/4.0/</vt:lpwstr>
      </vt:variant>
      <vt:variant>
        <vt:lpwstr/>
      </vt:variant>
      <vt:variant>
        <vt:i4>3604517</vt:i4>
      </vt:variant>
      <vt:variant>
        <vt:i4>111</vt:i4>
      </vt:variant>
      <vt:variant>
        <vt:i4>0</vt:i4>
      </vt:variant>
      <vt:variant>
        <vt:i4>5</vt:i4>
      </vt:variant>
      <vt:variant>
        <vt:lpwstr>https://www.sciencedirect.com/science/article/abs/pii/S1747938X13000109?via%3Dihub</vt:lpwstr>
      </vt:variant>
      <vt:variant>
        <vt:lpwstr/>
      </vt:variant>
      <vt:variant>
        <vt:i4>65607</vt:i4>
      </vt:variant>
      <vt:variant>
        <vt:i4>108</vt:i4>
      </vt:variant>
      <vt:variant>
        <vt:i4>0</vt:i4>
      </vt:variant>
      <vt:variant>
        <vt:i4>5</vt:i4>
      </vt:variant>
      <vt:variant>
        <vt:lpwstr>https://www.ascd.org/el/articles/feed-up-back-forward</vt:lpwstr>
      </vt:variant>
      <vt:variant>
        <vt:lpwstr/>
      </vt:variant>
      <vt:variant>
        <vt:i4>5963784</vt:i4>
      </vt:variant>
      <vt:variant>
        <vt:i4>105</vt:i4>
      </vt:variant>
      <vt:variant>
        <vt:i4>0</vt:i4>
      </vt:variant>
      <vt:variant>
        <vt:i4>5</vt:i4>
      </vt:variant>
      <vt:variant>
        <vt:lpwstr>https://education.nsw.gov.au/about-us/educational-data/cese/publications/research-reports/what-works-best-2020-update</vt:lpwstr>
      </vt:variant>
      <vt:variant>
        <vt:lpwstr/>
      </vt:variant>
      <vt:variant>
        <vt:i4>3932267</vt:i4>
      </vt:variant>
      <vt:variant>
        <vt:i4>102</vt:i4>
      </vt:variant>
      <vt:variant>
        <vt:i4>0</vt:i4>
      </vt:variant>
      <vt:variant>
        <vt:i4>5</vt:i4>
      </vt:variant>
      <vt:variant>
        <vt:lpwstr>https://www.frontiersin.org/articles/10.3389/feduc.2018.00022/full</vt:lpwstr>
      </vt:variant>
      <vt:variant>
        <vt:lpwstr/>
      </vt:variant>
      <vt:variant>
        <vt:i4>2031647</vt:i4>
      </vt:variant>
      <vt:variant>
        <vt:i4>99</vt:i4>
      </vt:variant>
      <vt:variant>
        <vt:i4>0</vt:i4>
      </vt:variant>
      <vt:variant>
        <vt:i4>5</vt:i4>
      </vt:variant>
      <vt:variant>
        <vt:lpwstr>https://curriculum.nsw.edu.au/learning-areas/tas/technology-7-8-2023/overview</vt:lpwstr>
      </vt:variant>
      <vt:variant>
        <vt:lpwstr/>
      </vt:variant>
      <vt:variant>
        <vt:i4>3342452</vt:i4>
      </vt:variant>
      <vt:variant>
        <vt:i4>96</vt:i4>
      </vt:variant>
      <vt:variant>
        <vt:i4>0</vt:i4>
      </vt:variant>
      <vt:variant>
        <vt:i4>5</vt:i4>
      </vt:variant>
      <vt:variant>
        <vt:lpwstr>https://curriculum.nsw.edu.au/</vt:lpwstr>
      </vt:variant>
      <vt:variant>
        <vt:lpwstr/>
      </vt:variant>
      <vt:variant>
        <vt:i4>3997797</vt:i4>
      </vt:variant>
      <vt:variant>
        <vt:i4>93</vt:i4>
      </vt:variant>
      <vt:variant>
        <vt:i4>0</vt:i4>
      </vt:variant>
      <vt:variant>
        <vt:i4>5</vt:i4>
      </vt:variant>
      <vt:variant>
        <vt:lpwstr>https://educationstandards.nsw.edu.au/</vt:lpwstr>
      </vt:variant>
      <vt:variant>
        <vt:lpwstr/>
      </vt:variant>
      <vt:variant>
        <vt:i4>2162720</vt:i4>
      </vt:variant>
      <vt:variant>
        <vt:i4>90</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4522007</vt:i4>
      </vt:variant>
      <vt:variant>
        <vt:i4>87</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84</vt:i4>
      </vt:variant>
      <vt:variant>
        <vt:i4>0</vt:i4>
      </vt:variant>
      <vt:variant>
        <vt:i4>5</vt:i4>
      </vt:variant>
      <vt:variant>
        <vt:lpwstr>https://education.nsw.gov.au/policy-library/policies/pd-2016-0468</vt:lpwstr>
      </vt:variant>
      <vt:variant>
        <vt:lpwstr/>
      </vt:variant>
      <vt:variant>
        <vt:i4>8257568</vt:i4>
      </vt:variant>
      <vt:variant>
        <vt:i4>81</vt:i4>
      </vt:variant>
      <vt:variant>
        <vt:i4>0</vt:i4>
      </vt:variant>
      <vt:variant>
        <vt:i4>5</vt:i4>
      </vt:variant>
      <vt:variant>
        <vt:lpwstr>https://education.nsw.gov.au/public-schools/school-success-model/school-success-model-explained</vt:lpwstr>
      </vt:variant>
      <vt:variant>
        <vt:lpwstr/>
      </vt:variant>
      <vt:variant>
        <vt:i4>2031698</vt:i4>
      </vt:variant>
      <vt:variant>
        <vt:i4>78</vt:i4>
      </vt:variant>
      <vt:variant>
        <vt:i4>0</vt:i4>
      </vt:variant>
      <vt:variant>
        <vt:i4>5</vt:i4>
      </vt:variant>
      <vt:variant>
        <vt:lpwstr>https://education.nsw.gov.au/policy-library/policies/pd-2016-0468</vt:lpwstr>
      </vt:variant>
      <vt:variant>
        <vt:lpwstr/>
      </vt:variant>
      <vt:variant>
        <vt:i4>2621541</vt:i4>
      </vt:variant>
      <vt:variant>
        <vt:i4>75</vt:i4>
      </vt:variant>
      <vt:variant>
        <vt:i4>0</vt:i4>
      </vt:variant>
      <vt:variant>
        <vt:i4>5</vt:i4>
      </vt:variant>
      <vt:variant>
        <vt:lpwstr>https://education.nsw.gov.au/about-us/education-data-and-research/cese/publications/research-reports/what-works-best-2020-update/explicit-teaching-driving-learning-and-engagement</vt:lpwstr>
      </vt:variant>
      <vt:variant>
        <vt:lpwstr/>
      </vt:variant>
      <vt:variant>
        <vt:i4>6881389</vt:i4>
      </vt:variant>
      <vt:variant>
        <vt:i4>72</vt:i4>
      </vt:variant>
      <vt:variant>
        <vt:i4>0</vt:i4>
      </vt:variant>
      <vt:variant>
        <vt:i4>5</vt:i4>
      </vt:variant>
      <vt:variant>
        <vt:lpwstr>https://education.nsw.gov.au/teaching-and-learning/curriculum/explicit-teaching</vt:lpwstr>
      </vt:variant>
      <vt:variant>
        <vt:lpwstr/>
      </vt:variant>
      <vt:variant>
        <vt:i4>1376267</vt:i4>
      </vt:variant>
      <vt:variant>
        <vt:i4>69</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66</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63</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60</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57</vt:i4>
      </vt:variant>
      <vt:variant>
        <vt:i4>0</vt:i4>
      </vt:variant>
      <vt:variant>
        <vt:i4>5</vt:i4>
      </vt:variant>
      <vt:variant>
        <vt:lpwstr>https://education.nsw.gov.au/teaching-and-learning/curriculum/planning-programming-and-assessing-k-12/planning-programming-and-assessing-7-12</vt:lpwstr>
      </vt:variant>
      <vt:variant>
        <vt:lpwstr/>
      </vt:variant>
      <vt:variant>
        <vt:i4>1900599</vt:i4>
      </vt:variant>
      <vt:variant>
        <vt:i4>54</vt:i4>
      </vt:variant>
      <vt:variant>
        <vt:i4>0</vt:i4>
      </vt:variant>
      <vt:variant>
        <vt:i4>5</vt:i4>
      </vt:variant>
      <vt:variant>
        <vt:lpwstr>mailto:TAS@det.nsw.edu.au</vt:lpwstr>
      </vt:variant>
      <vt:variant>
        <vt:lpwstr/>
      </vt:variant>
      <vt:variant>
        <vt:i4>2031647</vt:i4>
      </vt:variant>
      <vt:variant>
        <vt:i4>51</vt:i4>
      </vt:variant>
      <vt:variant>
        <vt:i4>0</vt:i4>
      </vt:variant>
      <vt:variant>
        <vt:i4>5</vt:i4>
      </vt:variant>
      <vt:variant>
        <vt:lpwstr>https://curriculum.nsw.edu.au/learning-areas/tas/technology-7-8-2023/overview</vt:lpwstr>
      </vt:variant>
      <vt:variant>
        <vt:lpwstr/>
      </vt:variant>
      <vt:variant>
        <vt:i4>1114165</vt:i4>
      </vt:variant>
      <vt:variant>
        <vt:i4>44</vt:i4>
      </vt:variant>
      <vt:variant>
        <vt:i4>0</vt:i4>
      </vt:variant>
      <vt:variant>
        <vt:i4>5</vt:i4>
      </vt:variant>
      <vt:variant>
        <vt:lpwstr/>
      </vt:variant>
      <vt:variant>
        <vt:lpwstr>_Toc173224578</vt:lpwstr>
      </vt:variant>
      <vt:variant>
        <vt:i4>1114165</vt:i4>
      </vt:variant>
      <vt:variant>
        <vt:i4>38</vt:i4>
      </vt:variant>
      <vt:variant>
        <vt:i4>0</vt:i4>
      </vt:variant>
      <vt:variant>
        <vt:i4>5</vt:i4>
      </vt:variant>
      <vt:variant>
        <vt:lpwstr/>
      </vt:variant>
      <vt:variant>
        <vt:lpwstr>_Toc173224577</vt:lpwstr>
      </vt:variant>
      <vt:variant>
        <vt:i4>1114165</vt:i4>
      </vt:variant>
      <vt:variant>
        <vt:i4>32</vt:i4>
      </vt:variant>
      <vt:variant>
        <vt:i4>0</vt:i4>
      </vt:variant>
      <vt:variant>
        <vt:i4>5</vt:i4>
      </vt:variant>
      <vt:variant>
        <vt:lpwstr/>
      </vt:variant>
      <vt:variant>
        <vt:lpwstr>_Toc173224576</vt:lpwstr>
      </vt:variant>
      <vt:variant>
        <vt:i4>1114165</vt:i4>
      </vt:variant>
      <vt:variant>
        <vt:i4>26</vt:i4>
      </vt:variant>
      <vt:variant>
        <vt:i4>0</vt:i4>
      </vt:variant>
      <vt:variant>
        <vt:i4>5</vt:i4>
      </vt:variant>
      <vt:variant>
        <vt:lpwstr/>
      </vt:variant>
      <vt:variant>
        <vt:lpwstr>_Toc173224575</vt:lpwstr>
      </vt:variant>
      <vt:variant>
        <vt:i4>1114165</vt:i4>
      </vt:variant>
      <vt:variant>
        <vt:i4>20</vt:i4>
      </vt:variant>
      <vt:variant>
        <vt:i4>0</vt:i4>
      </vt:variant>
      <vt:variant>
        <vt:i4>5</vt:i4>
      </vt:variant>
      <vt:variant>
        <vt:lpwstr/>
      </vt:variant>
      <vt:variant>
        <vt:lpwstr>_Toc173224574</vt:lpwstr>
      </vt:variant>
      <vt:variant>
        <vt:i4>1114165</vt:i4>
      </vt:variant>
      <vt:variant>
        <vt:i4>14</vt:i4>
      </vt:variant>
      <vt:variant>
        <vt:i4>0</vt:i4>
      </vt:variant>
      <vt:variant>
        <vt:i4>5</vt:i4>
      </vt:variant>
      <vt:variant>
        <vt:lpwstr/>
      </vt:variant>
      <vt:variant>
        <vt:lpwstr>_Toc173224573</vt:lpwstr>
      </vt:variant>
      <vt:variant>
        <vt:i4>1114165</vt:i4>
      </vt:variant>
      <vt:variant>
        <vt:i4>8</vt:i4>
      </vt:variant>
      <vt:variant>
        <vt:i4>0</vt:i4>
      </vt:variant>
      <vt:variant>
        <vt:i4>5</vt:i4>
      </vt:variant>
      <vt:variant>
        <vt:lpwstr/>
      </vt:variant>
      <vt:variant>
        <vt:lpwstr>_Toc173224572</vt:lpwstr>
      </vt:variant>
      <vt:variant>
        <vt:i4>1114165</vt:i4>
      </vt:variant>
      <vt:variant>
        <vt:i4>2</vt:i4>
      </vt:variant>
      <vt:variant>
        <vt:i4>0</vt:i4>
      </vt:variant>
      <vt:variant>
        <vt:i4>5</vt:i4>
      </vt:variant>
      <vt:variant>
        <vt:lpwstr/>
      </vt:variant>
      <vt:variant>
        <vt:lpwstr>_Toc173224571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 up! – assessment – agriculture – Technology 7–8</dc:title>
  <dc:subject/>
  <dc:creator>NSW Department of Education</dc:creator>
  <cp:keywords/>
  <dc:description/>
  <dcterms:created xsi:type="dcterms:W3CDTF">2024-07-03T22:54:00Z</dcterms:created>
  <dcterms:modified xsi:type="dcterms:W3CDTF">2024-08-27T21:51:00Z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0x010100676120E3C9EBAC449F63196993DBF133</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2023-10-06T01:26:14Z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be916aa7-638b-4bf3-963e-1e9b36650c0f</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45ac7593e172f866d0617dfbcbe424e6db554e77ada47a29d0b380d1b99a46b8</vt:lpwstr>
  </property>
</Properties>
</file>