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89DA7" w14:textId="6D3F1FC5" w:rsidR="00E2155B" w:rsidRDefault="005C11F2" w:rsidP="00E2155B">
      <w:pPr>
        <w:pStyle w:val="Title"/>
      </w:pPr>
      <w:bookmarkStart w:id="0" w:name="_Hlk143770921"/>
      <w:r w:rsidRPr="005C11F2">
        <w:t xml:space="preserve">Health and movement science Stage </w:t>
      </w:r>
      <w:r w:rsidR="00A05CCA">
        <w:t>6</w:t>
      </w:r>
      <w:r w:rsidRPr="005C11F2">
        <w:t xml:space="preserve"> (Year </w:t>
      </w:r>
      <w:r w:rsidR="00A05CCA">
        <w:t>12</w:t>
      </w:r>
      <w:r w:rsidRPr="005C11F2">
        <w:t>)</w:t>
      </w:r>
    </w:p>
    <w:bookmarkEnd w:id="0"/>
    <w:p w14:paraId="5CD87328" w14:textId="544994A3" w:rsidR="00C02F82" w:rsidRDefault="0005355E" w:rsidP="00E2155B">
      <w:pPr>
        <w:pStyle w:val="Subtitle0"/>
      </w:pPr>
      <w:r>
        <w:t xml:space="preserve">Focus area 1 – healthy ageing and SDGs </w:t>
      </w:r>
      <w:r w:rsidR="00A05CCA">
        <w:t>– sample learning program</w:t>
      </w:r>
    </w:p>
    <w:p w14:paraId="76C6B1E0" w14:textId="7CE12D1B" w:rsidR="00C02F82" w:rsidRDefault="00C02F82" w:rsidP="00C02F82">
      <w:pPr>
        <w:pStyle w:val="FeatureBox"/>
      </w:pPr>
      <w:r>
        <w:br w:type="page"/>
      </w:r>
    </w:p>
    <w:p w14:paraId="3FA2D13E" w14:textId="77777777" w:rsidR="00447B6A" w:rsidRPr="002506EE" w:rsidRDefault="00447B6A" w:rsidP="00910AD1">
      <w:pPr>
        <w:pStyle w:val="TOCHeading"/>
      </w:pPr>
      <w:r>
        <w:lastRenderedPageBreak/>
        <w:t>Contents</w:t>
      </w:r>
    </w:p>
    <w:p w14:paraId="0E57A04C" w14:textId="3B480584" w:rsidR="004F0DA1" w:rsidRDefault="00E2155B">
      <w:pPr>
        <w:pStyle w:val="TOC1"/>
        <w:rPr>
          <w:rFonts w:asciiTheme="minorHAnsi" w:eastAsia="Batang"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74439822" w:history="1">
        <w:r w:rsidR="004F0DA1" w:rsidRPr="00495F63">
          <w:rPr>
            <w:rStyle w:val="Hyperlink"/>
          </w:rPr>
          <w:t>Overview</w:t>
        </w:r>
        <w:r w:rsidR="004F0DA1">
          <w:rPr>
            <w:webHidden/>
          </w:rPr>
          <w:tab/>
        </w:r>
        <w:r w:rsidR="004F0DA1">
          <w:rPr>
            <w:webHidden/>
          </w:rPr>
          <w:fldChar w:fldCharType="begin"/>
        </w:r>
        <w:r w:rsidR="004F0DA1">
          <w:rPr>
            <w:webHidden/>
          </w:rPr>
          <w:instrText xml:space="preserve"> PAGEREF _Toc174439822 \h </w:instrText>
        </w:r>
        <w:r w:rsidR="004F0DA1">
          <w:rPr>
            <w:webHidden/>
          </w:rPr>
        </w:r>
        <w:r w:rsidR="004F0DA1">
          <w:rPr>
            <w:webHidden/>
          </w:rPr>
          <w:fldChar w:fldCharType="separate"/>
        </w:r>
        <w:r w:rsidR="004F0DA1">
          <w:rPr>
            <w:webHidden/>
          </w:rPr>
          <w:t>2</w:t>
        </w:r>
        <w:r w:rsidR="004F0DA1">
          <w:rPr>
            <w:webHidden/>
          </w:rPr>
          <w:fldChar w:fldCharType="end"/>
        </w:r>
      </w:hyperlink>
    </w:p>
    <w:p w14:paraId="52AD39B5" w14:textId="674234E0" w:rsidR="004F0DA1" w:rsidRDefault="004F0DA1">
      <w:pPr>
        <w:pStyle w:val="TOC1"/>
        <w:rPr>
          <w:rFonts w:asciiTheme="minorHAnsi" w:eastAsia="Batang" w:hAnsiTheme="minorHAnsi" w:cstheme="minorBidi"/>
          <w:b w:val="0"/>
          <w:kern w:val="2"/>
          <w:sz w:val="24"/>
          <w:lang w:eastAsia="ko-KR"/>
          <w14:ligatures w14:val="standardContextual"/>
        </w:rPr>
      </w:pPr>
      <w:hyperlink w:anchor="_Toc174439823" w:history="1">
        <w:r w:rsidRPr="00495F63">
          <w:rPr>
            <w:rStyle w:val="Hyperlink"/>
          </w:rPr>
          <w:t>Prior learning</w:t>
        </w:r>
        <w:r>
          <w:rPr>
            <w:webHidden/>
          </w:rPr>
          <w:tab/>
        </w:r>
        <w:r>
          <w:rPr>
            <w:webHidden/>
          </w:rPr>
          <w:fldChar w:fldCharType="begin"/>
        </w:r>
        <w:r>
          <w:rPr>
            <w:webHidden/>
          </w:rPr>
          <w:instrText xml:space="preserve"> PAGEREF _Toc174439823 \h </w:instrText>
        </w:r>
        <w:r>
          <w:rPr>
            <w:webHidden/>
          </w:rPr>
        </w:r>
        <w:r>
          <w:rPr>
            <w:webHidden/>
          </w:rPr>
          <w:fldChar w:fldCharType="separate"/>
        </w:r>
        <w:r>
          <w:rPr>
            <w:webHidden/>
          </w:rPr>
          <w:t>2</w:t>
        </w:r>
        <w:r>
          <w:rPr>
            <w:webHidden/>
          </w:rPr>
          <w:fldChar w:fldCharType="end"/>
        </w:r>
      </w:hyperlink>
    </w:p>
    <w:p w14:paraId="5A8BB423" w14:textId="452CDB39" w:rsidR="004F0DA1" w:rsidRDefault="004F0DA1">
      <w:pPr>
        <w:pStyle w:val="TOC1"/>
        <w:rPr>
          <w:rFonts w:asciiTheme="minorHAnsi" w:eastAsia="Batang" w:hAnsiTheme="minorHAnsi" w:cstheme="minorBidi"/>
          <w:b w:val="0"/>
          <w:kern w:val="2"/>
          <w:sz w:val="24"/>
          <w:lang w:eastAsia="ko-KR"/>
          <w14:ligatures w14:val="standardContextual"/>
        </w:rPr>
      </w:pPr>
      <w:hyperlink w:anchor="_Toc174439824" w:history="1">
        <w:r w:rsidRPr="00495F63">
          <w:rPr>
            <w:rStyle w:val="Hyperlink"/>
          </w:rPr>
          <w:t>Purpose</w:t>
        </w:r>
        <w:r>
          <w:rPr>
            <w:webHidden/>
          </w:rPr>
          <w:tab/>
        </w:r>
        <w:r>
          <w:rPr>
            <w:webHidden/>
          </w:rPr>
          <w:fldChar w:fldCharType="begin"/>
        </w:r>
        <w:r>
          <w:rPr>
            <w:webHidden/>
          </w:rPr>
          <w:instrText xml:space="preserve"> PAGEREF _Toc174439824 \h </w:instrText>
        </w:r>
        <w:r>
          <w:rPr>
            <w:webHidden/>
          </w:rPr>
        </w:r>
        <w:r>
          <w:rPr>
            <w:webHidden/>
          </w:rPr>
          <w:fldChar w:fldCharType="separate"/>
        </w:r>
        <w:r>
          <w:rPr>
            <w:webHidden/>
          </w:rPr>
          <w:t>2</w:t>
        </w:r>
        <w:r>
          <w:rPr>
            <w:webHidden/>
          </w:rPr>
          <w:fldChar w:fldCharType="end"/>
        </w:r>
      </w:hyperlink>
    </w:p>
    <w:p w14:paraId="3C8A8552" w14:textId="7BB3A9F6" w:rsidR="004F0DA1" w:rsidRDefault="004F0DA1">
      <w:pPr>
        <w:pStyle w:val="TOC1"/>
        <w:rPr>
          <w:rFonts w:asciiTheme="minorHAnsi" w:eastAsia="Batang" w:hAnsiTheme="minorHAnsi" w:cstheme="minorBidi"/>
          <w:b w:val="0"/>
          <w:kern w:val="2"/>
          <w:sz w:val="24"/>
          <w:lang w:eastAsia="ko-KR"/>
          <w14:ligatures w14:val="standardContextual"/>
        </w:rPr>
      </w:pPr>
      <w:hyperlink w:anchor="_Toc174439825" w:history="1">
        <w:r w:rsidRPr="00495F63">
          <w:rPr>
            <w:rStyle w:val="Hyperlink"/>
          </w:rPr>
          <w:t>Syllabus</w:t>
        </w:r>
        <w:r>
          <w:rPr>
            <w:webHidden/>
          </w:rPr>
          <w:tab/>
        </w:r>
        <w:r>
          <w:rPr>
            <w:webHidden/>
          </w:rPr>
          <w:fldChar w:fldCharType="begin"/>
        </w:r>
        <w:r>
          <w:rPr>
            <w:webHidden/>
          </w:rPr>
          <w:instrText xml:space="preserve"> PAGEREF _Toc174439825 \h </w:instrText>
        </w:r>
        <w:r>
          <w:rPr>
            <w:webHidden/>
          </w:rPr>
        </w:r>
        <w:r>
          <w:rPr>
            <w:webHidden/>
          </w:rPr>
          <w:fldChar w:fldCharType="separate"/>
        </w:r>
        <w:r>
          <w:rPr>
            <w:webHidden/>
          </w:rPr>
          <w:t>3</w:t>
        </w:r>
        <w:r>
          <w:rPr>
            <w:webHidden/>
          </w:rPr>
          <w:fldChar w:fldCharType="end"/>
        </w:r>
      </w:hyperlink>
    </w:p>
    <w:p w14:paraId="29297621" w14:textId="3656CF30" w:rsidR="004F0DA1" w:rsidRDefault="004F0DA1">
      <w:pPr>
        <w:pStyle w:val="TOC2"/>
        <w:rPr>
          <w:rFonts w:asciiTheme="minorHAnsi" w:eastAsia="Batang" w:hAnsiTheme="minorHAnsi" w:cstheme="minorBidi"/>
          <w:kern w:val="2"/>
          <w:sz w:val="24"/>
          <w:lang w:eastAsia="ko-KR"/>
          <w14:ligatures w14:val="standardContextual"/>
        </w:rPr>
      </w:pPr>
      <w:hyperlink w:anchor="_Toc174439826" w:history="1">
        <w:r w:rsidRPr="00495F63">
          <w:rPr>
            <w:rStyle w:val="Hyperlink"/>
          </w:rPr>
          <w:t>Outcomes</w:t>
        </w:r>
        <w:r>
          <w:rPr>
            <w:webHidden/>
          </w:rPr>
          <w:tab/>
        </w:r>
        <w:r>
          <w:rPr>
            <w:webHidden/>
          </w:rPr>
          <w:fldChar w:fldCharType="begin"/>
        </w:r>
        <w:r>
          <w:rPr>
            <w:webHidden/>
          </w:rPr>
          <w:instrText xml:space="preserve"> PAGEREF _Toc174439826 \h </w:instrText>
        </w:r>
        <w:r>
          <w:rPr>
            <w:webHidden/>
          </w:rPr>
        </w:r>
        <w:r>
          <w:rPr>
            <w:webHidden/>
          </w:rPr>
          <w:fldChar w:fldCharType="separate"/>
        </w:r>
        <w:r>
          <w:rPr>
            <w:webHidden/>
          </w:rPr>
          <w:t>3</w:t>
        </w:r>
        <w:r>
          <w:rPr>
            <w:webHidden/>
          </w:rPr>
          <w:fldChar w:fldCharType="end"/>
        </w:r>
      </w:hyperlink>
    </w:p>
    <w:p w14:paraId="36A59393" w14:textId="2AD16BA5" w:rsidR="004F0DA1" w:rsidRDefault="004F0DA1">
      <w:pPr>
        <w:pStyle w:val="TOC2"/>
        <w:rPr>
          <w:rFonts w:asciiTheme="minorHAnsi" w:eastAsia="Batang" w:hAnsiTheme="minorHAnsi" w:cstheme="minorBidi"/>
          <w:kern w:val="2"/>
          <w:sz w:val="24"/>
          <w:lang w:eastAsia="ko-KR"/>
          <w14:ligatures w14:val="standardContextual"/>
        </w:rPr>
      </w:pPr>
      <w:hyperlink w:anchor="_Toc174439827" w:history="1">
        <w:r w:rsidRPr="00495F63">
          <w:rPr>
            <w:rStyle w:val="Hyperlink"/>
          </w:rPr>
          <w:t>Content</w:t>
        </w:r>
        <w:r>
          <w:rPr>
            <w:webHidden/>
          </w:rPr>
          <w:tab/>
        </w:r>
        <w:r>
          <w:rPr>
            <w:webHidden/>
          </w:rPr>
          <w:fldChar w:fldCharType="begin"/>
        </w:r>
        <w:r>
          <w:rPr>
            <w:webHidden/>
          </w:rPr>
          <w:instrText xml:space="preserve"> PAGEREF _Toc174439827 \h </w:instrText>
        </w:r>
        <w:r>
          <w:rPr>
            <w:webHidden/>
          </w:rPr>
        </w:r>
        <w:r>
          <w:rPr>
            <w:webHidden/>
          </w:rPr>
          <w:fldChar w:fldCharType="separate"/>
        </w:r>
        <w:r>
          <w:rPr>
            <w:webHidden/>
          </w:rPr>
          <w:t>3</w:t>
        </w:r>
        <w:r>
          <w:rPr>
            <w:webHidden/>
          </w:rPr>
          <w:fldChar w:fldCharType="end"/>
        </w:r>
      </w:hyperlink>
    </w:p>
    <w:p w14:paraId="091B421A" w14:textId="6B0C8D00" w:rsidR="004F0DA1" w:rsidRDefault="004F0DA1">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4439828" w:history="1">
        <w:r w:rsidRPr="00495F63">
          <w:rPr>
            <w:rStyle w:val="Hyperlink"/>
            <w:noProof/>
          </w:rPr>
          <w:t>Focus area 1 – Health in an Australian and global context</w:t>
        </w:r>
        <w:r>
          <w:rPr>
            <w:noProof/>
            <w:webHidden/>
          </w:rPr>
          <w:tab/>
        </w:r>
        <w:r>
          <w:rPr>
            <w:noProof/>
            <w:webHidden/>
          </w:rPr>
          <w:fldChar w:fldCharType="begin"/>
        </w:r>
        <w:r>
          <w:rPr>
            <w:noProof/>
            <w:webHidden/>
          </w:rPr>
          <w:instrText xml:space="preserve"> PAGEREF _Toc174439828 \h </w:instrText>
        </w:r>
        <w:r>
          <w:rPr>
            <w:noProof/>
            <w:webHidden/>
          </w:rPr>
        </w:r>
        <w:r>
          <w:rPr>
            <w:noProof/>
            <w:webHidden/>
          </w:rPr>
          <w:fldChar w:fldCharType="separate"/>
        </w:r>
        <w:r>
          <w:rPr>
            <w:noProof/>
            <w:webHidden/>
          </w:rPr>
          <w:t>3</w:t>
        </w:r>
        <w:r>
          <w:rPr>
            <w:noProof/>
            <w:webHidden/>
          </w:rPr>
          <w:fldChar w:fldCharType="end"/>
        </w:r>
      </w:hyperlink>
    </w:p>
    <w:p w14:paraId="75C38ECC" w14:textId="75C91310" w:rsidR="004F0DA1" w:rsidRDefault="004F0DA1">
      <w:pPr>
        <w:pStyle w:val="TOC1"/>
        <w:rPr>
          <w:rFonts w:asciiTheme="minorHAnsi" w:eastAsia="Batang" w:hAnsiTheme="minorHAnsi" w:cstheme="minorBidi"/>
          <w:b w:val="0"/>
          <w:kern w:val="2"/>
          <w:sz w:val="24"/>
          <w:lang w:eastAsia="ko-KR"/>
          <w14:ligatures w14:val="standardContextual"/>
        </w:rPr>
      </w:pPr>
      <w:hyperlink w:anchor="_Toc174439829" w:history="1">
        <w:r w:rsidRPr="00495F63">
          <w:rPr>
            <w:rStyle w:val="Hyperlink"/>
          </w:rPr>
          <w:t>Learning sequence 1 – improving the health of older Australians</w:t>
        </w:r>
        <w:r>
          <w:rPr>
            <w:webHidden/>
          </w:rPr>
          <w:tab/>
        </w:r>
        <w:r>
          <w:rPr>
            <w:webHidden/>
          </w:rPr>
          <w:fldChar w:fldCharType="begin"/>
        </w:r>
        <w:r>
          <w:rPr>
            <w:webHidden/>
          </w:rPr>
          <w:instrText xml:space="preserve"> PAGEREF _Toc174439829 \h </w:instrText>
        </w:r>
        <w:r>
          <w:rPr>
            <w:webHidden/>
          </w:rPr>
        </w:r>
        <w:r>
          <w:rPr>
            <w:webHidden/>
          </w:rPr>
          <w:fldChar w:fldCharType="separate"/>
        </w:r>
        <w:r>
          <w:rPr>
            <w:webHidden/>
          </w:rPr>
          <w:t>5</w:t>
        </w:r>
        <w:r>
          <w:rPr>
            <w:webHidden/>
          </w:rPr>
          <w:fldChar w:fldCharType="end"/>
        </w:r>
      </w:hyperlink>
    </w:p>
    <w:p w14:paraId="6A4A2084" w14:textId="60D64657" w:rsidR="004F0DA1" w:rsidRDefault="004F0DA1">
      <w:pPr>
        <w:pStyle w:val="TOC2"/>
        <w:rPr>
          <w:rFonts w:asciiTheme="minorHAnsi" w:eastAsia="Batang" w:hAnsiTheme="minorHAnsi" w:cstheme="minorBidi"/>
          <w:kern w:val="2"/>
          <w:sz w:val="24"/>
          <w:lang w:eastAsia="ko-KR"/>
          <w14:ligatures w14:val="standardContextual"/>
        </w:rPr>
      </w:pPr>
      <w:hyperlink w:anchor="_Toc174439830" w:history="1">
        <w:r w:rsidRPr="00495F63">
          <w:rPr>
            <w:rStyle w:val="Hyperlink"/>
          </w:rPr>
          <w:t>Learning intentions and success criteria</w:t>
        </w:r>
        <w:r>
          <w:rPr>
            <w:webHidden/>
          </w:rPr>
          <w:tab/>
        </w:r>
        <w:r>
          <w:rPr>
            <w:webHidden/>
          </w:rPr>
          <w:fldChar w:fldCharType="begin"/>
        </w:r>
        <w:r>
          <w:rPr>
            <w:webHidden/>
          </w:rPr>
          <w:instrText xml:space="preserve"> PAGEREF _Toc174439830 \h </w:instrText>
        </w:r>
        <w:r>
          <w:rPr>
            <w:webHidden/>
          </w:rPr>
        </w:r>
        <w:r>
          <w:rPr>
            <w:webHidden/>
          </w:rPr>
          <w:fldChar w:fldCharType="separate"/>
        </w:r>
        <w:r>
          <w:rPr>
            <w:webHidden/>
          </w:rPr>
          <w:t>5</w:t>
        </w:r>
        <w:r>
          <w:rPr>
            <w:webHidden/>
          </w:rPr>
          <w:fldChar w:fldCharType="end"/>
        </w:r>
      </w:hyperlink>
    </w:p>
    <w:p w14:paraId="38CE6443" w14:textId="4FB80FB5" w:rsidR="004F0DA1" w:rsidRDefault="004F0DA1">
      <w:pPr>
        <w:pStyle w:val="TOC2"/>
        <w:rPr>
          <w:rFonts w:asciiTheme="minorHAnsi" w:eastAsia="Batang" w:hAnsiTheme="minorHAnsi" w:cstheme="minorBidi"/>
          <w:kern w:val="2"/>
          <w:sz w:val="24"/>
          <w:lang w:eastAsia="ko-KR"/>
          <w14:ligatures w14:val="standardContextual"/>
        </w:rPr>
      </w:pPr>
      <w:hyperlink w:anchor="_Toc174439831" w:history="1">
        <w:r w:rsidRPr="00495F63">
          <w:rPr>
            <w:rStyle w:val="Hyperlink"/>
          </w:rPr>
          <w:t>What is healthy ageing?</w:t>
        </w:r>
        <w:r>
          <w:rPr>
            <w:webHidden/>
          </w:rPr>
          <w:tab/>
        </w:r>
        <w:r>
          <w:rPr>
            <w:webHidden/>
          </w:rPr>
          <w:fldChar w:fldCharType="begin"/>
        </w:r>
        <w:r>
          <w:rPr>
            <w:webHidden/>
          </w:rPr>
          <w:instrText xml:space="preserve"> PAGEREF _Toc174439831 \h </w:instrText>
        </w:r>
        <w:r>
          <w:rPr>
            <w:webHidden/>
          </w:rPr>
        </w:r>
        <w:r>
          <w:rPr>
            <w:webHidden/>
          </w:rPr>
          <w:fldChar w:fldCharType="separate"/>
        </w:r>
        <w:r>
          <w:rPr>
            <w:webHidden/>
          </w:rPr>
          <w:t>6</w:t>
        </w:r>
        <w:r>
          <w:rPr>
            <w:webHidden/>
          </w:rPr>
          <w:fldChar w:fldCharType="end"/>
        </w:r>
      </w:hyperlink>
    </w:p>
    <w:p w14:paraId="60E91EED" w14:textId="07AC92BB" w:rsidR="004F0DA1" w:rsidRDefault="004F0DA1">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4439832" w:history="1">
        <w:r w:rsidRPr="00495F63">
          <w:rPr>
            <w:rStyle w:val="Hyperlink"/>
            <w:noProof/>
          </w:rPr>
          <w:t>Introducing case studies</w:t>
        </w:r>
        <w:r>
          <w:rPr>
            <w:noProof/>
            <w:webHidden/>
          </w:rPr>
          <w:tab/>
        </w:r>
        <w:r>
          <w:rPr>
            <w:noProof/>
            <w:webHidden/>
          </w:rPr>
          <w:fldChar w:fldCharType="begin"/>
        </w:r>
        <w:r>
          <w:rPr>
            <w:noProof/>
            <w:webHidden/>
          </w:rPr>
          <w:instrText xml:space="preserve"> PAGEREF _Toc174439832 \h </w:instrText>
        </w:r>
        <w:r>
          <w:rPr>
            <w:noProof/>
            <w:webHidden/>
          </w:rPr>
        </w:r>
        <w:r>
          <w:rPr>
            <w:noProof/>
            <w:webHidden/>
          </w:rPr>
          <w:fldChar w:fldCharType="separate"/>
        </w:r>
        <w:r>
          <w:rPr>
            <w:noProof/>
            <w:webHidden/>
          </w:rPr>
          <w:t>7</w:t>
        </w:r>
        <w:r>
          <w:rPr>
            <w:noProof/>
            <w:webHidden/>
          </w:rPr>
          <w:fldChar w:fldCharType="end"/>
        </w:r>
      </w:hyperlink>
    </w:p>
    <w:p w14:paraId="6A5459F7" w14:textId="05D1A6DB" w:rsidR="004F0DA1" w:rsidRDefault="004F0DA1">
      <w:pPr>
        <w:pStyle w:val="TOC2"/>
        <w:rPr>
          <w:rFonts w:asciiTheme="minorHAnsi" w:eastAsia="Batang" w:hAnsiTheme="minorHAnsi" w:cstheme="minorBidi"/>
          <w:kern w:val="2"/>
          <w:sz w:val="24"/>
          <w:lang w:eastAsia="ko-KR"/>
          <w14:ligatures w14:val="standardContextual"/>
        </w:rPr>
      </w:pPr>
      <w:hyperlink w:anchor="_Toc174439833" w:history="1">
        <w:r w:rsidRPr="00495F63">
          <w:rPr>
            <w:rStyle w:val="Hyperlink"/>
          </w:rPr>
          <w:t>Snapshot – What does the data tell us?</w:t>
        </w:r>
        <w:r>
          <w:rPr>
            <w:webHidden/>
          </w:rPr>
          <w:tab/>
        </w:r>
        <w:r>
          <w:rPr>
            <w:webHidden/>
          </w:rPr>
          <w:fldChar w:fldCharType="begin"/>
        </w:r>
        <w:r>
          <w:rPr>
            <w:webHidden/>
          </w:rPr>
          <w:instrText xml:space="preserve"> PAGEREF _Toc174439833 \h </w:instrText>
        </w:r>
        <w:r>
          <w:rPr>
            <w:webHidden/>
          </w:rPr>
        </w:r>
        <w:r>
          <w:rPr>
            <w:webHidden/>
          </w:rPr>
          <w:fldChar w:fldCharType="separate"/>
        </w:r>
        <w:r>
          <w:rPr>
            <w:webHidden/>
          </w:rPr>
          <w:t>9</w:t>
        </w:r>
        <w:r>
          <w:rPr>
            <w:webHidden/>
          </w:rPr>
          <w:fldChar w:fldCharType="end"/>
        </w:r>
      </w:hyperlink>
    </w:p>
    <w:p w14:paraId="410C39D6" w14:textId="650BC0FA" w:rsidR="004F0DA1" w:rsidRDefault="004F0DA1">
      <w:pPr>
        <w:pStyle w:val="TOC2"/>
        <w:rPr>
          <w:rFonts w:asciiTheme="minorHAnsi" w:eastAsia="Batang" w:hAnsiTheme="minorHAnsi" w:cstheme="minorBidi"/>
          <w:kern w:val="2"/>
          <w:sz w:val="24"/>
          <w:lang w:eastAsia="ko-KR"/>
          <w14:ligatures w14:val="standardContextual"/>
        </w:rPr>
      </w:pPr>
      <w:hyperlink w:anchor="_Toc174439834" w:history="1">
        <w:r w:rsidRPr="00495F63">
          <w:rPr>
            <w:rStyle w:val="Hyperlink"/>
          </w:rPr>
          <w:t>Sustainable development goals (SDGs)</w:t>
        </w:r>
        <w:r>
          <w:rPr>
            <w:webHidden/>
          </w:rPr>
          <w:tab/>
        </w:r>
        <w:r>
          <w:rPr>
            <w:webHidden/>
          </w:rPr>
          <w:fldChar w:fldCharType="begin"/>
        </w:r>
        <w:r>
          <w:rPr>
            <w:webHidden/>
          </w:rPr>
          <w:instrText xml:space="preserve"> PAGEREF _Toc174439834 \h </w:instrText>
        </w:r>
        <w:r>
          <w:rPr>
            <w:webHidden/>
          </w:rPr>
        </w:r>
        <w:r>
          <w:rPr>
            <w:webHidden/>
          </w:rPr>
          <w:fldChar w:fldCharType="separate"/>
        </w:r>
        <w:r>
          <w:rPr>
            <w:webHidden/>
          </w:rPr>
          <w:t>11</w:t>
        </w:r>
        <w:r>
          <w:rPr>
            <w:webHidden/>
          </w:rPr>
          <w:fldChar w:fldCharType="end"/>
        </w:r>
      </w:hyperlink>
    </w:p>
    <w:p w14:paraId="0D13B02B" w14:textId="21D33C95" w:rsidR="004F0DA1" w:rsidRDefault="004F0DA1">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4439835" w:history="1">
        <w:r w:rsidRPr="00495F63">
          <w:rPr>
            <w:rStyle w:val="Hyperlink"/>
            <w:noProof/>
          </w:rPr>
          <w:t>Issues affecting older Australians</w:t>
        </w:r>
        <w:r>
          <w:rPr>
            <w:noProof/>
            <w:webHidden/>
          </w:rPr>
          <w:tab/>
        </w:r>
        <w:r>
          <w:rPr>
            <w:noProof/>
            <w:webHidden/>
          </w:rPr>
          <w:fldChar w:fldCharType="begin"/>
        </w:r>
        <w:r>
          <w:rPr>
            <w:noProof/>
            <w:webHidden/>
          </w:rPr>
          <w:instrText xml:space="preserve"> PAGEREF _Toc174439835 \h </w:instrText>
        </w:r>
        <w:r>
          <w:rPr>
            <w:noProof/>
            <w:webHidden/>
          </w:rPr>
        </w:r>
        <w:r>
          <w:rPr>
            <w:noProof/>
            <w:webHidden/>
          </w:rPr>
          <w:fldChar w:fldCharType="separate"/>
        </w:r>
        <w:r>
          <w:rPr>
            <w:noProof/>
            <w:webHidden/>
          </w:rPr>
          <w:t>12</w:t>
        </w:r>
        <w:r>
          <w:rPr>
            <w:noProof/>
            <w:webHidden/>
          </w:rPr>
          <w:fldChar w:fldCharType="end"/>
        </w:r>
      </w:hyperlink>
    </w:p>
    <w:p w14:paraId="475A2AE7" w14:textId="7D94D988" w:rsidR="004F0DA1" w:rsidRDefault="004F0DA1">
      <w:pPr>
        <w:pStyle w:val="TOC2"/>
        <w:rPr>
          <w:rFonts w:asciiTheme="minorHAnsi" w:eastAsia="Batang" w:hAnsiTheme="minorHAnsi" w:cstheme="minorBidi"/>
          <w:kern w:val="2"/>
          <w:sz w:val="24"/>
          <w:lang w:eastAsia="ko-KR"/>
          <w14:ligatures w14:val="standardContextual"/>
        </w:rPr>
      </w:pPr>
      <w:hyperlink w:anchor="_Toc174439836" w:history="1">
        <w:r w:rsidRPr="00495F63">
          <w:rPr>
            <w:rStyle w:val="Hyperlink"/>
          </w:rPr>
          <w:t>Strategies for healthy ageing</w:t>
        </w:r>
        <w:r>
          <w:rPr>
            <w:webHidden/>
          </w:rPr>
          <w:tab/>
        </w:r>
        <w:r>
          <w:rPr>
            <w:webHidden/>
          </w:rPr>
          <w:fldChar w:fldCharType="begin"/>
        </w:r>
        <w:r>
          <w:rPr>
            <w:webHidden/>
          </w:rPr>
          <w:instrText xml:space="preserve"> PAGEREF _Toc174439836 \h </w:instrText>
        </w:r>
        <w:r>
          <w:rPr>
            <w:webHidden/>
          </w:rPr>
        </w:r>
        <w:r>
          <w:rPr>
            <w:webHidden/>
          </w:rPr>
          <w:fldChar w:fldCharType="separate"/>
        </w:r>
        <w:r>
          <w:rPr>
            <w:webHidden/>
          </w:rPr>
          <w:t>13</w:t>
        </w:r>
        <w:r>
          <w:rPr>
            <w:webHidden/>
          </w:rPr>
          <w:fldChar w:fldCharType="end"/>
        </w:r>
      </w:hyperlink>
    </w:p>
    <w:p w14:paraId="692CAC1E" w14:textId="77243CBA" w:rsidR="004F0DA1" w:rsidRDefault="004F0DA1">
      <w:pPr>
        <w:pStyle w:val="TOC2"/>
        <w:rPr>
          <w:rFonts w:asciiTheme="minorHAnsi" w:eastAsia="Batang" w:hAnsiTheme="minorHAnsi" w:cstheme="minorBidi"/>
          <w:kern w:val="2"/>
          <w:sz w:val="24"/>
          <w:lang w:eastAsia="ko-KR"/>
          <w14:ligatures w14:val="standardContextual"/>
        </w:rPr>
      </w:pPr>
      <w:hyperlink w:anchor="_Toc174439837" w:history="1">
        <w:r w:rsidRPr="00495F63">
          <w:rPr>
            <w:rStyle w:val="Hyperlink"/>
          </w:rPr>
          <w:t>Alignment of the strategy to the SDGs</w:t>
        </w:r>
        <w:r>
          <w:rPr>
            <w:webHidden/>
          </w:rPr>
          <w:tab/>
        </w:r>
        <w:r>
          <w:rPr>
            <w:webHidden/>
          </w:rPr>
          <w:fldChar w:fldCharType="begin"/>
        </w:r>
        <w:r>
          <w:rPr>
            <w:webHidden/>
          </w:rPr>
          <w:instrText xml:space="preserve"> PAGEREF _Toc174439837 \h </w:instrText>
        </w:r>
        <w:r>
          <w:rPr>
            <w:webHidden/>
          </w:rPr>
        </w:r>
        <w:r>
          <w:rPr>
            <w:webHidden/>
          </w:rPr>
          <w:fldChar w:fldCharType="separate"/>
        </w:r>
        <w:r>
          <w:rPr>
            <w:webHidden/>
          </w:rPr>
          <w:t>15</w:t>
        </w:r>
        <w:r>
          <w:rPr>
            <w:webHidden/>
          </w:rPr>
          <w:fldChar w:fldCharType="end"/>
        </w:r>
      </w:hyperlink>
    </w:p>
    <w:p w14:paraId="71D3F0AF" w14:textId="5DAE6DA9" w:rsidR="004F0DA1" w:rsidRDefault="004F0DA1">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4439838" w:history="1">
        <w:r w:rsidRPr="00495F63">
          <w:rPr>
            <w:rStyle w:val="Hyperlink"/>
            <w:noProof/>
          </w:rPr>
          <w:t>Health promotion resource</w:t>
        </w:r>
        <w:r>
          <w:rPr>
            <w:noProof/>
            <w:webHidden/>
          </w:rPr>
          <w:tab/>
        </w:r>
        <w:r>
          <w:rPr>
            <w:noProof/>
            <w:webHidden/>
          </w:rPr>
          <w:fldChar w:fldCharType="begin"/>
        </w:r>
        <w:r>
          <w:rPr>
            <w:noProof/>
            <w:webHidden/>
          </w:rPr>
          <w:instrText xml:space="preserve"> PAGEREF _Toc174439838 \h </w:instrText>
        </w:r>
        <w:r>
          <w:rPr>
            <w:noProof/>
            <w:webHidden/>
          </w:rPr>
        </w:r>
        <w:r>
          <w:rPr>
            <w:noProof/>
            <w:webHidden/>
          </w:rPr>
          <w:fldChar w:fldCharType="separate"/>
        </w:r>
        <w:r>
          <w:rPr>
            <w:noProof/>
            <w:webHidden/>
          </w:rPr>
          <w:t>15</w:t>
        </w:r>
        <w:r>
          <w:rPr>
            <w:noProof/>
            <w:webHidden/>
          </w:rPr>
          <w:fldChar w:fldCharType="end"/>
        </w:r>
      </w:hyperlink>
    </w:p>
    <w:p w14:paraId="6AC55817" w14:textId="073A874D" w:rsidR="004F0DA1" w:rsidRDefault="004F0DA1">
      <w:pPr>
        <w:pStyle w:val="TOC1"/>
        <w:rPr>
          <w:rFonts w:asciiTheme="minorHAnsi" w:eastAsia="Batang" w:hAnsiTheme="minorHAnsi" w:cstheme="minorBidi"/>
          <w:b w:val="0"/>
          <w:kern w:val="2"/>
          <w:sz w:val="24"/>
          <w:lang w:eastAsia="ko-KR"/>
          <w14:ligatures w14:val="standardContextual"/>
        </w:rPr>
      </w:pPr>
      <w:hyperlink w:anchor="_Toc174439839" w:history="1">
        <w:r w:rsidRPr="00495F63">
          <w:rPr>
            <w:rStyle w:val="Hyperlink"/>
          </w:rPr>
          <w:t>Additional information</w:t>
        </w:r>
        <w:r>
          <w:rPr>
            <w:webHidden/>
          </w:rPr>
          <w:tab/>
        </w:r>
        <w:r>
          <w:rPr>
            <w:webHidden/>
          </w:rPr>
          <w:fldChar w:fldCharType="begin"/>
        </w:r>
        <w:r>
          <w:rPr>
            <w:webHidden/>
          </w:rPr>
          <w:instrText xml:space="preserve"> PAGEREF _Toc174439839 \h </w:instrText>
        </w:r>
        <w:r>
          <w:rPr>
            <w:webHidden/>
          </w:rPr>
        </w:r>
        <w:r>
          <w:rPr>
            <w:webHidden/>
          </w:rPr>
          <w:fldChar w:fldCharType="separate"/>
        </w:r>
        <w:r>
          <w:rPr>
            <w:webHidden/>
          </w:rPr>
          <w:t>17</w:t>
        </w:r>
        <w:r>
          <w:rPr>
            <w:webHidden/>
          </w:rPr>
          <w:fldChar w:fldCharType="end"/>
        </w:r>
      </w:hyperlink>
    </w:p>
    <w:p w14:paraId="2FD16790" w14:textId="1E8167C0" w:rsidR="004F0DA1" w:rsidRDefault="004F0DA1">
      <w:pPr>
        <w:pStyle w:val="TOC2"/>
        <w:rPr>
          <w:rFonts w:asciiTheme="minorHAnsi" w:eastAsia="Batang" w:hAnsiTheme="minorHAnsi" w:cstheme="minorBidi"/>
          <w:kern w:val="2"/>
          <w:sz w:val="24"/>
          <w:lang w:eastAsia="ko-KR"/>
          <w14:ligatures w14:val="standardContextual"/>
        </w:rPr>
      </w:pPr>
      <w:hyperlink w:anchor="_Toc174439840" w:history="1">
        <w:r w:rsidRPr="00495F63">
          <w:rPr>
            <w:rStyle w:val="Hyperlink"/>
          </w:rPr>
          <w:t>Support and alignment</w:t>
        </w:r>
        <w:r>
          <w:rPr>
            <w:webHidden/>
          </w:rPr>
          <w:tab/>
        </w:r>
        <w:r>
          <w:rPr>
            <w:webHidden/>
          </w:rPr>
          <w:fldChar w:fldCharType="begin"/>
        </w:r>
        <w:r>
          <w:rPr>
            <w:webHidden/>
          </w:rPr>
          <w:instrText xml:space="preserve"> PAGEREF _Toc174439840 \h </w:instrText>
        </w:r>
        <w:r>
          <w:rPr>
            <w:webHidden/>
          </w:rPr>
        </w:r>
        <w:r>
          <w:rPr>
            <w:webHidden/>
          </w:rPr>
          <w:fldChar w:fldCharType="separate"/>
        </w:r>
        <w:r>
          <w:rPr>
            <w:webHidden/>
          </w:rPr>
          <w:t>17</w:t>
        </w:r>
        <w:r>
          <w:rPr>
            <w:webHidden/>
          </w:rPr>
          <w:fldChar w:fldCharType="end"/>
        </w:r>
      </w:hyperlink>
    </w:p>
    <w:p w14:paraId="0F7EC6DF" w14:textId="51E89AC9" w:rsidR="004F0DA1" w:rsidRDefault="004F0DA1">
      <w:pPr>
        <w:pStyle w:val="TOC1"/>
        <w:rPr>
          <w:rFonts w:asciiTheme="minorHAnsi" w:eastAsia="Batang" w:hAnsiTheme="minorHAnsi" w:cstheme="minorBidi"/>
          <w:b w:val="0"/>
          <w:kern w:val="2"/>
          <w:sz w:val="24"/>
          <w:lang w:eastAsia="ko-KR"/>
          <w14:ligatures w14:val="standardContextual"/>
        </w:rPr>
      </w:pPr>
      <w:hyperlink w:anchor="_Toc174439841" w:history="1">
        <w:r w:rsidRPr="00495F63">
          <w:rPr>
            <w:rStyle w:val="Hyperlink"/>
          </w:rPr>
          <w:t>References</w:t>
        </w:r>
        <w:r>
          <w:rPr>
            <w:webHidden/>
          </w:rPr>
          <w:tab/>
        </w:r>
        <w:r>
          <w:rPr>
            <w:webHidden/>
          </w:rPr>
          <w:fldChar w:fldCharType="begin"/>
        </w:r>
        <w:r>
          <w:rPr>
            <w:webHidden/>
          </w:rPr>
          <w:instrText xml:space="preserve"> PAGEREF _Toc174439841 \h </w:instrText>
        </w:r>
        <w:r>
          <w:rPr>
            <w:webHidden/>
          </w:rPr>
        </w:r>
        <w:r>
          <w:rPr>
            <w:webHidden/>
          </w:rPr>
          <w:fldChar w:fldCharType="separate"/>
        </w:r>
        <w:r>
          <w:rPr>
            <w:webHidden/>
          </w:rPr>
          <w:t>19</w:t>
        </w:r>
        <w:r>
          <w:rPr>
            <w:webHidden/>
          </w:rPr>
          <w:fldChar w:fldCharType="end"/>
        </w:r>
      </w:hyperlink>
    </w:p>
    <w:p w14:paraId="54A41C2B" w14:textId="0DA01E66" w:rsidR="00C02F82" w:rsidRDefault="00E2155B" w:rsidP="00E2155B">
      <w:pPr>
        <w:pStyle w:val="FeatureBox2"/>
      </w:pPr>
      <w:r>
        <w:rPr>
          <w:noProof/>
        </w:rPr>
        <w:fldChar w:fldCharType="end"/>
      </w:r>
      <w:r w:rsidR="00C02F82" w:rsidRPr="00B14901">
        <w:t>This resource has been developed to assist teachers in NSW Department of Education schools to create learning that is contextualised to their classroom. It can be used as a basis for the teacher’s own program, assessment</w:t>
      </w:r>
      <w:r w:rsidR="00C02F82">
        <w:t>,</w:t>
      </w:r>
      <w:r w:rsidR="00C02F82" w:rsidRPr="00B14901">
        <w:t xml:space="preserve"> or scope and sequence</w:t>
      </w:r>
      <w:r w:rsidR="00C02F82">
        <w:t>,</w:t>
      </w:r>
      <w:r w:rsidR="00C02F82" w:rsidRPr="00B14901">
        <w:t xml:space="preserve"> or be used as an example of how the new curriculum could be implemented. The resource has suggested timeframes that may need to be adjusted by the teacher to meet the needs of their students.</w:t>
      </w:r>
      <w:r w:rsidR="00C02F82">
        <w:br w:type="page"/>
      </w:r>
    </w:p>
    <w:p w14:paraId="36D9755D" w14:textId="77777777" w:rsidR="00C02F82" w:rsidRPr="00910AD1" w:rsidRDefault="00C02F82" w:rsidP="00910AD1">
      <w:pPr>
        <w:pStyle w:val="Heading1"/>
      </w:pPr>
      <w:bookmarkStart w:id="1" w:name="_Toc112681289"/>
      <w:bookmarkStart w:id="2" w:name="_Toc174439822"/>
      <w:r w:rsidRPr="00910AD1">
        <w:lastRenderedPageBreak/>
        <w:t>Overview</w:t>
      </w:r>
      <w:bookmarkEnd w:id="1"/>
      <w:bookmarkEnd w:id="2"/>
    </w:p>
    <w:p w14:paraId="101BA501" w14:textId="491FE31C" w:rsidR="00CF748A" w:rsidRDefault="00C02F82" w:rsidP="00AE0150">
      <w:pPr>
        <w:rPr>
          <w:color w:val="000000" w:themeColor="text1"/>
        </w:rPr>
      </w:pPr>
      <w:r w:rsidRPr="26DCB695">
        <w:rPr>
          <w:noProof/>
        </w:rPr>
        <w:t xml:space="preserve">This </w:t>
      </w:r>
      <w:r w:rsidR="006F02D6">
        <w:rPr>
          <w:noProof/>
        </w:rPr>
        <w:t>learning program</w:t>
      </w:r>
      <w:r w:rsidRPr="26DCB695">
        <w:rPr>
          <w:noProof/>
        </w:rPr>
        <w:t xml:space="preserve"> </w:t>
      </w:r>
      <w:r w:rsidR="00275936">
        <w:rPr>
          <w:lang w:eastAsia="zh-CN"/>
        </w:rPr>
        <w:t xml:space="preserve">is </w:t>
      </w:r>
      <w:r w:rsidR="00275936" w:rsidRPr="093F06A6">
        <w:rPr>
          <w:lang w:eastAsia="zh-CN"/>
        </w:rPr>
        <w:t xml:space="preserve">intended to be completed in </w:t>
      </w:r>
      <w:r w:rsidR="00275936">
        <w:rPr>
          <w:color w:val="000000" w:themeColor="text1"/>
        </w:rPr>
        <w:t>Y</w:t>
      </w:r>
      <w:r w:rsidR="002F78F6">
        <w:rPr>
          <w:color w:val="000000" w:themeColor="text1"/>
        </w:rPr>
        <w:t xml:space="preserve">ear </w:t>
      </w:r>
      <w:r w:rsidR="00A05CCA">
        <w:rPr>
          <w:color w:val="000000" w:themeColor="text1"/>
        </w:rPr>
        <w:t>12</w:t>
      </w:r>
      <w:r w:rsidR="008967C1">
        <w:rPr>
          <w:color w:val="000000" w:themeColor="text1"/>
        </w:rPr>
        <w:t xml:space="preserve"> as part of</w:t>
      </w:r>
      <w:r w:rsidR="00AE0150">
        <w:rPr>
          <w:color w:val="000000" w:themeColor="text1"/>
        </w:rPr>
        <w:t xml:space="preserve"> </w:t>
      </w:r>
      <w:r w:rsidR="00A05CCA">
        <w:rPr>
          <w:color w:val="000000" w:themeColor="text1"/>
        </w:rPr>
        <w:t>Focus Area 1 – Health in an Australian and global context.</w:t>
      </w:r>
    </w:p>
    <w:p w14:paraId="2136B442" w14:textId="609B945F" w:rsidR="001D419C" w:rsidRPr="00AB7BA2" w:rsidRDefault="00AB7BA2" w:rsidP="00AE0150">
      <w:pPr>
        <w:rPr>
          <w:lang w:eastAsia="zh-CN"/>
        </w:rPr>
      </w:pPr>
      <w:r>
        <w:rPr>
          <w:lang w:eastAsia="zh-CN"/>
        </w:rPr>
        <w:t>Five</w:t>
      </w:r>
      <w:r w:rsidRPr="11152EE8">
        <w:rPr>
          <w:lang w:eastAsia="zh-CN"/>
        </w:rPr>
        <w:t xml:space="preserve"> hours have been allocated to this </w:t>
      </w:r>
      <w:r>
        <w:rPr>
          <w:lang w:eastAsia="zh-CN"/>
        </w:rPr>
        <w:t>program of learning.</w:t>
      </w:r>
    </w:p>
    <w:p w14:paraId="266CCF74" w14:textId="77777777" w:rsidR="00544144" w:rsidRDefault="00A05CCA" w:rsidP="00910AD1">
      <w:pPr>
        <w:pStyle w:val="Heading1"/>
        <w:rPr>
          <w:noProof/>
        </w:rPr>
      </w:pPr>
      <w:bookmarkStart w:id="3" w:name="_Toc174439823"/>
      <w:r>
        <w:rPr>
          <w:noProof/>
        </w:rPr>
        <w:t>P</w:t>
      </w:r>
      <w:r w:rsidR="00544144">
        <w:rPr>
          <w:noProof/>
        </w:rPr>
        <w:t>rior learning</w:t>
      </w:r>
      <w:bookmarkEnd w:id="3"/>
    </w:p>
    <w:p w14:paraId="3132C34D" w14:textId="1820C523" w:rsidR="00571E54" w:rsidRDefault="00571E54" w:rsidP="00571E54">
      <w:r>
        <w:t>Before undertaking this learning program, students should have demonstrated sound understanding of:</w:t>
      </w:r>
    </w:p>
    <w:p w14:paraId="037B2503" w14:textId="59D133F7" w:rsidR="00571E54" w:rsidRDefault="00930855" w:rsidP="00B01204">
      <w:pPr>
        <w:pStyle w:val="ListBullet"/>
      </w:pPr>
      <w:r>
        <w:t xml:space="preserve">the </w:t>
      </w:r>
      <w:r w:rsidR="00571E54">
        <w:t>current health status of Australians including older people</w:t>
      </w:r>
    </w:p>
    <w:p w14:paraId="264794DF" w14:textId="0D267A33" w:rsidR="00571E54" w:rsidRDefault="00930855" w:rsidP="00B01204">
      <w:pPr>
        <w:pStyle w:val="ListBullet"/>
      </w:pPr>
      <w:r>
        <w:t xml:space="preserve">the </w:t>
      </w:r>
      <w:r w:rsidR="00571E54">
        <w:t>health inequities experienced by older people</w:t>
      </w:r>
    </w:p>
    <w:p w14:paraId="2326EC01" w14:textId="586C7940" w:rsidR="00571E54" w:rsidRDefault="00930855" w:rsidP="00B01204">
      <w:pPr>
        <w:pStyle w:val="ListBullet"/>
      </w:pPr>
      <w:r>
        <w:t xml:space="preserve">a </w:t>
      </w:r>
      <w:r w:rsidR="00571E54">
        <w:t>range of determinants that influence the health and wellbeing of population groups including older people</w:t>
      </w:r>
    </w:p>
    <w:p w14:paraId="2738B6A9" w14:textId="680E5C2E" w:rsidR="00571E54" w:rsidRDefault="00C114D3" w:rsidP="00B01204">
      <w:pPr>
        <w:pStyle w:val="ListBullet"/>
      </w:pPr>
      <w:r>
        <w:t xml:space="preserve">the </w:t>
      </w:r>
      <w:r w:rsidR="00571E54">
        <w:t>key features of Sustainable Development Goals (SDGs) including SDG 3, 4, 10</w:t>
      </w:r>
      <w:r w:rsidR="0094582F">
        <w:t xml:space="preserve"> and</w:t>
      </w:r>
      <w:r w:rsidR="00571E54">
        <w:t xml:space="preserve"> 11.</w:t>
      </w:r>
    </w:p>
    <w:p w14:paraId="53CF57ED" w14:textId="375F6F0E" w:rsidR="00A05CCA" w:rsidRDefault="00544144" w:rsidP="00910AD1">
      <w:pPr>
        <w:pStyle w:val="Heading1"/>
        <w:rPr>
          <w:noProof/>
        </w:rPr>
      </w:pPr>
      <w:bookmarkStart w:id="4" w:name="_Toc174439824"/>
      <w:r>
        <w:rPr>
          <w:noProof/>
        </w:rPr>
        <w:t>P</w:t>
      </w:r>
      <w:r w:rsidR="00A05CCA">
        <w:rPr>
          <w:noProof/>
        </w:rPr>
        <w:t>urpose</w:t>
      </w:r>
      <w:bookmarkEnd w:id="4"/>
    </w:p>
    <w:p w14:paraId="3F229400" w14:textId="09F32F6D" w:rsidR="00D557C9" w:rsidRDefault="00A33981" w:rsidP="00D557C9">
      <w:pPr>
        <w:rPr>
          <w:noProof/>
        </w:rPr>
      </w:pPr>
      <w:r w:rsidRPr="00A33981">
        <w:rPr>
          <w:noProof/>
        </w:rPr>
        <w:t>The purpose of this learning program is to empower students to evaluate health strategies to improve the health of older Australians. Through the development of comprehensive case studies</w:t>
      </w:r>
      <w:r w:rsidR="00A55025">
        <w:rPr>
          <w:noProof/>
        </w:rPr>
        <w:t xml:space="preserve"> and exploring data</w:t>
      </w:r>
      <w:r w:rsidRPr="00A33981">
        <w:rPr>
          <w:noProof/>
        </w:rPr>
        <w:t xml:space="preserve"> for ageing Australians, students will propose innovative strategies to enhance </w:t>
      </w:r>
      <w:r w:rsidR="0000051B">
        <w:rPr>
          <w:noProof/>
        </w:rPr>
        <w:t>older peeople</w:t>
      </w:r>
      <w:r w:rsidR="0094582F">
        <w:rPr>
          <w:noProof/>
        </w:rPr>
        <w:t>’</w:t>
      </w:r>
      <w:r w:rsidR="0000051B">
        <w:rPr>
          <w:noProof/>
        </w:rPr>
        <w:t>s</w:t>
      </w:r>
      <w:r w:rsidRPr="00A33981">
        <w:rPr>
          <w:noProof/>
        </w:rPr>
        <w:t xml:space="preserve"> health and evaluate existing health promotion initiatives. They will investigate how the Sustainable Development Goals (SDGs) can be leveraged to improve community health and align these strategies with the SDGs</w:t>
      </w:r>
      <w:r w:rsidR="00ED4B45">
        <w:rPr>
          <w:noProof/>
        </w:rPr>
        <w:t xml:space="preserve">. They will </w:t>
      </w:r>
      <w:r w:rsidRPr="00A33981">
        <w:rPr>
          <w:noProof/>
        </w:rPr>
        <w:t>promote healthy ageing</w:t>
      </w:r>
      <w:r w:rsidR="00F42B79">
        <w:rPr>
          <w:noProof/>
        </w:rPr>
        <w:t xml:space="preserve"> within their community</w:t>
      </w:r>
      <w:r w:rsidR="004C5B3B">
        <w:rPr>
          <w:noProof/>
        </w:rPr>
        <w:t xml:space="preserve"> and </w:t>
      </w:r>
      <w:r w:rsidR="002A1DBD">
        <w:rPr>
          <w:noProof/>
        </w:rPr>
        <w:t xml:space="preserve">aim to </w:t>
      </w:r>
      <w:r w:rsidR="00175F01">
        <w:rPr>
          <w:noProof/>
        </w:rPr>
        <w:t>high</w:t>
      </w:r>
      <w:r w:rsidR="0000051B">
        <w:rPr>
          <w:noProof/>
        </w:rPr>
        <w:t>light</w:t>
      </w:r>
      <w:r w:rsidR="00175F01">
        <w:rPr>
          <w:noProof/>
        </w:rPr>
        <w:t xml:space="preserve"> ways to reduce</w:t>
      </w:r>
      <w:r w:rsidR="004C5B3B">
        <w:rPr>
          <w:noProof/>
        </w:rPr>
        <w:t xml:space="preserve"> the impact of a growing and ageing population.</w:t>
      </w:r>
      <w:r w:rsidR="00D557C9">
        <w:rPr>
          <w:noProof/>
        </w:rPr>
        <w:br w:type="page"/>
      </w:r>
    </w:p>
    <w:p w14:paraId="145506C4" w14:textId="587A1098" w:rsidR="006C1984" w:rsidRDefault="006C1984" w:rsidP="00910AD1">
      <w:pPr>
        <w:pStyle w:val="Heading1"/>
        <w:rPr>
          <w:noProof/>
        </w:rPr>
      </w:pPr>
      <w:bookmarkStart w:id="5" w:name="_Toc174439825"/>
      <w:r>
        <w:rPr>
          <w:noProof/>
        </w:rPr>
        <w:lastRenderedPageBreak/>
        <w:t>Syllabus</w:t>
      </w:r>
      <w:bookmarkEnd w:id="5"/>
    </w:p>
    <w:p w14:paraId="02360FD0" w14:textId="77777777" w:rsidR="00250242" w:rsidRDefault="00250242" w:rsidP="00250242">
      <w:pPr>
        <w:spacing w:after="240"/>
      </w:pPr>
      <w:r w:rsidRPr="093F06A6">
        <w:rPr>
          <w:lang w:eastAsia="zh-CN"/>
        </w:rPr>
        <w:t>The following syllabus outcomes and content is addressed if</w:t>
      </w:r>
      <w:r>
        <w:rPr>
          <w:lang w:eastAsia="zh-CN"/>
        </w:rPr>
        <w:t xml:space="preserve"> all the teaching activities are completed. </w:t>
      </w:r>
      <w:r w:rsidRPr="093F06A6">
        <w:rPr>
          <w:lang w:eastAsia="zh-CN"/>
        </w:rPr>
        <w:t>Teachers are to use their professional judgement to ensure</w:t>
      </w:r>
      <w:r>
        <w:rPr>
          <w:lang w:eastAsia="zh-CN"/>
        </w:rPr>
        <w:t xml:space="preserve"> that the</w:t>
      </w:r>
      <w:r w:rsidRPr="093F06A6">
        <w:rPr>
          <w:lang w:eastAsia="zh-CN"/>
        </w:rPr>
        <w:t xml:space="preserve"> suggested syllabus content is addressed.</w:t>
      </w:r>
    </w:p>
    <w:p w14:paraId="6FA9FB3A" w14:textId="5FF20617" w:rsidR="00C02F82" w:rsidRDefault="00C02F82" w:rsidP="00E2155B">
      <w:pPr>
        <w:pStyle w:val="Heading2"/>
        <w:rPr>
          <w:noProof/>
        </w:rPr>
      </w:pPr>
      <w:bookmarkStart w:id="6" w:name="_Toc174439826"/>
      <w:r>
        <w:rPr>
          <w:noProof/>
        </w:rPr>
        <w:t>Outcomes</w:t>
      </w:r>
      <w:bookmarkEnd w:id="6"/>
    </w:p>
    <w:p w14:paraId="6717C1B3" w14:textId="544285AE" w:rsidR="00C02F82" w:rsidRDefault="00C02F82" w:rsidP="00C02F82">
      <w:r w:rsidRPr="00084646">
        <w:t>A student:</w:t>
      </w:r>
    </w:p>
    <w:p w14:paraId="18EEDD6A" w14:textId="6DE9F6C5" w:rsidR="00A05CCA" w:rsidRPr="00B01204" w:rsidRDefault="00A05CCA" w:rsidP="00B01204">
      <w:pPr>
        <w:pStyle w:val="ListBullet"/>
      </w:pPr>
      <w:r w:rsidRPr="00B01204">
        <w:t xml:space="preserve">analyses the health status of Australians at a national and international level </w:t>
      </w:r>
      <w:r w:rsidRPr="00B01204">
        <w:rPr>
          <w:rStyle w:val="Strong"/>
        </w:rPr>
        <w:t>HM-12-01</w:t>
      </w:r>
    </w:p>
    <w:p w14:paraId="1EB0DE16" w14:textId="25D82548" w:rsidR="00A05CCA" w:rsidRPr="00B01204" w:rsidRDefault="00D11277" w:rsidP="00B01204">
      <w:pPr>
        <w:pStyle w:val="ListBullet"/>
      </w:pPr>
      <w:r>
        <w:t>evaluates</w:t>
      </w:r>
      <w:r w:rsidRPr="00B01204">
        <w:t xml:space="preserve"> </w:t>
      </w:r>
      <w:r w:rsidR="00A05CCA" w:rsidRPr="00B01204">
        <w:t>how the Sustainable Development Goals can</w:t>
      </w:r>
      <w:r>
        <w:t xml:space="preserve"> be used to</w:t>
      </w:r>
      <w:r w:rsidR="00A05CCA" w:rsidRPr="00B01204">
        <w:t xml:space="preserve"> improve the health of a community </w:t>
      </w:r>
      <w:r w:rsidR="00A05CCA" w:rsidRPr="00B01204">
        <w:rPr>
          <w:rStyle w:val="Strong"/>
        </w:rPr>
        <w:t>HM-12-03</w:t>
      </w:r>
    </w:p>
    <w:p w14:paraId="2B2ED06A" w14:textId="450E1A14" w:rsidR="00A05CCA" w:rsidRPr="00B01204" w:rsidRDefault="00A05CCA" w:rsidP="00B01204">
      <w:pPr>
        <w:pStyle w:val="ListBullet"/>
      </w:pPr>
      <w:r w:rsidRPr="00B01204">
        <w:t xml:space="preserve">Problem-solving: proposes and evaluates solutions to complex health and movement issues </w:t>
      </w:r>
      <w:r w:rsidRPr="00B01204">
        <w:rPr>
          <w:rStyle w:val="Strong"/>
        </w:rPr>
        <w:t>HM-12-09</w:t>
      </w:r>
    </w:p>
    <w:p w14:paraId="5B462F3F" w14:textId="4C8AE3AC" w:rsidR="00521D10" w:rsidRPr="00521D10" w:rsidRDefault="00000000" w:rsidP="00521D10">
      <w:pPr>
        <w:pStyle w:val="Imageattributioncaption"/>
      </w:pPr>
      <w:hyperlink r:id="rId8" w:history="1">
        <w:r w:rsidR="00521D10" w:rsidRPr="00521D10">
          <w:rPr>
            <w:rStyle w:val="Hyperlink"/>
          </w:rPr>
          <w:t>Health and Movement Science 11–12 Syllabus</w:t>
        </w:r>
      </w:hyperlink>
      <w:r w:rsidR="00521D10" w:rsidRPr="00521D10">
        <w:t xml:space="preserve"> © NSW Education Standards Authority (NESA) for and on behalf of the Crown in right of the State of New South Wales, 2023.</w:t>
      </w:r>
    </w:p>
    <w:p w14:paraId="6BD522B9" w14:textId="6019A316" w:rsidR="00EA00DB" w:rsidRDefault="00EA00DB" w:rsidP="00E2155B">
      <w:pPr>
        <w:pStyle w:val="Heading2"/>
        <w:rPr>
          <w:noProof/>
        </w:rPr>
      </w:pPr>
      <w:bookmarkStart w:id="7" w:name="_Toc174439827"/>
      <w:r>
        <w:rPr>
          <w:noProof/>
        </w:rPr>
        <w:t>Content</w:t>
      </w:r>
      <w:bookmarkEnd w:id="7"/>
    </w:p>
    <w:p w14:paraId="3355E984" w14:textId="52D929A2" w:rsidR="003A66D2" w:rsidRPr="00AC46BB" w:rsidRDefault="0005355E" w:rsidP="000C4416">
      <w:pPr>
        <w:pStyle w:val="Heading3"/>
      </w:pPr>
      <w:bookmarkStart w:id="8" w:name="_Toc174439828"/>
      <w:r>
        <w:t xml:space="preserve">Focus area 1 – </w:t>
      </w:r>
      <w:r w:rsidR="00755190">
        <w:t>Health in an Australian and global context</w:t>
      </w:r>
      <w:bookmarkEnd w:id="8"/>
    </w:p>
    <w:p w14:paraId="01EC303E" w14:textId="40A45FEC" w:rsidR="003A66D2" w:rsidRPr="002000B2" w:rsidRDefault="00ED5959" w:rsidP="003A66D2">
      <w:pPr>
        <w:rPr>
          <w:b/>
          <w:szCs w:val="28"/>
        </w:rPr>
      </w:pPr>
      <w:r w:rsidRPr="002000B2">
        <w:rPr>
          <w:b/>
          <w:szCs w:val="28"/>
        </w:rPr>
        <w:t>How healthy are Australians?</w:t>
      </w:r>
    </w:p>
    <w:p w14:paraId="5D037258" w14:textId="7D00BEBB" w:rsidR="003A66D2" w:rsidRDefault="003A66D2" w:rsidP="00B01204">
      <w:pPr>
        <w:pStyle w:val="ListBullet"/>
      </w:pPr>
      <w:r w:rsidRPr="0005263B">
        <w:t>I</w:t>
      </w:r>
      <w:r>
        <w:t xml:space="preserve">nvestigate the </w:t>
      </w:r>
      <w:r w:rsidR="00ED5959">
        <w:t>impact of an ageing population on Australia’s health</w:t>
      </w:r>
    </w:p>
    <w:p w14:paraId="6846802C" w14:textId="77777777" w:rsidR="003A66D2" w:rsidRPr="00161411" w:rsidRDefault="003A66D2" w:rsidP="00ED5959">
      <w:pPr>
        <w:pStyle w:val="ListParagraph"/>
        <w:rPr>
          <w:rStyle w:val="Strong"/>
        </w:rPr>
      </w:pPr>
      <w:r w:rsidRPr="00161411">
        <w:rPr>
          <w:rStyle w:val="Strong"/>
        </w:rPr>
        <w:t>Including:</w:t>
      </w:r>
    </w:p>
    <w:p w14:paraId="73AFFF88" w14:textId="20A1F3F0" w:rsidR="003A66D2" w:rsidRDefault="00ED5959" w:rsidP="007066D9">
      <w:pPr>
        <w:pStyle w:val="ListParagraph"/>
        <w:numPr>
          <w:ilvl w:val="0"/>
          <w:numId w:val="32"/>
        </w:numPr>
        <w:ind w:left="1134" w:hanging="567"/>
        <w:rPr>
          <w:szCs w:val="22"/>
        </w:rPr>
      </w:pPr>
      <w:r>
        <w:rPr>
          <w:szCs w:val="22"/>
        </w:rPr>
        <w:t>what does the data tell us?</w:t>
      </w:r>
    </w:p>
    <w:p w14:paraId="1B196213" w14:textId="598D72A7" w:rsidR="00ED5959" w:rsidRDefault="00ED5959" w:rsidP="007066D9">
      <w:pPr>
        <w:pStyle w:val="ListParagraph"/>
        <w:numPr>
          <w:ilvl w:val="0"/>
          <w:numId w:val="32"/>
        </w:numPr>
        <w:ind w:left="1134" w:hanging="567"/>
        <w:rPr>
          <w:szCs w:val="22"/>
        </w:rPr>
      </w:pPr>
      <w:r>
        <w:rPr>
          <w:szCs w:val="22"/>
        </w:rPr>
        <w:t>what is healthy ageing?</w:t>
      </w:r>
    </w:p>
    <w:p w14:paraId="6A26F009" w14:textId="55922C65" w:rsidR="00ED5959" w:rsidRDefault="00ED5959" w:rsidP="007066D9">
      <w:pPr>
        <w:pStyle w:val="ListParagraph"/>
        <w:numPr>
          <w:ilvl w:val="0"/>
          <w:numId w:val="32"/>
        </w:numPr>
        <w:ind w:left="1134" w:hanging="567"/>
        <w:rPr>
          <w:szCs w:val="22"/>
        </w:rPr>
      </w:pPr>
      <w:r>
        <w:rPr>
          <w:szCs w:val="22"/>
        </w:rPr>
        <w:t>what are the opportunities and challenges for an ageing population?</w:t>
      </w:r>
    </w:p>
    <w:p w14:paraId="5E14D179" w14:textId="1EA123F5" w:rsidR="00ED5959" w:rsidRDefault="00ED5959" w:rsidP="007066D9">
      <w:pPr>
        <w:pStyle w:val="ListParagraph"/>
        <w:numPr>
          <w:ilvl w:val="0"/>
          <w:numId w:val="32"/>
        </w:numPr>
        <w:ind w:left="1134" w:hanging="567"/>
        <w:rPr>
          <w:szCs w:val="22"/>
        </w:rPr>
      </w:pPr>
      <w:r>
        <w:rPr>
          <w:szCs w:val="22"/>
        </w:rPr>
        <w:t>what are current and future strategies to support healthy ageing?</w:t>
      </w:r>
    </w:p>
    <w:p w14:paraId="358CC40C" w14:textId="42FA913C" w:rsidR="00ED5959" w:rsidRPr="00290D47" w:rsidRDefault="00ED5959" w:rsidP="007066D9">
      <w:pPr>
        <w:pStyle w:val="ListParagraph"/>
        <w:numPr>
          <w:ilvl w:val="0"/>
          <w:numId w:val="32"/>
        </w:numPr>
        <w:ind w:left="1134" w:hanging="567"/>
        <w:rPr>
          <w:szCs w:val="22"/>
        </w:rPr>
      </w:pPr>
      <w:r>
        <w:rPr>
          <w:szCs w:val="22"/>
        </w:rPr>
        <w:lastRenderedPageBreak/>
        <w:t xml:space="preserve">what do government and non-government agencies need to consider </w:t>
      </w:r>
      <w:proofErr w:type="gramStart"/>
      <w:r>
        <w:rPr>
          <w:szCs w:val="22"/>
        </w:rPr>
        <w:t>to address</w:t>
      </w:r>
      <w:proofErr w:type="gramEnd"/>
      <w:r>
        <w:rPr>
          <w:szCs w:val="22"/>
        </w:rPr>
        <w:t xml:space="preserve"> the future needs of a growing and ageing population?</w:t>
      </w:r>
    </w:p>
    <w:p w14:paraId="4DDF490A" w14:textId="77777777" w:rsidR="00CC61E8" w:rsidRPr="00A91F7E" w:rsidRDefault="002D5B43" w:rsidP="002D5B43">
      <w:pPr>
        <w:rPr>
          <w:b/>
          <w:szCs w:val="28"/>
        </w:rPr>
      </w:pPr>
      <w:r w:rsidRPr="00A91F7E">
        <w:rPr>
          <w:b/>
          <w:szCs w:val="28"/>
        </w:rPr>
        <w:t>What actions are needed to promote and improve the health of Australians?</w:t>
      </w:r>
    </w:p>
    <w:p w14:paraId="50EAFB7C" w14:textId="697AD808" w:rsidR="002D5B43" w:rsidRDefault="00601677" w:rsidP="00B01204">
      <w:pPr>
        <w:pStyle w:val="ListBullet"/>
      </w:pPr>
      <w:r>
        <w:t>Evaluate the application of SDGs 3,</w:t>
      </w:r>
      <w:r w:rsidR="003C19F6">
        <w:t xml:space="preserve"> </w:t>
      </w:r>
      <w:r>
        <w:t>4,</w:t>
      </w:r>
      <w:r w:rsidR="003C19F6">
        <w:t xml:space="preserve"> </w:t>
      </w:r>
      <w:r>
        <w:t>10</w:t>
      </w:r>
      <w:r w:rsidR="003C19F6">
        <w:t xml:space="preserve"> and</w:t>
      </w:r>
      <w:r>
        <w:t>11 to inform strategies to improve the health status of a community</w:t>
      </w:r>
    </w:p>
    <w:p w14:paraId="16C55546" w14:textId="77777777" w:rsidR="008D1218" w:rsidRPr="00161411" w:rsidRDefault="008D1218" w:rsidP="008D1218">
      <w:pPr>
        <w:pStyle w:val="ListParagraph"/>
        <w:rPr>
          <w:rStyle w:val="Strong"/>
        </w:rPr>
      </w:pPr>
      <w:r w:rsidRPr="00161411">
        <w:rPr>
          <w:rStyle w:val="Strong"/>
        </w:rPr>
        <w:t>Including:</w:t>
      </w:r>
    </w:p>
    <w:p w14:paraId="2B651714" w14:textId="583288AC" w:rsidR="008D1218" w:rsidRDefault="00A91FCD" w:rsidP="008D1218">
      <w:pPr>
        <w:pStyle w:val="ListParagraph"/>
        <w:numPr>
          <w:ilvl w:val="0"/>
          <w:numId w:val="32"/>
        </w:numPr>
        <w:ind w:left="1134" w:hanging="567"/>
        <w:rPr>
          <w:szCs w:val="22"/>
        </w:rPr>
      </w:pPr>
      <w:r>
        <w:rPr>
          <w:szCs w:val="22"/>
        </w:rPr>
        <w:t>h</w:t>
      </w:r>
      <w:r w:rsidR="008D1218">
        <w:rPr>
          <w:szCs w:val="22"/>
        </w:rPr>
        <w:t xml:space="preserve">ow have these goals been applied </w:t>
      </w:r>
      <w:r>
        <w:rPr>
          <w:szCs w:val="22"/>
        </w:rPr>
        <w:t>in other communities?</w:t>
      </w:r>
    </w:p>
    <w:p w14:paraId="499FA635" w14:textId="583D8178" w:rsidR="00A91FCD" w:rsidRDefault="00A91FCD" w:rsidP="00A91FCD">
      <w:pPr>
        <w:pStyle w:val="ListParagraph"/>
        <w:numPr>
          <w:ilvl w:val="0"/>
          <w:numId w:val="32"/>
        </w:numPr>
        <w:ind w:left="1134" w:hanging="567"/>
        <w:rPr>
          <w:szCs w:val="22"/>
        </w:rPr>
      </w:pPr>
      <w:r>
        <w:rPr>
          <w:szCs w:val="22"/>
        </w:rPr>
        <w:t>what lessons can be drawn from other communities and applied to their own community context?</w:t>
      </w:r>
    </w:p>
    <w:p w14:paraId="7C671099" w14:textId="7A023D50" w:rsidR="00A91FCD" w:rsidRDefault="00A91FCD" w:rsidP="00A91FCD">
      <w:pPr>
        <w:pStyle w:val="ListParagraph"/>
        <w:numPr>
          <w:ilvl w:val="0"/>
          <w:numId w:val="32"/>
        </w:numPr>
        <w:ind w:left="1134" w:hanging="567"/>
        <w:rPr>
          <w:szCs w:val="22"/>
        </w:rPr>
      </w:pPr>
      <w:r>
        <w:rPr>
          <w:szCs w:val="22"/>
        </w:rPr>
        <w:t>what are the major health issues for a community?</w:t>
      </w:r>
    </w:p>
    <w:p w14:paraId="1AD4FADF" w14:textId="3CEFFE8F" w:rsidR="00A91FCD" w:rsidRDefault="00B40E43" w:rsidP="00A91FCD">
      <w:pPr>
        <w:pStyle w:val="ListParagraph"/>
        <w:numPr>
          <w:ilvl w:val="0"/>
          <w:numId w:val="32"/>
        </w:numPr>
        <w:ind w:left="1134" w:hanging="567"/>
        <w:rPr>
          <w:szCs w:val="22"/>
        </w:rPr>
      </w:pPr>
      <w:r>
        <w:rPr>
          <w:szCs w:val="22"/>
        </w:rPr>
        <w:t>what strategies are needed to advocate and improve a community’s health status?</w:t>
      </w:r>
    </w:p>
    <w:p w14:paraId="54BD26DC" w14:textId="1753C217" w:rsidR="00B40E43" w:rsidRPr="00A91FCD" w:rsidRDefault="00B40E43" w:rsidP="00A91FCD">
      <w:pPr>
        <w:pStyle w:val="ListParagraph"/>
        <w:numPr>
          <w:ilvl w:val="0"/>
          <w:numId w:val="32"/>
        </w:numPr>
        <w:ind w:left="1134" w:hanging="567"/>
        <w:rPr>
          <w:szCs w:val="22"/>
        </w:rPr>
      </w:pPr>
      <w:r>
        <w:rPr>
          <w:szCs w:val="22"/>
        </w:rPr>
        <w:t>how do you know these strategies may be effective?</w:t>
      </w:r>
    </w:p>
    <w:p w14:paraId="738D67C0" w14:textId="77777777" w:rsidR="00CC61E8" w:rsidRDefault="00CC61E8">
      <w:pPr>
        <w:suppressAutoHyphens w:val="0"/>
        <w:spacing w:before="0" w:after="160" w:line="259" w:lineRule="auto"/>
        <w:rPr>
          <w:rFonts w:eastAsiaTheme="majorEastAsia"/>
          <w:bCs/>
          <w:color w:val="002664"/>
          <w:sz w:val="40"/>
          <w:szCs w:val="52"/>
        </w:rPr>
      </w:pPr>
      <w:r>
        <w:br w:type="page"/>
      </w:r>
    </w:p>
    <w:p w14:paraId="14C3A380" w14:textId="7D59A7F5" w:rsidR="00C02F82" w:rsidRDefault="00C02F82" w:rsidP="00910AD1">
      <w:pPr>
        <w:pStyle w:val="Heading1"/>
      </w:pPr>
      <w:bookmarkStart w:id="9" w:name="_Toc174439829"/>
      <w:r>
        <w:lastRenderedPageBreak/>
        <w:t>Learning sequence 1</w:t>
      </w:r>
      <w:r w:rsidR="0008232D">
        <w:t xml:space="preserve"> – </w:t>
      </w:r>
      <w:r w:rsidR="00E15A46">
        <w:t>improving the health of older Australians</w:t>
      </w:r>
      <w:bookmarkEnd w:id="9"/>
    </w:p>
    <w:p w14:paraId="07391D74" w14:textId="7E90D946" w:rsidR="00AE0150" w:rsidRPr="00AE0150" w:rsidRDefault="00A57B4E" w:rsidP="00AB7186">
      <w:r>
        <w:t>This</w:t>
      </w:r>
      <w:r w:rsidR="003A388D">
        <w:t xml:space="preserve"> learning sequence </w:t>
      </w:r>
      <w:r w:rsidR="00B55597">
        <w:t xml:space="preserve">is intended to </w:t>
      </w:r>
      <w:r w:rsidR="00D42331">
        <w:t xml:space="preserve">support the teaching of </w:t>
      </w:r>
      <w:r w:rsidR="00A976D6">
        <w:t>Year 12</w:t>
      </w:r>
      <w:r w:rsidR="009E284D">
        <w:t xml:space="preserve"> </w:t>
      </w:r>
      <w:r w:rsidR="00C05AE5">
        <w:rPr>
          <w:color w:val="000000" w:themeColor="text1"/>
        </w:rPr>
        <w:t>Focus Area 1 – Health in an Australian and global context</w:t>
      </w:r>
      <w:r w:rsidR="009E284D">
        <w:rPr>
          <w:color w:val="000000" w:themeColor="text1"/>
        </w:rPr>
        <w:t>.</w:t>
      </w:r>
      <w:r>
        <w:t xml:space="preserve"> </w:t>
      </w:r>
      <w:r w:rsidR="00AE0150" w:rsidRPr="00AB7186">
        <w:t>Opportunities</w:t>
      </w:r>
      <w:r w:rsidR="00AE0150" w:rsidRPr="00AE0150">
        <w:t xml:space="preserve"> for reflection and adjustments can be made depending on student interest.</w:t>
      </w:r>
    </w:p>
    <w:p w14:paraId="52A14FDB" w14:textId="75706907" w:rsidR="00C02F82" w:rsidRDefault="00C02F82" w:rsidP="00E2155B">
      <w:pPr>
        <w:pStyle w:val="Heading2"/>
      </w:pPr>
      <w:bookmarkStart w:id="10" w:name="_Toc174439830"/>
      <w:r>
        <w:t>Learning intentions and success criteria</w:t>
      </w:r>
      <w:bookmarkEnd w:id="10"/>
    </w:p>
    <w:p w14:paraId="11816AB0" w14:textId="22AA7BE0" w:rsidR="00C02F82" w:rsidRPr="009858B9" w:rsidRDefault="00885DE7" w:rsidP="001C0E67">
      <w:pPr>
        <w:pStyle w:val="FeatureBox2"/>
      </w:pPr>
      <w:r w:rsidRPr="009858B9">
        <w:rPr>
          <w:b/>
          <w:bCs/>
        </w:rPr>
        <w:t>Expli</w:t>
      </w:r>
      <w:r w:rsidR="00B754CB" w:rsidRPr="009858B9">
        <w:rPr>
          <w:b/>
          <w:bCs/>
        </w:rPr>
        <w:t>cit teaching n</w:t>
      </w:r>
      <w:r w:rsidR="00C02F82" w:rsidRPr="009858B9">
        <w:rPr>
          <w:b/>
          <w:bCs/>
        </w:rPr>
        <w:t>ote:</w:t>
      </w:r>
      <w:r w:rsidR="00C02F82" w:rsidRPr="009858B9">
        <w:t xml:space="preserve"> </w:t>
      </w:r>
      <w:r w:rsidR="00D45AE4" w:rsidRPr="009858B9">
        <w:t>l</w:t>
      </w:r>
      <w:r w:rsidR="00EA6949" w:rsidRPr="009858B9">
        <w:t>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77850CC8" w14:textId="2FDAC999" w:rsidR="004204CF" w:rsidRPr="00D503FE" w:rsidRDefault="00677018" w:rsidP="004204CF">
      <w:r w:rsidRPr="00D503FE">
        <w:t>Through these activities, students will:</w:t>
      </w:r>
    </w:p>
    <w:p w14:paraId="5D90A8D3" w14:textId="74D6134C" w:rsidR="004204CF" w:rsidRPr="00D503FE" w:rsidRDefault="00B11CDE" w:rsidP="00B01204">
      <w:pPr>
        <w:pStyle w:val="ListBullet"/>
        <w:numPr>
          <w:ilvl w:val="0"/>
          <w:numId w:val="2"/>
        </w:numPr>
      </w:pPr>
      <w:r>
        <w:t xml:space="preserve">evidence </w:t>
      </w:r>
      <w:r w:rsidR="00F30EDC" w:rsidRPr="00D503FE">
        <w:t>a deep</w:t>
      </w:r>
      <w:r w:rsidR="00D503FE">
        <w:t>er</w:t>
      </w:r>
      <w:r w:rsidR="00F30EDC" w:rsidRPr="00D503FE">
        <w:t xml:space="preserve"> understanding of healthy ageing and the</w:t>
      </w:r>
      <w:r w:rsidR="00405327" w:rsidRPr="00D503FE">
        <w:t xml:space="preserve"> opportunities and challenges for an ageing population</w:t>
      </w:r>
    </w:p>
    <w:p w14:paraId="028F3535" w14:textId="6790F54B" w:rsidR="00375ADD" w:rsidRPr="00D503FE" w:rsidRDefault="004204CF" w:rsidP="00B01204">
      <w:pPr>
        <w:pStyle w:val="ListBullet"/>
        <w:numPr>
          <w:ilvl w:val="0"/>
          <w:numId w:val="2"/>
        </w:numPr>
      </w:pPr>
      <w:r w:rsidRPr="00D503FE">
        <w:t>create a case study for an ‘ageing Australian’</w:t>
      </w:r>
      <w:r w:rsidR="00405327" w:rsidRPr="00D503FE">
        <w:t xml:space="preserve"> and compa</w:t>
      </w:r>
      <w:r w:rsidR="00244E4E" w:rsidRPr="00D503FE">
        <w:t xml:space="preserve">re </w:t>
      </w:r>
      <w:r w:rsidR="00FC7411" w:rsidRPr="00D503FE">
        <w:t>to the broader data set around the growing and ageing population</w:t>
      </w:r>
    </w:p>
    <w:p w14:paraId="5B59D8F6" w14:textId="64EFB52A" w:rsidR="00C00D0A" w:rsidRPr="00D503FE" w:rsidRDefault="006B0A7C" w:rsidP="00B01204">
      <w:pPr>
        <w:pStyle w:val="ListBullet"/>
        <w:numPr>
          <w:ilvl w:val="0"/>
          <w:numId w:val="2"/>
        </w:numPr>
      </w:pPr>
      <w:r w:rsidRPr="00D503FE">
        <w:t>evaluate</w:t>
      </w:r>
      <w:r w:rsidR="00F30EDC" w:rsidRPr="00D503FE">
        <w:t xml:space="preserve"> </w:t>
      </w:r>
      <w:r w:rsidR="00C00D0A" w:rsidRPr="00D503FE">
        <w:t xml:space="preserve">health promotion </w:t>
      </w:r>
      <w:r w:rsidR="00124673" w:rsidRPr="00D503FE">
        <w:t>initiatives</w:t>
      </w:r>
      <w:r w:rsidR="00C00D0A" w:rsidRPr="00D503FE">
        <w:t xml:space="preserve"> </w:t>
      </w:r>
      <w:r w:rsidR="000D3148" w:rsidRPr="00D503FE">
        <w:t xml:space="preserve">and their alignment to the SDGs </w:t>
      </w:r>
      <w:r w:rsidR="001C21D0">
        <w:t>and suggest improvements to</w:t>
      </w:r>
      <w:r w:rsidR="00C62B00">
        <w:t xml:space="preserve"> ensure positive </w:t>
      </w:r>
      <w:r w:rsidR="00C47F8E" w:rsidRPr="00D503FE">
        <w:t xml:space="preserve">health </w:t>
      </w:r>
      <w:r w:rsidR="00124673" w:rsidRPr="00D503FE">
        <w:t xml:space="preserve">outcomes </w:t>
      </w:r>
      <w:r w:rsidR="00C47F8E" w:rsidRPr="00D503FE">
        <w:t>of older Australians</w:t>
      </w:r>
    </w:p>
    <w:p w14:paraId="32E36335" w14:textId="109BCD0E" w:rsidR="00D201CD" w:rsidRDefault="004204CF" w:rsidP="00B01204">
      <w:pPr>
        <w:pStyle w:val="ListBullet"/>
        <w:numPr>
          <w:ilvl w:val="0"/>
          <w:numId w:val="2"/>
        </w:numPr>
      </w:pPr>
      <w:r w:rsidRPr="00D503FE">
        <w:t>propose</w:t>
      </w:r>
      <w:r w:rsidR="00FF7197" w:rsidRPr="00D503FE">
        <w:t xml:space="preserve">, </w:t>
      </w:r>
      <w:r w:rsidR="006B0A7C" w:rsidRPr="00D503FE">
        <w:t>develop</w:t>
      </w:r>
      <w:r w:rsidR="00FF7197" w:rsidRPr="00D503FE">
        <w:t xml:space="preserve"> and justify</w:t>
      </w:r>
      <w:r w:rsidR="006B0A7C" w:rsidRPr="00D503FE">
        <w:t xml:space="preserve"> a </w:t>
      </w:r>
      <w:r w:rsidR="00C3584F" w:rsidRPr="00D503FE">
        <w:t xml:space="preserve">health promotion </w:t>
      </w:r>
      <w:r w:rsidRPr="00D503FE">
        <w:t>strateg</w:t>
      </w:r>
      <w:r w:rsidR="00C3584F" w:rsidRPr="00D503FE">
        <w:t>y</w:t>
      </w:r>
      <w:r w:rsidR="006B0A7C" w:rsidRPr="00D503FE">
        <w:t xml:space="preserve"> </w:t>
      </w:r>
      <w:r w:rsidR="00C3584F" w:rsidRPr="00D503FE">
        <w:t xml:space="preserve">aimed at educating older </w:t>
      </w:r>
      <w:r w:rsidR="00FF7197" w:rsidRPr="00D503FE">
        <w:t>people on the benefit</w:t>
      </w:r>
      <w:r w:rsidR="00D503FE" w:rsidRPr="00D503FE">
        <w:t>s</w:t>
      </w:r>
      <w:r w:rsidR="00FF7197" w:rsidRPr="00D503FE">
        <w:t xml:space="preserve"> of health ageing.</w:t>
      </w:r>
    </w:p>
    <w:p w14:paraId="44163FF1" w14:textId="77777777" w:rsidR="00D201CD" w:rsidRDefault="00D201CD">
      <w:pPr>
        <w:suppressAutoHyphens w:val="0"/>
        <w:spacing w:before="0" w:after="160" w:line="259" w:lineRule="auto"/>
      </w:pPr>
      <w:r>
        <w:br w:type="page"/>
      </w:r>
    </w:p>
    <w:p w14:paraId="044A1E2B" w14:textId="08D8BE22" w:rsidR="00C02F82" w:rsidRDefault="0059503E" w:rsidP="00E2155B">
      <w:pPr>
        <w:pStyle w:val="Heading2"/>
      </w:pPr>
      <w:bookmarkStart w:id="11" w:name="_Toc112681291"/>
      <w:bookmarkStart w:id="12" w:name="_Toc174439831"/>
      <w:r>
        <w:lastRenderedPageBreak/>
        <w:t>What is healthy ageing?</w:t>
      </w:r>
      <w:bookmarkEnd w:id="12"/>
    </w:p>
    <w:p w14:paraId="73EC223F" w14:textId="06842700" w:rsidR="00AA02E2" w:rsidRDefault="00AD14AF" w:rsidP="009E74BA">
      <w:r>
        <w:t>Begin with a class discussion</w:t>
      </w:r>
      <w:r w:rsidR="002144F4">
        <w:t xml:space="preserve"> around lifestyle</w:t>
      </w:r>
      <w:r w:rsidR="002510E4">
        <w:t xml:space="preserve"> in early life</w:t>
      </w:r>
      <w:r w:rsidR="009F359B">
        <w:t>.</w:t>
      </w:r>
    </w:p>
    <w:p w14:paraId="08F4F831" w14:textId="16D8D483" w:rsidR="004629BA" w:rsidRDefault="009F359B" w:rsidP="00B01204">
      <w:pPr>
        <w:pStyle w:val="ListBullet"/>
      </w:pPr>
      <w:r>
        <w:t>What behaviours through earlier life stages, impact how health</w:t>
      </w:r>
      <w:r w:rsidR="00A93B83">
        <w:t>y</w:t>
      </w:r>
      <w:r>
        <w:t xml:space="preserve"> you are as you get older?</w:t>
      </w:r>
      <w:r w:rsidR="00776D93">
        <w:t xml:space="preserve"> For example,</w:t>
      </w:r>
      <w:r w:rsidR="00D82642">
        <w:t xml:space="preserve"> food choices</w:t>
      </w:r>
      <w:r w:rsidR="004629BA">
        <w:t xml:space="preserve"> (diet)</w:t>
      </w:r>
      <w:r w:rsidR="00D82642">
        <w:t xml:space="preserve">, </w:t>
      </w:r>
      <w:r w:rsidR="00776D93">
        <w:t>physical activ</w:t>
      </w:r>
      <w:r w:rsidR="00D82642">
        <w:t xml:space="preserve">ity, </w:t>
      </w:r>
      <w:r w:rsidR="00862035">
        <w:t>lifestyle choices (</w:t>
      </w:r>
      <w:r w:rsidR="00AD7C0B">
        <w:t>smoking</w:t>
      </w:r>
      <w:r w:rsidR="00862035">
        <w:t xml:space="preserve"> or alcohol)</w:t>
      </w:r>
      <w:r w:rsidR="00AD7C0B">
        <w:t xml:space="preserve">, </w:t>
      </w:r>
      <w:r w:rsidR="0046055E">
        <w:t>sun protection</w:t>
      </w:r>
      <w:r w:rsidR="004629BA">
        <w:t>.</w:t>
      </w:r>
    </w:p>
    <w:p w14:paraId="3B3DBEF9" w14:textId="4EA4CAD0" w:rsidR="00BF53A4" w:rsidRDefault="00951DB9" w:rsidP="00B01204">
      <w:pPr>
        <w:pStyle w:val="ListBullet"/>
      </w:pPr>
      <w:r>
        <w:t>How</w:t>
      </w:r>
      <w:r w:rsidR="00BF53A4">
        <w:t xml:space="preserve"> do dietary choices and physical activity levels during childhood and adolescence influence health outcomes in older age?</w:t>
      </w:r>
    </w:p>
    <w:p w14:paraId="650CD52B" w14:textId="47B297C6" w:rsidR="00951DB9" w:rsidRDefault="00BF53A4" w:rsidP="00B01204">
      <w:pPr>
        <w:pStyle w:val="ListBullet"/>
      </w:pPr>
      <w:r>
        <w:t>What long-term impacts do habits such as smoking or alcohol consumption in your younger years have on health as you age?</w:t>
      </w:r>
    </w:p>
    <w:p w14:paraId="599B8757" w14:textId="7C3C3DA8" w:rsidR="004000BF" w:rsidRDefault="002D5886" w:rsidP="00082A1C">
      <w:pPr>
        <w:pStyle w:val="FeatureBox"/>
      </w:pPr>
      <w:r>
        <w:t xml:space="preserve">Explain to students that while </w:t>
      </w:r>
      <w:r w:rsidRPr="002D5886">
        <w:t>early life behaviours significantly impact health as we age, it's important to recogni</w:t>
      </w:r>
      <w:r w:rsidR="003C4988">
        <w:t>s</w:t>
      </w:r>
      <w:r w:rsidRPr="002D5886">
        <w:t>e that there are numerous strategies and choices that can help older adults age healthily</w:t>
      </w:r>
      <w:r w:rsidR="00BA7531">
        <w:t xml:space="preserve">. Through this sequence of </w:t>
      </w:r>
      <w:r w:rsidR="006556ED">
        <w:t>activities,</w:t>
      </w:r>
      <w:r w:rsidR="00BA7531">
        <w:t xml:space="preserve"> we will explore </w:t>
      </w:r>
      <w:r w:rsidR="00A77B48">
        <w:t>some of th</w:t>
      </w:r>
      <w:r w:rsidR="0042091B">
        <w:t>ese strategies</w:t>
      </w:r>
      <w:r w:rsidR="006556ED">
        <w:t xml:space="preserve">. </w:t>
      </w:r>
      <w:r w:rsidR="00D630E2">
        <w:t xml:space="preserve">However, </w:t>
      </w:r>
      <w:r w:rsidR="00024B00">
        <w:t xml:space="preserve">like other population groups, </w:t>
      </w:r>
      <w:r w:rsidR="004000BF">
        <w:t>o</w:t>
      </w:r>
      <w:r w:rsidR="004000BF" w:rsidRPr="004000BF">
        <w:t>lder Australians are a diverse group, encompassing a wide range of ages, socioeconomic backgrounds, life experiences and lifestyles. These variations significantly influence the ageing process, impacting their health and wellbeing in different ways.</w:t>
      </w:r>
    </w:p>
    <w:p w14:paraId="4AF9F42E" w14:textId="20A6F80B" w:rsidR="00AD2115" w:rsidRPr="009D0EAE" w:rsidRDefault="009E79C5" w:rsidP="004000BF">
      <w:r>
        <w:t xml:space="preserve">Students using a </w:t>
      </w:r>
      <w:hyperlink r:id="rId9" w:history="1">
        <w:r w:rsidRPr="00BD214B">
          <w:rPr>
            <w:rStyle w:val="Hyperlink"/>
          </w:rPr>
          <w:t>Y chart</w:t>
        </w:r>
      </w:hyperlink>
      <w:r>
        <w:t xml:space="preserve"> </w:t>
      </w:r>
      <w:r w:rsidR="00285D87">
        <w:t xml:space="preserve">to </w:t>
      </w:r>
      <w:r>
        <w:t>brainstorm what healthy ageing looks like, sounds like and feels like.</w:t>
      </w:r>
    </w:p>
    <w:p w14:paraId="71DFD40D" w14:textId="743BAEB6" w:rsidR="00D97EE8" w:rsidRDefault="009E79C5" w:rsidP="004000BF">
      <w:r>
        <w:t xml:space="preserve">Using </w:t>
      </w:r>
      <w:r w:rsidR="009E4EF0">
        <w:t>their</w:t>
      </w:r>
      <w:r>
        <w:t xml:space="preserve"> brainstorm, </w:t>
      </w:r>
      <w:r w:rsidR="009E4EF0">
        <w:t>students</w:t>
      </w:r>
      <w:r w:rsidR="00D97EE8">
        <w:t xml:space="preserve"> </w:t>
      </w:r>
      <w:r>
        <w:t xml:space="preserve">are to categorise these into the </w:t>
      </w:r>
      <w:r w:rsidR="004000BF">
        <w:t>factors that m</w:t>
      </w:r>
      <w:r w:rsidR="006F28A3">
        <w:t>ight</w:t>
      </w:r>
      <w:r>
        <w:t xml:space="preserve"> influence </w:t>
      </w:r>
      <w:r w:rsidR="00D97EE8">
        <w:t xml:space="preserve">the quality of life for older Australians. </w:t>
      </w:r>
      <w:r>
        <w:t>Examples m</w:t>
      </w:r>
      <w:r w:rsidR="006F28A3">
        <w:t>ight</w:t>
      </w:r>
      <w:r>
        <w:t xml:space="preserve"> </w:t>
      </w:r>
      <w:proofErr w:type="gramStart"/>
      <w:r>
        <w:t>include:</w:t>
      </w:r>
      <w:proofErr w:type="gramEnd"/>
      <w:r>
        <w:t xml:space="preserve"> </w:t>
      </w:r>
      <w:r w:rsidR="004000BF">
        <w:t>being physically active, having social connections, accessing preventative healthcare, hav</w:t>
      </w:r>
      <w:r w:rsidR="00CD5F86">
        <w:t>ing</w:t>
      </w:r>
      <w:r w:rsidR="004000BF">
        <w:t xml:space="preserve"> a balanced diet, adequate sleep, avoiding harmful behaviours, staying mentally active, monitoring stress management, adequate income, access to mental healthcare, community involvement, accessing healthcare services, positive relationships, cultural practices, positive outlook, financial planning and stability.</w:t>
      </w:r>
    </w:p>
    <w:p w14:paraId="6FBAE081" w14:textId="1395224D" w:rsidR="009D0EAE" w:rsidRPr="009D0EAE" w:rsidRDefault="00664230" w:rsidP="00954720">
      <w:r>
        <w:t xml:space="preserve">Students develop their </w:t>
      </w:r>
      <w:r w:rsidR="009D0EAE">
        <w:t>own definition</w:t>
      </w:r>
      <w:r w:rsidR="005A4360">
        <w:t xml:space="preserve"> of health</w:t>
      </w:r>
      <w:r w:rsidR="006924DE">
        <w:t>y</w:t>
      </w:r>
      <w:r w:rsidR="005A4360">
        <w:t xml:space="preserve"> ageing</w:t>
      </w:r>
      <w:r w:rsidR="007E502E">
        <w:t xml:space="preserve"> based on their </w:t>
      </w:r>
      <w:r w:rsidR="00B00BE2">
        <w:t xml:space="preserve">current </w:t>
      </w:r>
      <w:r w:rsidR="007E502E">
        <w:t>understanding</w:t>
      </w:r>
      <w:r w:rsidR="009A62DC">
        <w:t xml:space="preserve"> </w:t>
      </w:r>
      <w:r w:rsidR="00B00BE2">
        <w:t>of the term</w:t>
      </w:r>
      <w:r w:rsidR="007E502E">
        <w:t>. This definition will be refined as their knowledge and understanding develops.</w:t>
      </w:r>
    </w:p>
    <w:p w14:paraId="7ED46521" w14:textId="3DEA0761" w:rsidR="005F5644" w:rsidRPr="009D0EAE" w:rsidRDefault="005F5644" w:rsidP="003D2C14">
      <w:pPr>
        <w:pStyle w:val="FeatureBox2"/>
      </w:pPr>
      <w:r w:rsidRPr="0063149A">
        <w:rPr>
          <w:rStyle w:val="Strong"/>
        </w:rPr>
        <w:t>Note:</w:t>
      </w:r>
      <w:r>
        <w:t xml:space="preserve"> to </w:t>
      </w:r>
      <w:r w:rsidR="00855732">
        <w:t xml:space="preserve">further </w:t>
      </w:r>
      <w:r>
        <w:t>support students</w:t>
      </w:r>
      <w:r w:rsidR="00855732">
        <w:t xml:space="preserve"> with their definition of healthy ageing,</w:t>
      </w:r>
      <w:r>
        <w:t xml:space="preserve"> </w:t>
      </w:r>
      <w:r w:rsidR="001114AB">
        <w:t>students m</w:t>
      </w:r>
      <w:r w:rsidR="006F28A3">
        <w:t>ight</w:t>
      </w:r>
      <w:r w:rsidR="001114AB">
        <w:t xml:space="preserve"> wish to view </w:t>
      </w:r>
      <w:r>
        <w:t xml:space="preserve">the </w:t>
      </w:r>
      <w:hyperlink r:id="rId10" w:history="1">
        <w:r w:rsidRPr="001114AB">
          <w:rPr>
            <w:rStyle w:val="Hyperlink"/>
          </w:rPr>
          <w:t>1</w:t>
        </w:r>
        <w:r w:rsidR="00CD5F86">
          <w:rPr>
            <w:rStyle w:val="Hyperlink"/>
          </w:rPr>
          <w:t xml:space="preserve"> </w:t>
        </w:r>
        <w:r w:rsidRPr="001114AB">
          <w:rPr>
            <w:rStyle w:val="Hyperlink"/>
          </w:rPr>
          <w:t>-</w:t>
        </w:r>
        <w:r w:rsidR="00CD5F86">
          <w:rPr>
            <w:rStyle w:val="Hyperlink"/>
          </w:rPr>
          <w:t xml:space="preserve"> </w:t>
        </w:r>
        <w:r w:rsidRPr="001114AB">
          <w:rPr>
            <w:rStyle w:val="Hyperlink"/>
          </w:rPr>
          <w:t>Live Well</w:t>
        </w:r>
        <w:r w:rsidR="005E5B50" w:rsidRPr="001114AB">
          <w:rPr>
            <w:rStyle w:val="Hyperlink"/>
          </w:rPr>
          <w:t xml:space="preserve"> (1:35)</w:t>
        </w:r>
      </w:hyperlink>
      <w:r>
        <w:t xml:space="preserve"> video</w:t>
      </w:r>
      <w:r w:rsidR="001114AB">
        <w:t>.</w:t>
      </w:r>
    </w:p>
    <w:p w14:paraId="3DEFD469" w14:textId="6ED9A9F6" w:rsidR="00360961" w:rsidRDefault="00360961" w:rsidP="00862E36">
      <w:pPr>
        <w:pStyle w:val="Heading3"/>
      </w:pPr>
      <w:bookmarkStart w:id="13" w:name="_Toc174439832"/>
      <w:r>
        <w:lastRenderedPageBreak/>
        <w:t>Introducing case studies</w:t>
      </w:r>
      <w:bookmarkEnd w:id="13"/>
    </w:p>
    <w:p w14:paraId="094D22C5" w14:textId="5629D98C" w:rsidR="00770BC1" w:rsidRDefault="00FB53EA" w:rsidP="009E74BA">
      <w:r>
        <w:t>U</w:t>
      </w:r>
      <w:r w:rsidR="00FE01FF">
        <w:t>sing the questions below</w:t>
      </w:r>
      <w:r w:rsidR="007D28AA">
        <w:t xml:space="preserve"> as a guide</w:t>
      </w:r>
      <w:r w:rsidR="006F64BC">
        <w:t xml:space="preserve">, </w:t>
      </w:r>
      <w:r>
        <w:t xml:space="preserve">students </w:t>
      </w:r>
      <w:r w:rsidR="00770BC1">
        <w:t xml:space="preserve">explore </w:t>
      </w:r>
      <w:r w:rsidR="006F64BC">
        <w:t xml:space="preserve">the following </w:t>
      </w:r>
      <w:r w:rsidR="00770BC1">
        <w:t>case studies</w:t>
      </w:r>
      <w:r w:rsidR="007B3EDD">
        <w:t xml:space="preserve"> to </w:t>
      </w:r>
      <w:r w:rsidR="007D28AA">
        <w:t xml:space="preserve">build their </w:t>
      </w:r>
      <w:r w:rsidR="00770BC1">
        <w:t>understand</w:t>
      </w:r>
      <w:r w:rsidR="00626AA9">
        <w:t>ing</w:t>
      </w:r>
      <w:r w:rsidR="00E04DED">
        <w:t xml:space="preserve"> of</w:t>
      </w:r>
      <w:r w:rsidR="00770BC1">
        <w:t xml:space="preserve"> older individuals</w:t>
      </w:r>
      <w:r w:rsidR="00626AA9">
        <w:t>’</w:t>
      </w:r>
      <w:r w:rsidR="00770BC1">
        <w:t xml:space="preserve"> experiences </w:t>
      </w:r>
      <w:r w:rsidR="007E0F83">
        <w:t>of ageing</w:t>
      </w:r>
      <w:r w:rsidR="00770BC1">
        <w:t xml:space="preserve"> and strategies </w:t>
      </w:r>
      <w:r w:rsidR="007E0F83">
        <w:t>they use</w:t>
      </w:r>
      <w:r w:rsidR="00770BC1">
        <w:t xml:space="preserve"> in optimising their physical, mental and social wellbeing</w:t>
      </w:r>
      <w:r w:rsidR="00626AA9">
        <w:t xml:space="preserve">. </w:t>
      </w:r>
      <w:r w:rsidR="0066226C">
        <w:t xml:space="preserve">Following this, students will </w:t>
      </w:r>
      <w:r w:rsidR="003720F3">
        <w:t xml:space="preserve">discuss </w:t>
      </w:r>
      <w:r w:rsidR="006534A2">
        <w:t>these case studies as a class.</w:t>
      </w:r>
    </w:p>
    <w:p w14:paraId="79E5E65F" w14:textId="77777777" w:rsidR="00E04DED" w:rsidRDefault="00E04DED" w:rsidP="00B01204">
      <w:pPr>
        <w:pStyle w:val="ListBullet"/>
      </w:pPr>
      <w:r>
        <w:t>How are people in these case studies leading active and healthy lives in their older age?</w:t>
      </w:r>
    </w:p>
    <w:p w14:paraId="03C3CA0B" w14:textId="5B51A143" w:rsidR="00E04DED" w:rsidRDefault="00E04DED" w:rsidP="00B01204">
      <w:pPr>
        <w:pStyle w:val="ListBullet"/>
      </w:pPr>
      <w:r>
        <w:t xml:space="preserve">What </w:t>
      </w:r>
      <w:r w:rsidR="004B0A9C">
        <w:t>motivates them to lead a healthy lifestyle?</w:t>
      </w:r>
    </w:p>
    <w:p w14:paraId="092AC178" w14:textId="77777777" w:rsidR="00E04DED" w:rsidRDefault="00E04DED" w:rsidP="00B01204">
      <w:pPr>
        <w:pStyle w:val="ListBullet"/>
      </w:pPr>
      <w:r>
        <w:t>What support structures do they have in place to support their lifestyle?</w:t>
      </w:r>
    </w:p>
    <w:p w14:paraId="10554F14" w14:textId="02DB929E" w:rsidR="00E04DED" w:rsidRPr="00382286" w:rsidRDefault="00382286" w:rsidP="009E74BA">
      <w:pPr>
        <w:rPr>
          <w:rStyle w:val="Strong"/>
        </w:rPr>
      </w:pPr>
      <w:r w:rsidRPr="00382286">
        <w:rPr>
          <w:rStyle w:val="Strong"/>
        </w:rPr>
        <w:t>Case studies</w:t>
      </w:r>
    </w:p>
    <w:p w14:paraId="30D06846" w14:textId="0BB9C537" w:rsidR="00770BC1" w:rsidRPr="00862E36" w:rsidRDefault="00000000" w:rsidP="00B01204">
      <w:pPr>
        <w:pStyle w:val="ListBullet"/>
        <w:rPr>
          <w:rStyle w:val="Hyperlink"/>
        </w:rPr>
      </w:pPr>
      <w:hyperlink r:id="rId11" w:history="1">
        <w:r w:rsidR="00770BC1" w:rsidRPr="00770BC1">
          <w:rPr>
            <w:rStyle w:val="Hyperlink"/>
          </w:rPr>
          <w:t>Australian’s getting better with age Ep 7 – Anne Birt</w:t>
        </w:r>
      </w:hyperlink>
      <w:r w:rsidR="003D10FA">
        <w:rPr>
          <w:rStyle w:val="Hyperlink"/>
        </w:rPr>
        <w:t xml:space="preserve"> (8:05)</w:t>
      </w:r>
    </w:p>
    <w:p w14:paraId="463D153A" w14:textId="17585687" w:rsidR="00770BC1" w:rsidRPr="00862E36" w:rsidRDefault="00000000" w:rsidP="00B01204">
      <w:pPr>
        <w:pStyle w:val="ListBullet"/>
        <w:rPr>
          <w:rStyle w:val="Hyperlink"/>
        </w:rPr>
      </w:pPr>
      <w:hyperlink r:id="rId12" w:history="1">
        <w:r w:rsidR="00770BC1" w:rsidRPr="00770BC1">
          <w:rPr>
            <w:rStyle w:val="Hyperlink"/>
          </w:rPr>
          <w:t xml:space="preserve">Australian’s getting better with age Ep 6 Margaret </w:t>
        </w:r>
        <w:proofErr w:type="spellStart"/>
        <w:r w:rsidR="00770BC1" w:rsidRPr="00770BC1">
          <w:rPr>
            <w:rStyle w:val="Hyperlink"/>
          </w:rPr>
          <w:t>Aurisch</w:t>
        </w:r>
        <w:proofErr w:type="spellEnd"/>
      </w:hyperlink>
      <w:r w:rsidR="003D10FA">
        <w:rPr>
          <w:rStyle w:val="Hyperlink"/>
        </w:rPr>
        <w:t xml:space="preserve"> (10:23)</w:t>
      </w:r>
    </w:p>
    <w:p w14:paraId="30643D12" w14:textId="16ACB055" w:rsidR="00770BC1" w:rsidRPr="00862E36" w:rsidRDefault="00000000" w:rsidP="00B01204">
      <w:pPr>
        <w:pStyle w:val="ListBullet"/>
        <w:rPr>
          <w:rStyle w:val="Hyperlink"/>
        </w:rPr>
      </w:pPr>
      <w:hyperlink r:id="rId13" w:history="1">
        <w:r w:rsidR="00770BC1" w:rsidRPr="00770BC1">
          <w:rPr>
            <w:rStyle w:val="Hyperlink"/>
          </w:rPr>
          <w:t xml:space="preserve">Happy 100th </w:t>
        </w:r>
        <w:r w:rsidR="00721137">
          <w:rPr>
            <w:rStyle w:val="Hyperlink"/>
          </w:rPr>
          <w:t>B</w:t>
        </w:r>
        <w:r w:rsidR="00770BC1" w:rsidRPr="00770BC1">
          <w:rPr>
            <w:rStyle w:val="Hyperlink"/>
          </w:rPr>
          <w:t>irthday Edna</w:t>
        </w:r>
      </w:hyperlink>
      <w:r w:rsidR="0090751F">
        <w:rPr>
          <w:rStyle w:val="Hyperlink"/>
        </w:rPr>
        <w:t xml:space="preserve"> (1:56)</w:t>
      </w:r>
    </w:p>
    <w:p w14:paraId="04B80801" w14:textId="3BB33685" w:rsidR="00862E36" w:rsidRPr="00862E36" w:rsidRDefault="00000000" w:rsidP="00B01204">
      <w:pPr>
        <w:pStyle w:val="ListBullet"/>
        <w:rPr>
          <w:color w:val="2F5496" w:themeColor="accent1" w:themeShade="BF"/>
          <w:u w:val="single"/>
        </w:rPr>
      </w:pPr>
      <w:hyperlink r:id="rId14" w:history="1">
        <w:r w:rsidR="00862E36" w:rsidRPr="00862E36">
          <w:rPr>
            <w:rStyle w:val="Hyperlink"/>
          </w:rPr>
          <w:t>NSW Active and Healthy</w:t>
        </w:r>
      </w:hyperlink>
      <w:r w:rsidR="00862E36" w:rsidRPr="00D37DFB">
        <w:t xml:space="preserve"> </w:t>
      </w:r>
      <w:r w:rsidR="00862E36">
        <w:t>web</w:t>
      </w:r>
      <w:r w:rsidR="00862E36" w:rsidRPr="00D37DFB">
        <w:t>page</w:t>
      </w:r>
    </w:p>
    <w:p w14:paraId="348F1E28" w14:textId="653F6E8C" w:rsidR="00770BC1" w:rsidRDefault="00000000" w:rsidP="00B01204">
      <w:pPr>
        <w:pStyle w:val="ListBullet"/>
        <w:rPr>
          <w:rStyle w:val="Hyperlink"/>
        </w:rPr>
      </w:pPr>
      <w:hyperlink r:id="rId15" w:history="1">
        <w:r w:rsidR="00770BC1" w:rsidRPr="00770BC1">
          <w:rPr>
            <w:rStyle w:val="Hyperlink"/>
          </w:rPr>
          <w:t xml:space="preserve">Active </w:t>
        </w:r>
        <w:r w:rsidR="00721137">
          <w:rPr>
            <w:rStyle w:val="Hyperlink"/>
          </w:rPr>
          <w:t>&amp;</w:t>
        </w:r>
        <w:r w:rsidR="00770BC1" w:rsidRPr="00770BC1">
          <w:rPr>
            <w:rStyle w:val="Hyperlink"/>
          </w:rPr>
          <w:t xml:space="preserve"> Healthy NSW – Terry’s Story</w:t>
        </w:r>
      </w:hyperlink>
      <w:r w:rsidR="0090751F">
        <w:rPr>
          <w:rStyle w:val="Hyperlink"/>
        </w:rPr>
        <w:t xml:space="preserve"> (2:09)</w:t>
      </w:r>
    </w:p>
    <w:p w14:paraId="1600F030" w14:textId="4D80CFB8" w:rsidR="000C58CD" w:rsidRPr="00862E36" w:rsidRDefault="00000000" w:rsidP="00B01204">
      <w:pPr>
        <w:pStyle w:val="ListBullet"/>
        <w:rPr>
          <w:rStyle w:val="Hyperlink"/>
        </w:rPr>
      </w:pPr>
      <w:hyperlink r:id="rId16" w:history="1">
        <w:r w:rsidR="000C58CD" w:rsidRPr="00A9205C">
          <w:rPr>
            <w:rStyle w:val="Hyperlink"/>
          </w:rPr>
          <w:t>Senior Australian of the Year</w:t>
        </w:r>
        <w:r w:rsidR="00A9205C" w:rsidRPr="00A9205C">
          <w:rPr>
            <w:rStyle w:val="Hyperlink"/>
          </w:rPr>
          <w:t xml:space="preserve"> Award videos</w:t>
        </w:r>
      </w:hyperlink>
    </w:p>
    <w:p w14:paraId="567A46C9" w14:textId="61AD9E08" w:rsidR="005C126A" w:rsidRDefault="005C126A" w:rsidP="005C126A">
      <w:pPr>
        <w:pStyle w:val="FeatureBox2"/>
      </w:pPr>
      <w:r>
        <w:rPr>
          <w:b/>
          <w:bCs/>
        </w:rPr>
        <w:t>N</w:t>
      </w:r>
      <w:r w:rsidRPr="6400ADF6">
        <w:rPr>
          <w:b/>
          <w:bCs/>
        </w:rPr>
        <w:t>ote:</w:t>
      </w:r>
      <w:r>
        <w:t xml:space="preserve"> </w:t>
      </w:r>
      <w:r w:rsidRPr="009438BB">
        <w:t xml:space="preserve">consider different ways to share the videos among your students so that all the videos are collectively viewed. This ensures </w:t>
      </w:r>
      <w:r w:rsidR="00DE588F">
        <w:t>a diverse view of the lives of older Australian</w:t>
      </w:r>
      <w:r w:rsidR="00721137">
        <w:t>s</w:t>
      </w:r>
      <w:r w:rsidR="00DE588F">
        <w:t xml:space="preserve"> </w:t>
      </w:r>
      <w:r w:rsidR="00721137">
        <w:t xml:space="preserve">are </w:t>
      </w:r>
      <w:r w:rsidR="00DE588F">
        <w:t>r</w:t>
      </w:r>
      <w:r w:rsidRPr="009438BB">
        <w:t>e</w:t>
      </w:r>
      <w:r w:rsidR="00DE588F">
        <w:t>pre</w:t>
      </w:r>
      <w:r w:rsidRPr="009438BB">
        <w:t>sented in your classroom discussions</w:t>
      </w:r>
      <w:r>
        <w:t>.</w:t>
      </w:r>
    </w:p>
    <w:p w14:paraId="7BA7ED2A" w14:textId="31E803E2" w:rsidR="00181654" w:rsidRDefault="00181654" w:rsidP="00181654">
      <w:pPr>
        <w:pStyle w:val="Heading4"/>
      </w:pPr>
      <w:r>
        <w:t>Interview</w:t>
      </w:r>
    </w:p>
    <w:p w14:paraId="7262DC92" w14:textId="683E6D0A" w:rsidR="00181654" w:rsidRDefault="00626AA9" w:rsidP="008D539B">
      <w:r>
        <w:t>Students are to interview an older person</w:t>
      </w:r>
      <w:r w:rsidR="00B17192">
        <w:t xml:space="preserve"> and create a profile</w:t>
      </w:r>
      <w:r>
        <w:t xml:space="preserve"> about their health</w:t>
      </w:r>
      <w:r w:rsidR="001464EF">
        <w:t xml:space="preserve"> as an older person. </w:t>
      </w:r>
      <w:r w:rsidR="00BA04F4">
        <w:t xml:space="preserve">They will complete a </w:t>
      </w:r>
      <w:hyperlink r:id="rId17" w:history="1">
        <w:r w:rsidR="00721137">
          <w:rPr>
            <w:rStyle w:val="Hyperlink"/>
          </w:rPr>
          <w:t>T</w:t>
        </w:r>
        <w:r w:rsidR="00324CB0" w:rsidRPr="0029327A">
          <w:rPr>
            <w:rStyle w:val="Hyperlink"/>
          </w:rPr>
          <w:t>hink-</w:t>
        </w:r>
        <w:r w:rsidR="00721137">
          <w:rPr>
            <w:rStyle w:val="Hyperlink"/>
          </w:rPr>
          <w:t>P</w:t>
        </w:r>
        <w:r w:rsidR="00324CB0" w:rsidRPr="0029327A">
          <w:rPr>
            <w:rStyle w:val="Hyperlink"/>
          </w:rPr>
          <w:t>air-</w:t>
        </w:r>
        <w:r w:rsidR="00721137">
          <w:rPr>
            <w:rStyle w:val="Hyperlink"/>
          </w:rPr>
          <w:t>S</w:t>
        </w:r>
        <w:r w:rsidR="00324CB0" w:rsidRPr="0029327A">
          <w:rPr>
            <w:rStyle w:val="Hyperlink"/>
          </w:rPr>
          <w:t>hare</w:t>
        </w:r>
      </w:hyperlink>
      <w:r w:rsidR="00324CB0" w:rsidRPr="00A91F7E">
        <w:t xml:space="preserve"> </w:t>
      </w:r>
      <w:r w:rsidR="00BA04F4">
        <w:t>of their profile.</w:t>
      </w:r>
      <w:r w:rsidR="0077582C">
        <w:t xml:space="preserve"> </w:t>
      </w:r>
      <w:r w:rsidR="00181654" w:rsidRPr="00181654">
        <w:t>Students will use</w:t>
      </w:r>
      <w:r w:rsidR="00181654">
        <w:t xml:space="preserve"> this </w:t>
      </w:r>
      <w:r w:rsidR="00F6549C">
        <w:t xml:space="preserve">profile to </w:t>
      </w:r>
      <w:r w:rsidR="00181654">
        <w:t xml:space="preserve">compare </w:t>
      </w:r>
      <w:r w:rsidR="00181654" w:rsidRPr="00181654">
        <w:t>to the broader data set around the growing and ageing population.</w:t>
      </w:r>
      <w:r w:rsidR="002207CC">
        <w:t xml:space="preserve"> Sample questions have been listed below. </w:t>
      </w:r>
      <w:r w:rsidR="00D83BDB">
        <w:t xml:space="preserve">Students must cover the following </w:t>
      </w:r>
      <w:r w:rsidR="008B3DE4">
        <w:t xml:space="preserve">main </w:t>
      </w:r>
      <w:r w:rsidR="00D83BDB">
        <w:t>areas when interviewing their older person.</w:t>
      </w:r>
    </w:p>
    <w:p w14:paraId="10D3DDEB" w14:textId="66602B6A" w:rsidR="004E22C5" w:rsidRPr="0077582C" w:rsidRDefault="004E22C5" w:rsidP="0077582C">
      <w:pPr>
        <w:pStyle w:val="Heading5"/>
      </w:pPr>
      <w:r w:rsidRPr="0077582C">
        <w:lastRenderedPageBreak/>
        <w:t>Physical health</w:t>
      </w:r>
      <w:r w:rsidR="00B57AB2" w:rsidRPr="0077582C">
        <w:t xml:space="preserve"> and activity</w:t>
      </w:r>
    </w:p>
    <w:p w14:paraId="103762D9" w14:textId="409B2219" w:rsidR="00181654" w:rsidRDefault="009F651C" w:rsidP="00B01204">
      <w:pPr>
        <w:pStyle w:val="ListBullet"/>
      </w:pPr>
      <w:r>
        <w:t>Are you physically active? How do you incorporate this into your daily routine?</w:t>
      </w:r>
    </w:p>
    <w:p w14:paraId="46FBB1C5" w14:textId="412413BE" w:rsidR="00781D55" w:rsidRDefault="008E4DDC" w:rsidP="00B01204">
      <w:pPr>
        <w:pStyle w:val="ListBullet"/>
      </w:pPr>
      <w:r>
        <w:t>If comfortable sharing, h</w:t>
      </w:r>
      <w:r w:rsidR="00781D55">
        <w:t>ow do you manage any chronic conditions or diseases you might have?</w:t>
      </w:r>
    </w:p>
    <w:p w14:paraId="15DEF12D" w14:textId="26433E54" w:rsidR="00B57AB2" w:rsidRDefault="00B57AB2" w:rsidP="00B01204">
      <w:pPr>
        <w:pStyle w:val="ListBullet"/>
      </w:pPr>
      <w:r>
        <w:t>How do you approach nutrition and diet to support your health?</w:t>
      </w:r>
    </w:p>
    <w:p w14:paraId="44868BB1" w14:textId="467165CA" w:rsidR="00AB6698" w:rsidRDefault="00AB6698" w:rsidP="0077582C">
      <w:pPr>
        <w:pStyle w:val="Heading5"/>
      </w:pPr>
      <w:r>
        <w:t xml:space="preserve">Mental </w:t>
      </w:r>
      <w:r w:rsidR="00641837">
        <w:t>h</w:t>
      </w:r>
      <w:r>
        <w:t>ealth</w:t>
      </w:r>
    </w:p>
    <w:p w14:paraId="6B64AFCB" w14:textId="2D0BB8A3" w:rsidR="00D45A6E" w:rsidRDefault="00D45A6E" w:rsidP="00B01204">
      <w:pPr>
        <w:pStyle w:val="ListBullet"/>
      </w:pPr>
      <w:r>
        <w:t>What activities or hobbies do you engage in that bring you joy and fulfillment?</w:t>
      </w:r>
    </w:p>
    <w:p w14:paraId="752068FA" w14:textId="20EE2741" w:rsidR="00352240" w:rsidRDefault="00352240" w:rsidP="00B01204">
      <w:pPr>
        <w:pStyle w:val="ListBullet"/>
      </w:pPr>
      <w:r>
        <w:t>What practices or activities help you maintain your mental health and cognitive function?</w:t>
      </w:r>
    </w:p>
    <w:p w14:paraId="59D9B54C" w14:textId="1E8BAA60" w:rsidR="00352240" w:rsidRDefault="00352240" w:rsidP="00B01204">
      <w:pPr>
        <w:pStyle w:val="ListBullet"/>
      </w:pPr>
      <w:r>
        <w:t>In what ways do you stay connected with family, friends and the community?</w:t>
      </w:r>
    </w:p>
    <w:p w14:paraId="7E060631" w14:textId="27579D3A" w:rsidR="00641837" w:rsidRDefault="00641837" w:rsidP="0077582C">
      <w:pPr>
        <w:pStyle w:val="Heading5"/>
      </w:pPr>
      <w:r>
        <w:t>Social health</w:t>
      </w:r>
    </w:p>
    <w:p w14:paraId="4D9054DF" w14:textId="6F13E888" w:rsidR="00641837" w:rsidRDefault="00641837" w:rsidP="00B01204">
      <w:pPr>
        <w:pStyle w:val="ListBullet"/>
      </w:pPr>
      <w:r>
        <w:t>What kind of environments (</w:t>
      </w:r>
      <w:r w:rsidR="00795D72">
        <w:t>for example</w:t>
      </w:r>
      <w:r>
        <w:t>, home, community) have you found most supportive as you age?</w:t>
      </w:r>
    </w:p>
    <w:p w14:paraId="1ED6353B" w14:textId="69CCAA6E" w:rsidR="00641837" w:rsidRDefault="0063149A" w:rsidP="00B01204">
      <w:pPr>
        <w:pStyle w:val="ListBullet"/>
      </w:pPr>
      <w:r>
        <w:t>Is</w:t>
      </w:r>
      <w:r w:rsidR="00641837">
        <w:t xml:space="preserve"> there any volunteer work, community groups or other activities you participate in regularly?</w:t>
      </w:r>
    </w:p>
    <w:p w14:paraId="3327A935" w14:textId="5C8DB1BB" w:rsidR="00641837" w:rsidRDefault="00641837" w:rsidP="0077582C">
      <w:pPr>
        <w:pStyle w:val="Heading5"/>
      </w:pPr>
      <w:r>
        <w:t>Healthcare access</w:t>
      </w:r>
    </w:p>
    <w:p w14:paraId="26157793" w14:textId="77777777" w:rsidR="005D756F" w:rsidRDefault="005D756F" w:rsidP="00B01204">
      <w:pPr>
        <w:pStyle w:val="ListBullet"/>
      </w:pPr>
      <w:r>
        <w:t>How accessible is healthcare for you, and what role does it play in your health maintenance?</w:t>
      </w:r>
    </w:p>
    <w:p w14:paraId="5BD153A9" w14:textId="195EFB99" w:rsidR="00AB28D1" w:rsidRDefault="00AB28D1" w:rsidP="00B01204">
      <w:pPr>
        <w:pStyle w:val="ListBullet"/>
      </w:pPr>
      <w:r>
        <w:t>What preventative measure</w:t>
      </w:r>
      <w:r w:rsidR="007664AA">
        <w:t>s</w:t>
      </w:r>
      <w:r>
        <w:t xml:space="preserve"> do you take to manage your health?</w:t>
      </w:r>
    </w:p>
    <w:p w14:paraId="330A3FED" w14:textId="63A9D25E" w:rsidR="00AB28D1" w:rsidRDefault="00AB28D1" w:rsidP="0077582C">
      <w:pPr>
        <w:pStyle w:val="Heading5"/>
      </w:pPr>
      <w:r>
        <w:t>Reflections and advice</w:t>
      </w:r>
    </w:p>
    <w:p w14:paraId="44A06BE8" w14:textId="77777777" w:rsidR="00214879" w:rsidRDefault="00214879" w:rsidP="00B01204">
      <w:pPr>
        <w:pStyle w:val="ListBullet"/>
      </w:pPr>
      <w:r>
        <w:t>Looking back, what key factors do you believe have contributed to your ability to age healthily?</w:t>
      </w:r>
    </w:p>
    <w:p w14:paraId="1327AFE6" w14:textId="77777777" w:rsidR="00AB28D1" w:rsidRDefault="00AB28D1" w:rsidP="00B01204">
      <w:pPr>
        <w:pStyle w:val="ListBullet"/>
      </w:pPr>
      <w:r>
        <w:t>How do you ensure you live with dignity and respect as you age?</w:t>
      </w:r>
    </w:p>
    <w:p w14:paraId="667AD1E1" w14:textId="57D1A998" w:rsidR="005D756F" w:rsidRDefault="00214879" w:rsidP="00B01204">
      <w:pPr>
        <w:pStyle w:val="ListBullet"/>
      </w:pPr>
      <w:r>
        <w:t>What advice would you give to younger generations about preparing for healthy ageing?</w:t>
      </w:r>
    </w:p>
    <w:p w14:paraId="12991991" w14:textId="2CBD0A6E" w:rsidR="008E3D22" w:rsidRPr="008E3D22" w:rsidRDefault="006843DC" w:rsidP="008E3D22">
      <w:pPr>
        <w:pStyle w:val="Heading4"/>
      </w:pPr>
      <w:r>
        <w:lastRenderedPageBreak/>
        <w:t>Whole class discussion</w:t>
      </w:r>
    </w:p>
    <w:p w14:paraId="6AD747BC" w14:textId="1BB3C100" w:rsidR="00467A8A" w:rsidRDefault="0031589C" w:rsidP="00C866C6">
      <w:r>
        <w:t xml:space="preserve">Students </w:t>
      </w:r>
      <w:r w:rsidR="008B3DE4">
        <w:t>form pairs</w:t>
      </w:r>
      <w:r w:rsidR="00BD456F">
        <w:t xml:space="preserve"> or small groups</w:t>
      </w:r>
      <w:r w:rsidR="00E45491">
        <w:t xml:space="preserve"> and </w:t>
      </w:r>
      <w:r w:rsidR="0097185F">
        <w:t xml:space="preserve">discuss their older person </w:t>
      </w:r>
      <w:r>
        <w:t>profile</w:t>
      </w:r>
      <w:r w:rsidR="00E45491">
        <w:t xml:space="preserve"> using the </w:t>
      </w:r>
      <w:r w:rsidR="006E0784">
        <w:t xml:space="preserve">questions below. </w:t>
      </w:r>
      <w:r w:rsidR="00E45491">
        <w:t>Student</w:t>
      </w:r>
      <w:r w:rsidR="006E0784">
        <w:t xml:space="preserve">s then </w:t>
      </w:r>
      <w:r w:rsidR="00890695">
        <w:t>engage in a whole class</w:t>
      </w:r>
      <w:r w:rsidR="006E0784">
        <w:t xml:space="preserve"> discuss</w:t>
      </w:r>
      <w:r w:rsidR="00890695">
        <w:t>ion</w:t>
      </w:r>
      <w:r w:rsidR="006E0784">
        <w:t xml:space="preserve"> </w:t>
      </w:r>
      <w:r w:rsidR="00890695">
        <w:t xml:space="preserve">about </w:t>
      </w:r>
      <w:r w:rsidR="00CC0357">
        <w:t xml:space="preserve">their </w:t>
      </w:r>
      <w:r w:rsidR="0063149A">
        <w:t>group’s</w:t>
      </w:r>
      <w:r w:rsidR="00CC0357">
        <w:t xml:space="preserve"> findings in relation to </w:t>
      </w:r>
      <w:r w:rsidR="00B42D13">
        <w:t>healthy ageing and what influences it.</w:t>
      </w:r>
    </w:p>
    <w:p w14:paraId="746A6121" w14:textId="72455EE8" w:rsidR="00F6549C" w:rsidRDefault="00F6549C" w:rsidP="00B01204">
      <w:pPr>
        <w:pStyle w:val="ListBullet"/>
      </w:pPr>
      <w:r>
        <w:t>What are the similarities or differences between group member profiles?</w:t>
      </w:r>
    </w:p>
    <w:p w14:paraId="7AB88382" w14:textId="6BB33612" w:rsidR="00467A8A" w:rsidRDefault="00467A8A" w:rsidP="00B01204">
      <w:pPr>
        <w:pStyle w:val="ListBullet"/>
      </w:pPr>
      <w:r>
        <w:t>Is their</w:t>
      </w:r>
      <w:r w:rsidR="0031589C">
        <w:t xml:space="preserve"> profile</w:t>
      </w:r>
      <w:r>
        <w:t xml:space="preserve"> </w:t>
      </w:r>
      <w:r w:rsidR="0031589C">
        <w:t xml:space="preserve">an </w:t>
      </w:r>
      <w:r>
        <w:t>example of healthy ageing</w:t>
      </w:r>
      <w:r w:rsidR="00EC5F56">
        <w:t>?</w:t>
      </w:r>
      <w:r w:rsidR="0031589C">
        <w:t xml:space="preserve"> </w:t>
      </w:r>
      <w:r>
        <w:t>Why or why not?</w:t>
      </w:r>
      <w:r w:rsidR="00292B30">
        <w:t xml:space="preserve"> What improvements </w:t>
      </w:r>
      <w:r w:rsidR="0093529A">
        <w:t>would you recommend?</w:t>
      </w:r>
    </w:p>
    <w:p w14:paraId="567A8736" w14:textId="552E30E5" w:rsidR="00F6549C" w:rsidRDefault="001A5281" w:rsidP="00B01204">
      <w:pPr>
        <w:pStyle w:val="ListBullet"/>
      </w:pPr>
      <w:r>
        <w:t xml:space="preserve">What can </w:t>
      </w:r>
      <w:r w:rsidR="00F6549C">
        <w:t>be</w:t>
      </w:r>
      <w:r>
        <w:t xml:space="preserve"> determine</w:t>
      </w:r>
      <w:r w:rsidR="00F6549C">
        <w:t>d</w:t>
      </w:r>
      <w:r>
        <w:t xml:space="preserve"> as significant influences </w:t>
      </w:r>
      <w:r w:rsidR="00C87E13">
        <w:t>i</w:t>
      </w:r>
      <w:r>
        <w:t>n</w:t>
      </w:r>
      <w:r w:rsidR="006843DC">
        <w:t xml:space="preserve"> shaping the quality of life for </w:t>
      </w:r>
      <w:r>
        <w:t>older Australians?</w:t>
      </w:r>
      <w:r w:rsidR="006843DC">
        <w:t xml:space="preserve"> </w:t>
      </w:r>
      <w:r w:rsidR="00292B30">
        <w:t xml:space="preserve">Why? For </w:t>
      </w:r>
      <w:r w:rsidR="00C87E13">
        <w:t>example,</w:t>
      </w:r>
      <w:r w:rsidR="00292B30">
        <w:t xml:space="preserve"> maintaining good</w:t>
      </w:r>
      <w:r w:rsidR="00292B30" w:rsidRPr="004000BF">
        <w:t xml:space="preserve"> physical health, </w:t>
      </w:r>
      <w:r w:rsidR="00E645E7">
        <w:t>maintain</w:t>
      </w:r>
      <w:r w:rsidR="00EC5F56">
        <w:t>ing</w:t>
      </w:r>
      <w:r w:rsidR="00E645E7">
        <w:t xml:space="preserve"> good </w:t>
      </w:r>
      <w:r w:rsidR="00292B30" w:rsidRPr="004000BF">
        <w:t>mental health, social connections, access to healthcare, financial stability</w:t>
      </w:r>
      <w:r w:rsidR="00292B30">
        <w:t xml:space="preserve"> an</w:t>
      </w:r>
      <w:r w:rsidR="00292B30" w:rsidRPr="004000BF">
        <w:t xml:space="preserve">d </w:t>
      </w:r>
      <w:r w:rsidR="00292B30">
        <w:t xml:space="preserve">having supportive </w:t>
      </w:r>
      <w:r w:rsidR="00292B30" w:rsidRPr="004000BF">
        <w:t>living environments</w:t>
      </w:r>
      <w:r w:rsidR="00292B30">
        <w:t xml:space="preserve">, </w:t>
      </w:r>
      <w:r w:rsidR="00292B30" w:rsidRPr="004000BF">
        <w:t>cultural practices, personal attitudes and societal support systems</w:t>
      </w:r>
      <w:r w:rsidR="00EC5F56">
        <w:t>.</w:t>
      </w:r>
    </w:p>
    <w:p w14:paraId="67F150FF" w14:textId="30FF9F3A" w:rsidR="00292B30" w:rsidRDefault="00292B30" w:rsidP="00B01204">
      <w:pPr>
        <w:pStyle w:val="ListBullet"/>
      </w:pPr>
      <w:r>
        <w:t>Students now</w:t>
      </w:r>
      <w:r w:rsidR="00F11A0D">
        <w:t xml:space="preserve"> return to their original definition of health ag</w:t>
      </w:r>
      <w:r w:rsidR="00100B62">
        <w:t>e</w:t>
      </w:r>
      <w:r w:rsidR="00F11A0D">
        <w:t>ing and refine</w:t>
      </w:r>
      <w:r w:rsidR="00A170EA">
        <w:t xml:space="preserve"> it</w:t>
      </w:r>
      <w:r w:rsidR="00F11A0D">
        <w:t>.</w:t>
      </w:r>
    </w:p>
    <w:p w14:paraId="6F79217E" w14:textId="07F88CC5" w:rsidR="001A5281" w:rsidRPr="00A220CE" w:rsidRDefault="001A5281" w:rsidP="001A5281">
      <w:pPr>
        <w:pStyle w:val="FeatureBox"/>
        <w:rPr>
          <w:rStyle w:val="Strong"/>
        </w:rPr>
      </w:pPr>
      <w:r w:rsidRPr="00B54B47">
        <w:rPr>
          <w:rStyle w:val="Strong"/>
        </w:rPr>
        <w:t>Healthy ageing</w:t>
      </w:r>
    </w:p>
    <w:p w14:paraId="1506CC2C" w14:textId="19F3C066" w:rsidR="001A5281" w:rsidRDefault="001A5281" w:rsidP="001A5281">
      <w:pPr>
        <w:pStyle w:val="FeatureBox"/>
      </w:pPr>
      <w:r>
        <w:t>I</w:t>
      </w:r>
      <w:r w:rsidRPr="00A220CE">
        <w:t>nvolves creating environments and opportunities that empower individuals to pursue what they value and remain active throughout their lives</w:t>
      </w:r>
      <w:r>
        <w:t xml:space="preserve">. </w:t>
      </w:r>
      <w:r w:rsidRPr="00A220CE">
        <w:t>It involves optimi</w:t>
      </w:r>
      <w:r w:rsidR="00100B62">
        <w:t>s</w:t>
      </w:r>
      <w:r w:rsidRPr="00A220CE">
        <w:t>ing physical, mental and social wellbeing throughout the</w:t>
      </w:r>
      <w:r w:rsidR="00292B30">
        <w:t>ir</w:t>
      </w:r>
      <w:r w:rsidRPr="00A220CE">
        <w:t xml:space="preserve"> life course, while also preventing or managing chronic diseases and conditions commonly associated with ag</w:t>
      </w:r>
      <w:r w:rsidR="00100B62">
        <w:t>e</w:t>
      </w:r>
      <w:r w:rsidRPr="00A220CE">
        <w:t>ing. The goal is to enable older adults to live independently, with dignity, and to continue to participate in society as actively as possible. It encompasses various factors such as nutrition, physical activity, mental health, social connections and access to healthcare.</w:t>
      </w:r>
    </w:p>
    <w:p w14:paraId="10766F47" w14:textId="780EC224" w:rsidR="00292B30" w:rsidRDefault="00292B30" w:rsidP="006229E3">
      <w:r>
        <w:t>Explain to students that there are several f</w:t>
      </w:r>
      <w:r w:rsidRPr="004000BF">
        <w:t>actors</w:t>
      </w:r>
      <w:r>
        <w:t xml:space="preserve"> that play an important role in shaping the quality of life for older Australians. </w:t>
      </w:r>
      <w:r w:rsidR="00D25FF4">
        <w:t xml:space="preserve">These all </w:t>
      </w:r>
      <w:r w:rsidRPr="004000BF">
        <w:t>contribute to their overall experience of ageing, highlighting the need for tailored approaches to support their diverse needs.</w:t>
      </w:r>
    </w:p>
    <w:p w14:paraId="761A0EF4" w14:textId="3502CEF8" w:rsidR="00676CB4" w:rsidRDefault="00DE6719" w:rsidP="002134A8">
      <w:pPr>
        <w:pStyle w:val="Heading2"/>
      </w:pPr>
      <w:bookmarkStart w:id="14" w:name="_Toc174439833"/>
      <w:r>
        <w:t xml:space="preserve">Snapshot </w:t>
      </w:r>
      <w:r w:rsidR="00910AD1">
        <w:t>–</w:t>
      </w:r>
      <w:r>
        <w:t xml:space="preserve"> </w:t>
      </w:r>
      <w:r w:rsidR="00910AD1">
        <w:t>W</w:t>
      </w:r>
      <w:r w:rsidR="002134A8">
        <w:t>hat does the data tell us?</w:t>
      </w:r>
      <w:bookmarkEnd w:id="14"/>
    </w:p>
    <w:p w14:paraId="461767C2" w14:textId="77EEE1A1" w:rsidR="003120A8" w:rsidRPr="00965207" w:rsidRDefault="008733B2" w:rsidP="002134A8">
      <w:r>
        <w:t>S</w:t>
      </w:r>
      <w:r w:rsidR="0075788E">
        <w:t>tudents</w:t>
      </w:r>
      <w:r w:rsidR="007B20D6">
        <w:t xml:space="preserve"> are to </w:t>
      </w:r>
      <w:r w:rsidR="002134A8">
        <w:t xml:space="preserve">create </w:t>
      </w:r>
      <w:r w:rsidR="00DE6719">
        <w:t xml:space="preserve">an </w:t>
      </w:r>
      <w:r w:rsidR="000D5B7B">
        <w:t xml:space="preserve">infographic on the health </w:t>
      </w:r>
      <w:r w:rsidR="000D5B7B" w:rsidRPr="00965207">
        <w:t xml:space="preserve">status and behaviours of older people in Australia. </w:t>
      </w:r>
      <w:r w:rsidR="00DE6719" w:rsidRPr="00965207">
        <w:t xml:space="preserve">This </w:t>
      </w:r>
      <w:r w:rsidR="00905B5E">
        <w:t xml:space="preserve">infographic </w:t>
      </w:r>
      <w:r w:rsidR="00DE6719" w:rsidRPr="00965207">
        <w:t xml:space="preserve">should be a typical </w:t>
      </w:r>
      <w:r w:rsidR="003120A8" w:rsidRPr="00965207">
        <w:t>profile of a</w:t>
      </w:r>
      <w:r w:rsidR="00CE125D" w:rsidRPr="00965207">
        <w:t>n</w:t>
      </w:r>
      <w:r w:rsidR="003120A8" w:rsidRPr="00965207">
        <w:t xml:space="preserve"> older person</w:t>
      </w:r>
      <w:r w:rsidR="00DE6719" w:rsidRPr="00965207">
        <w:t xml:space="preserve"> looking at data </w:t>
      </w:r>
      <w:r w:rsidR="000B599F">
        <w:t>relating to</w:t>
      </w:r>
      <w:r w:rsidR="00DE6719" w:rsidRPr="00965207">
        <w:t>:</w:t>
      </w:r>
    </w:p>
    <w:p w14:paraId="63FF7D7F" w14:textId="53982C05" w:rsidR="00F637A1" w:rsidRPr="00965207" w:rsidRDefault="008B6E25" w:rsidP="00B01204">
      <w:pPr>
        <w:pStyle w:val="ListBullet"/>
      </w:pPr>
      <w:r w:rsidRPr="00965207">
        <w:t>common</w:t>
      </w:r>
      <w:r w:rsidR="00255717" w:rsidRPr="00965207">
        <w:t xml:space="preserve"> causes of morbidity</w:t>
      </w:r>
      <w:r w:rsidR="003C2B93" w:rsidRPr="00965207">
        <w:t xml:space="preserve"> and mortality</w:t>
      </w:r>
    </w:p>
    <w:p w14:paraId="2EE70C40" w14:textId="7EBC4DEB" w:rsidR="00A235F1" w:rsidRPr="00965207" w:rsidRDefault="00A04EE8" w:rsidP="00B01204">
      <w:pPr>
        <w:pStyle w:val="ListBullet"/>
      </w:pPr>
      <w:r w:rsidRPr="00965207">
        <w:lastRenderedPageBreak/>
        <w:t>l</w:t>
      </w:r>
      <w:r w:rsidR="00A235F1" w:rsidRPr="00965207">
        <w:t>eading causes of burden of disease</w:t>
      </w:r>
    </w:p>
    <w:p w14:paraId="3A5A1716" w14:textId="74EBA451" w:rsidR="003120A8" w:rsidRPr="00094702" w:rsidRDefault="00A04EE8" w:rsidP="00B01204">
      <w:pPr>
        <w:pStyle w:val="ListBullet"/>
      </w:pPr>
      <w:r w:rsidRPr="00094702">
        <w:t xml:space="preserve">top lifestyle </w:t>
      </w:r>
      <w:r w:rsidR="00E94558" w:rsidRPr="00094702">
        <w:t>related risk factors</w:t>
      </w:r>
      <w:r w:rsidR="004401CF" w:rsidRPr="00094702">
        <w:t>, for example,</w:t>
      </w:r>
      <w:r w:rsidRPr="00094702">
        <w:t xml:space="preserve"> physical activity, nutrition, </w:t>
      </w:r>
      <w:r w:rsidR="0074144B" w:rsidRPr="00094702">
        <w:t>obesity, smoking, alcohol</w:t>
      </w:r>
    </w:p>
    <w:p w14:paraId="5478AD39" w14:textId="47CADAFB" w:rsidR="00DE6719" w:rsidRPr="00094702" w:rsidRDefault="00ED06D1" w:rsidP="00B01204">
      <w:pPr>
        <w:pStyle w:val="ListBullet"/>
      </w:pPr>
      <w:r w:rsidRPr="00094702">
        <w:t>h</w:t>
      </w:r>
      <w:r w:rsidR="00DD658D" w:rsidRPr="00094702">
        <w:t>ealth service</w:t>
      </w:r>
      <w:r w:rsidRPr="00094702">
        <w:t xml:space="preserve"> use</w:t>
      </w:r>
      <w:r w:rsidR="008263BF" w:rsidRPr="00094702">
        <w:t xml:space="preserve"> and resources</w:t>
      </w:r>
      <w:r w:rsidR="00DD658D" w:rsidRPr="00094702">
        <w:t xml:space="preserve"> accessed</w:t>
      </w:r>
      <w:r w:rsidR="004401CF" w:rsidRPr="00094702">
        <w:t>, for example</w:t>
      </w:r>
      <w:r w:rsidR="00100B62">
        <w:t>,</w:t>
      </w:r>
      <w:r w:rsidR="000B04F8" w:rsidRPr="00094702">
        <w:t xml:space="preserve"> </w:t>
      </w:r>
      <w:r w:rsidR="001A758D" w:rsidRPr="00094702">
        <w:t>GP, pharmaceuticals</w:t>
      </w:r>
    </w:p>
    <w:p w14:paraId="7A903995" w14:textId="4C3FB5AF" w:rsidR="00A64D3A" w:rsidRPr="00094702" w:rsidRDefault="00A64D3A" w:rsidP="00B01204">
      <w:pPr>
        <w:pStyle w:val="ListBullet"/>
      </w:pPr>
      <w:r w:rsidRPr="00094702">
        <w:t>living environment and a</w:t>
      </w:r>
      <w:r w:rsidR="00657884" w:rsidRPr="00094702">
        <w:t>ged care support</w:t>
      </w:r>
      <w:r w:rsidR="000B04F8" w:rsidRPr="00094702">
        <w:t>, for example</w:t>
      </w:r>
      <w:r w:rsidR="00DA0F16">
        <w:t>,</w:t>
      </w:r>
      <w:r w:rsidR="005216FC" w:rsidRPr="00094702">
        <w:t xml:space="preserve"> aged care,</w:t>
      </w:r>
      <w:r w:rsidR="000B04F8" w:rsidRPr="00094702">
        <w:t xml:space="preserve"> </w:t>
      </w:r>
      <w:r w:rsidR="00657884" w:rsidRPr="00094702">
        <w:t>residential, home support</w:t>
      </w:r>
      <w:r w:rsidRPr="00094702">
        <w:t>, home care</w:t>
      </w:r>
    </w:p>
    <w:p w14:paraId="34FEC9A7" w14:textId="4329E6FF" w:rsidR="00DE6719" w:rsidRPr="00094702" w:rsidRDefault="003B7F02" w:rsidP="00B01204">
      <w:pPr>
        <w:pStyle w:val="ListBullet"/>
      </w:pPr>
      <w:r w:rsidRPr="00094702">
        <w:t>s</w:t>
      </w:r>
      <w:r w:rsidR="00DE6719" w:rsidRPr="00094702">
        <w:t>ocial support</w:t>
      </w:r>
      <w:r w:rsidR="00C97D30" w:rsidRPr="00094702">
        <w:t xml:space="preserve"> and</w:t>
      </w:r>
      <w:r w:rsidR="00DE6719" w:rsidRPr="00094702">
        <w:t xml:space="preserve"> connections</w:t>
      </w:r>
      <w:r w:rsidR="000B04F8" w:rsidRPr="00094702">
        <w:t>, for example</w:t>
      </w:r>
      <w:r w:rsidR="00DA0F16">
        <w:t>,</w:t>
      </w:r>
      <w:r w:rsidR="000B04F8" w:rsidRPr="00094702">
        <w:t xml:space="preserve"> </w:t>
      </w:r>
      <w:r w:rsidR="00C97D30" w:rsidRPr="00094702">
        <w:t>volunteering</w:t>
      </w:r>
      <w:r w:rsidR="00347243" w:rsidRPr="00094702">
        <w:t>, carers, social engagement, family and community support</w:t>
      </w:r>
    </w:p>
    <w:p w14:paraId="6FEF86FE" w14:textId="398F981C" w:rsidR="00C86795" w:rsidRPr="00094702" w:rsidRDefault="00094702" w:rsidP="00B01204">
      <w:pPr>
        <w:pStyle w:val="ListBullet"/>
      </w:pPr>
      <w:r>
        <w:t>e</w:t>
      </w:r>
      <w:r w:rsidR="00C86795" w:rsidRPr="00094702">
        <w:t>mployment</w:t>
      </w:r>
      <w:r w:rsidR="006D0066" w:rsidRPr="00870A9F">
        <w:t>, for example</w:t>
      </w:r>
      <w:r w:rsidR="008E3918">
        <w:t>,</w:t>
      </w:r>
      <w:r w:rsidR="006D0066" w:rsidRPr="00870A9F">
        <w:t xml:space="preserve"> working</w:t>
      </w:r>
      <w:r w:rsidR="006D0066">
        <w:t xml:space="preserve"> arrangements, retirement</w:t>
      </w:r>
      <w:r w:rsidR="00870A9F">
        <w:t>.</w:t>
      </w:r>
    </w:p>
    <w:p w14:paraId="14FF8A00" w14:textId="54CB2AFC" w:rsidR="000D5B7B" w:rsidRDefault="000D5B7B" w:rsidP="002134A8">
      <w:r>
        <w:t xml:space="preserve">Students </w:t>
      </w:r>
      <w:r w:rsidR="0038097A">
        <w:t>should use</w:t>
      </w:r>
      <w:r w:rsidR="008733B2">
        <w:t xml:space="preserve"> their prior knowledge of the current health status and inequities faced by older Australians</w:t>
      </w:r>
      <w:r w:rsidR="0038097A">
        <w:t xml:space="preserve"> and</w:t>
      </w:r>
      <w:r>
        <w:t xml:space="preserve"> m</w:t>
      </w:r>
      <w:r w:rsidR="006F28A3">
        <w:t>ight</w:t>
      </w:r>
      <w:r>
        <w:t xml:space="preserve"> wish to access the following</w:t>
      </w:r>
      <w:r w:rsidR="006B2B65">
        <w:t xml:space="preserve"> reliable sources </w:t>
      </w:r>
      <w:r>
        <w:t>to support the development of their infographic:</w:t>
      </w:r>
    </w:p>
    <w:p w14:paraId="4A31E8E8" w14:textId="6FCD482C" w:rsidR="00CE6CCE" w:rsidRDefault="00000000" w:rsidP="008E3918">
      <w:pPr>
        <w:pStyle w:val="ListBullet"/>
      </w:pPr>
      <w:hyperlink r:id="rId18" w:history="1">
        <w:r w:rsidR="00CE6CCE" w:rsidRPr="003E405E">
          <w:rPr>
            <w:rStyle w:val="Hyperlink"/>
          </w:rPr>
          <w:t>Australian Institute of Health and Welfare (AIHW)</w:t>
        </w:r>
      </w:hyperlink>
    </w:p>
    <w:p w14:paraId="502D5F17" w14:textId="1F9AAD2A" w:rsidR="00183A3D" w:rsidRDefault="00000000" w:rsidP="008E3918">
      <w:pPr>
        <w:pStyle w:val="ListBullet"/>
      </w:pPr>
      <w:hyperlink r:id="rId19" w:history="1">
        <w:r w:rsidR="00183A3D" w:rsidRPr="00183A3D">
          <w:rPr>
            <w:rStyle w:val="Hyperlink"/>
          </w:rPr>
          <w:t>Face the facts: Older Australians</w:t>
        </w:r>
      </w:hyperlink>
      <w:r w:rsidR="00724507" w:rsidRPr="00A91F7E">
        <w:t xml:space="preserve"> </w:t>
      </w:r>
      <w:r w:rsidR="00724507" w:rsidRPr="00724507">
        <w:t>(infographic example)</w:t>
      </w:r>
    </w:p>
    <w:p w14:paraId="478E1640" w14:textId="2772798E" w:rsidR="00B82383" w:rsidRDefault="00000000" w:rsidP="008E3918">
      <w:pPr>
        <w:pStyle w:val="ListBullet"/>
      </w:pPr>
      <w:hyperlink r:id="rId20" w:history="1">
        <w:r w:rsidR="00B82383" w:rsidRPr="00B82383">
          <w:rPr>
            <w:rStyle w:val="Hyperlink"/>
          </w:rPr>
          <w:t>Australian Government – Department of Health and Aged Care: Physical activity and exercise guidelines for older Australians</w:t>
        </w:r>
      </w:hyperlink>
    </w:p>
    <w:p w14:paraId="07254B33" w14:textId="3156BCF7" w:rsidR="00183A3D" w:rsidRDefault="00000000" w:rsidP="008E3918">
      <w:pPr>
        <w:pStyle w:val="ListBullet"/>
      </w:pPr>
      <w:hyperlink r:id="rId21" w:history="1">
        <w:r w:rsidR="000D5B7B" w:rsidRPr="000D5B7B">
          <w:rPr>
            <w:rStyle w:val="Hyperlink"/>
          </w:rPr>
          <w:t>World Health Organisation: Ageing and health</w:t>
        </w:r>
      </w:hyperlink>
    </w:p>
    <w:p w14:paraId="2469556E" w14:textId="113CE3F6" w:rsidR="00F148B0" w:rsidRDefault="00544919" w:rsidP="00F148B0">
      <w:r>
        <w:t>Students form small group</w:t>
      </w:r>
      <w:r w:rsidR="00F54AE3">
        <w:t>s</w:t>
      </w:r>
      <w:r w:rsidR="00DE631A">
        <w:t xml:space="preserve"> and take turns in presenting their infographic to group members. </w:t>
      </w:r>
      <w:r w:rsidR="00F54AE3">
        <w:t xml:space="preserve">Each group member writes </w:t>
      </w:r>
      <w:r w:rsidR="008B0DBF">
        <w:t>warm and cool feedback on</w:t>
      </w:r>
      <w:r w:rsidR="0061548C">
        <w:t xml:space="preserve"> a </w:t>
      </w:r>
      <w:r w:rsidR="003D0F69">
        <w:t>sticky</w:t>
      </w:r>
      <w:r w:rsidR="0061548C">
        <w:t xml:space="preserve"> note</w:t>
      </w:r>
      <w:r w:rsidR="00737B24">
        <w:t>, with</w:t>
      </w:r>
      <w:r w:rsidR="00C82D25">
        <w:t xml:space="preserve"> warm</w:t>
      </w:r>
      <w:r w:rsidR="0018434C">
        <w:t xml:space="preserve"> positive feedback on one side and </w:t>
      </w:r>
      <w:r w:rsidR="00FF5F2B">
        <w:t xml:space="preserve">areas </w:t>
      </w:r>
      <w:r w:rsidR="00273946">
        <w:t>for improvement on the other. Students use th</w:t>
      </w:r>
      <w:r w:rsidR="004B4F4E">
        <w:t xml:space="preserve">e feedback received </w:t>
      </w:r>
      <w:r w:rsidR="00307EF4">
        <w:t>and any further ideas</w:t>
      </w:r>
      <w:r w:rsidR="00970554">
        <w:t xml:space="preserve"> from fellow group members</w:t>
      </w:r>
      <w:r w:rsidR="003801B1">
        <w:t xml:space="preserve"> presenting</w:t>
      </w:r>
      <w:r w:rsidR="00F54AE3">
        <w:t xml:space="preserve"> to refine their infographic.</w:t>
      </w:r>
    </w:p>
    <w:p w14:paraId="1EF8ED9A" w14:textId="0280FEFF" w:rsidR="00D97EE8" w:rsidRDefault="00D97EE8" w:rsidP="00D97EE8">
      <w:r>
        <w:t>Students compare the data collected in their infographic to their older person profile</w:t>
      </w:r>
      <w:r w:rsidR="008016D9">
        <w:t xml:space="preserve">. Students are to use </w:t>
      </w:r>
      <w:r w:rsidR="003D0F69">
        <w:fldChar w:fldCharType="begin"/>
      </w:r>
      <w:r w:rsidR="003D0F69">
        <w:instrText xml:space="preserve"> REF _Ref174013564 \h </w:instrText>
      </w:r>
      <w:r w:rsidR="003D0F69">
        <w:fldChar w:fldCharType="separate"/>
      </w:r>
      <w:r w:rsidR="003D0F69">
        <w:t xml:space="preserve">Table </w:t>
      </w:r>
      <w:r w:rsidR="003D0F69">
        <w:rPr>
          <w:noProof/>
        </w:rPr>
        <w:t>1</w:t>
      </w:r>
      <w:r w:rsidR="003D0F69">
        <w:fldChar w:fldCharType="end"/>
      </w:r>
      <w:r w:rsidR="003D0F69">
        <w:t xml:space="preserve"> </w:t>
      </w:r>
      <w:r w:rsidR="008016D9">
        <w:t xml:space="preserve">below to support the reflection of the </w:t>
      </w:r>
      <w:r>
        <w:t>following:</w:t>
      </w:r>
    </w:p>
    <w:p w14:paraId="5A5ACD0A" w14:textId="13F23F01" w:rsidR="00D97EE8" w:rsidRDefault="00DE6719" w:rsidP="00B01204">
      <w:pPr>
        <w:pStyle w:val="ListBullet"/>
      </w:pPr>
      <w:r>
        <w:t>How does the physical health of your older person</w:t>
      </w:r>
      <w:r w:rsidR="003D0F69">
        <w:t>’s</w:t>
      </w:r>
      <w:r>
        <w:t xml:space="preserve"> profile compare to the general health data of older Australians? Are there specific health conditions mentioned in your profile that are common among older Australians?</w:t>
      </w:r>
    </w:p>
    <w:p w14:paraId="7993FA59" w14:textId="314B0806" w:rsidR="00DE6719" w:rsidRDefault="00DE6719" w:rsidP="00B01204">
      <w:pPr>
        <w:pStyle w:val="ListBullet"/>
      </w:pPr>
      <w:r>
        <w:t>How does the social life of your older person profile compare to the average social connections of older Australians?</w:t>
      </w:r>
    </w:p>
    <w:p w14:paraId="60FA5EBA" w14:textId="0ACA6041" w:rsidR="00DE6719" w:rsidRDefault="00DE6719" w:rsidP="00B01204">
      <w:pPr>
        <w:pStyle w:val="ListBullet"/>
      </w:pPr>
      <w:r>
        <w:lastRenderedPageBreak/>
        <w:t>Are there any barriers to healthcare mentioned in your profile that are common among older Australians?</w:t>
      </w:r>
    </w:p>
    <w:p w14:paraId="50C5FB2C" w14:textId="7F3F154F" w:rsidR="00DE6719" w:rsidRDefault="00DE6719" w:rsidP="00B01204">
      <w:pPr>
        <w:pStyle w:val="ListBullet"/>
      </w:pPr>
      <w:r>
        <w:t>How does the living situation in your older person profile reflect the typical living environments of older Australians?</w:t>
      </w:r>
    </w:p>
    <w:p w14:paraId="0C3F30C0" w14:textId="77777777" w:rsidR="00735249" w:rsidRDefault="00735249" w:rsidP="00B01204">
      <w:pPr>
        <w:pStyle w:val="ListBullet"/>
      </w:pPr>
      <w:r>
        <w:t>What are the challenges and opportunities for ageing Australians regarding their health?</w:t>
      </w:r>
    </w:p>
    <w:p w14:paraId="72413513" w14:textId="680202BF" w:rsidR="001A5281" w:rsidRDefault="001A5281" w:rsidP="00B01204">
      <w:pPr>
        <w:pStyle w:val="ListBullet"/>
      </w:pPr>
      <w:r>
        <w:t xml:space="preserve">What recommendations would you make to </w:t>
      </w:r>
      <w:r w:rsidR="004C1568">
        <w:t xml:space="preserve">older Australians </w:t>
      </w:r>
      <w:r w:rsidR="006B2B65">
        <w:t xml:space="preserve">to </w:t>
      </w:r>
      <w:r>
        <w:t>improve their health and ensure healthy ageing</w:t>
      </w:r>
      <w:r w:rsidR="00D97EE8">
        <w:t xml:space="preserve">? </w:t>
      </w:r>
      <w:r>
        <w:t>Students should consider the physical, mental and social aspects that contribute to healthy ageing.</w:t>
      </w:r>
    </w:p>
    <w:p w14:paraId="414DB4B7" w14:textId="67A360B4" w:rsidR="003D0F69" w:rsidRDefault="003D0F69" w:rsidP="003D0F69">
      <w:pPr>
        <w:pStyle w:val="Caption"/>
      </w:pPr>
      <w:bookmarkStart w:id="15" w:name="_Ref174013564"/>
      <w:r>
        <w:t xml:space="preserve">Table </w:t>
      </w:r>
      <w:r>
        <w:fldChar w:fldCharType="begin"/>
      </w:r>
      <w:r>
        <w:instrText xml:space="preserve"> SEQ Table \* ARABIC </w:instrText>
      </w:r>
      <w:r>
        <w:fldChar w:fldCharType="separate"/>
      </w:r>
      <w:r w:rsidR="003518D0">
        <w:rPr>
          <w:noProof/>
        </w:rPr>
        <w:t>1</w:t>
      </w:r>
      <w:r>
        <w:fldChar w:fldCharType="end"/>
      </w:r>
      <w:bookmarkEnd w:id="15"/>
      <w:r>
        <w:t xml:space="preserve"> – </w:t>
      </w:r>
      <w:r w:rsidRPr="006925F8">
        <w:t>older person profile compared to data of older Australians recording table</w:t>
      </w:r>
    </w:p>
    <w:tbl>
      <w:tblPr>
        <w:tblStyle w:val="Tableheader"/>
        <w:tblW w:w="0" w:type="auto"/>
        <w:tblLook w:val="04A0" w:firstRow="1" w:lastRow="0" w:firstColumn="1" w:lastColumn="0" w:noHBand="0" w:noVBand="1"/>
        <w:tblDescription w:val="Older person profile compared to data set of older Australians recording table for student answers."/>
      </w:tblPr>
      <w:tblGrid>
        <w:gridCol w:w="3209"/>
        <w:gridCol w:w="3209"/>
        <w:gridCol w:w="3210"/>
      </w:tblGrid>
      <w:tr w:rsidR="006B2B65" w:rsidRPr="00D13A03" w14:paraId="0B5C2150" w14:textId="77777777" w:rsidTr="006B2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386C6CF" w14:textId="1D4688E8" w:rsidR="006B2B65" w:rsidRPr="00D13A03" w:rsidRDefault="006B2B65" w:rsidP="00D13A03">
            <w:r w:rsidRPr="00D13A03">
              <w:t>Aspects of health that contribute to health</w:t>
            </w:r>
            <w:r w:rsidR="00D13A03" w:rsidRPr="00D13A03">
              <w:t>y</w:t>
            </w:r>
            <w:r w:rsidRPr="00D13A03">
              <w:t xml:space="preserve"> ageing</w:t>
            </w:r>
          </w:p>
        </w:tc>
        <w:tc>
          <w:tcPr>
            <w:tcW w:w="3209" w:type="dxa"/>
          </w:tcPr>
          <w:p w14:paraId="0485BB82" w14:textId="6732F6F7" w:rsidR="006B2B65" w:rsidRPr="00D13A03" w:rsidRDefault="008016D9" w:rsidP="00D13A03">
            <w:pPr>
              <w:cnfStyle w:val="100000000000" w:firstRow="1" w:lastRow="0" w:firstColumn="0" w:lastColumn="0" w:oddVBand="0" w:evenVBand="0" w:oddHBand="0" w:evenHBand="0" w:firstRowFirstColumn="0" w:firstRowLastColumn="0" w:lastRowFirstColumn="0" w:lastRowLastColumn="0"/>
            </w:pPr>
            <w:r w:rsidRPr="00D13A03">
              <w:t>Comparison of older person’s health to infographic data</w:t>
            </w:r>
          </w:p>
        </w:tc>
        <w:tc>
          <w:tcPr>
            <w:tcW w:w="3210" w:type="dxa"/>
          </w:tcPr>
          <w:p w14:paraId="19772892" w14:textId="41C71C67" w:rsidR="006B2B65" w:rsidRPr="00D13A03" w:rsidRDefault="006B2B65" w:rsidP="00D13A03">
            <w:pPr>
              <w:cnfStyle w:val="100000000000" w:firstRow="1" w:lastRow="0" w:firstColumn="0" w:lastColumn="0" w:oddVBand="0" w:evenVBand="0" w:oddHBand="0" w:evenHBand="0" w:firstRowFirstColumn="0" w:firstRowLastColumn="0" w:lastRowFirstColumn="0" w:lastRowLastColumn="0"/>
            </w:pPr>
            <w:r w:rsidRPr="00D13A03">
              <w:t xml:space="preserve">Recommendations to </w:t>
            </w:r>
            <w:r w:rsidR="00AB416B" w:rsidRPr="00D13A03">
              <w:t>promote</w:t>
            </w:r>
            <w:r w:rsidRPr="00D13A03">
              <w:t xml:space="preserve"> healthy ageing</w:t>
            </w:r>
          </w:p>
        </w:tc>
      </w:tr>
      <w:tr w:rsidR="006B2B65" w14:paraId="50B68A14" w14:textId="77777777" w:rsidTr="006B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876BD59" w14:textId="3AD89DEF" w:rsidR="006B2B65" w:rsidRDefault="008016D9" w:rsidP="004736AF">
            <w:r>
              <w:t>P</w:t>
            </w:r>
            <w:r w:rsidR="006B2B65">
              <w:t>hysical</w:t>
            </w:r>
            <w:r>
              <w:t xml:space="preserve"> </w:t>
            </w:r>
            <w:r w:rsidR="001868A3">
              <w:t>health and lifestyle</w:t>
            </w:r>
          </w:p>
        </w:tc>
        <w:tc>
          <w:tcPr>
            <w:tcW w:w="3209" w:type="dxa"/>
          </w:tcPr>
          <w:p w14:paraId="2E4ADD85" w14:textId="77777777" w:rsidR="006B2B65" w:rsidRDefault="006B2B65" w:rsidP="004736AF">
            <w:pPr>
              <w:cnfStyle w:val="000000100000" w:firstRow="0" w:lastRow="0" w:firstColumn="0" w:lastColumn="0" w:oddVBand="0" w:evenVBand="0" w:oddHBand="1" w:evenHBand="0" w:firstRowFirstColumn="0" w:firstRowLastColumn="0" w:lastRowFirstColumn="0" w:lastRowLastColumn="0"/>
            </w:pPr>
          </w:p>
        </w:tc>
        <w:tc>
          <w:tcPr>
            <w:tcW w:w="3210" w:type="dxa"/>
          </w:tcPr>
          <w:p w14:paraId="0920F729" w14:textId="77777777" w:rsidR="006B2B65" w:rsidRDefault="006B2B65" w:rsidP="004736AF">
            <w:pPr>
              <w:cnfStyle w:val="000000100000" w:firstRow="0" w:lastRow="0" w:firstColumn="0" w:lastColumn="0" w:oddVBand="0" w:evenVBand="0" w:oddHBand="1" w:evenHBand="0" w:firstRowFirstColumn="0" w:firstRowLastColumn="0" w:lastRowFirstColumn="0" w:lastRowLastColumn="0"/>
            </w:pPr>
          </w:p>
        </w:tc>
      </w:tr>
      <w:tr w:rsidR="006B2B65" w14:paraId="2EAF90D5" w14:textId="77777777" w:rsidTr="006B2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B553B03" w14:textId="00786877" w:rsidR="006B2B65" w:rsidRDefault="008016D9" w:rsidP="004736AF">
            <w:r>
              <w:t>M</w:t>
            </w:r>
            <w:r w:rsidR="006B2B65">
              <w:t>ental</w:t>
            </w:r>
            <w:r>
              <w:t xml:space="preserve"> health support</w:t>
            </w:r>
          </w:p>
        </w:tc>
        <w:tc>
          <w:tcPr>
            <w:tcW w:w="3209" w:type="dxa"/>
          </w:tcPr>
          <w:p w14:paraId="0FC5CFC8" w14:textId="77777777" w:rsidR="006B2B65" w:rsidRDefault="006B2B65" w:rsidP="004736AF">
            <w:pPr>
              <w:cnfStyle w:val="000000010000" w:firstRow="0" w:lastRow="0" w:firstColumn="0" w:lastColumn="0" w:oddVBand="0" w:evenVBand="0" w:oddHBand="0" w:evenHBand="1" w:firstRowFirstColumn="0" w:firstRowLastColumn="0" w:lastRowFirstColumn="0" w:lastRowLastColumn="0"/>
            </w:pPr>
          </w:p>
        </w:tc>
        <w:tc>
          <w:tcPr>
            <w:tcW w:w="3210" w:type="dxa"/>
          </w:tcPr>
          <w:p w14:paraId="32C0EF78" w14:textId="77777777" w:rsidR="006B2B65" w:rsidRDefault="006B2B65" w:rsidP="004736AF">
            <w:pPr>
              <w:cnfStyle w:val="000000010000" w:firstRow="0" w:lastRow="0" w:firstColumn="0" w:lastColumn="0" w:oddVBand="0" w:evenVBand="0" w:oddHBand="0" w:evenHBand="1" w:firstRowFirstColumn="0" w:firstRowLastColumn="0" w:lastRowFirstColumn="0" w:lastRowLastColumn="0"/>
            </w:pPr>
          </w:p>
        </w:tc>
      </w:tr>
      <w:tr w:rsidR="006B2B65" w14:paraId="1F93E8F7" w14:textId="77777777" w:rsidTr="006B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4235633" w14:textId="5A78B9BC" w:rsidR="006B2B65" w:rsidRDefault="008016D9" w:rsidP="004736AF">
            <w:r>
              <w:t>S</w:t>
            </w:r>
            <w:r w:rsidR="006B2B65">
              <w:t>ocial</w:t>
            </w:r>
            <w:r>
              <w:t xml:space="preserve"> support</w:t>
            </w:r>
          </w:p>
        </w:tc>
        <w:tc>
          <w:tcPr>
            <w:tcW w:w="3209" w:type="dxa"/>
          </w:tcPr>
          <w:p w14:paraId="6AAEBEE9" w14:textId="77777777" w:rsidR="006B2B65" w:rsidRDefault="006B2B65" w:rsidP="004736AF">
            <w:pPr>
              <w:cnfStyle w:val="000000100000" w:firstRow="0" w:lastRow="0" w:firstColumn="0" w:lastColumn="0" w:oddVBand="0" w:evenVBand="0" w:oddHBand="1" w:evenHBand="0" w:firstRowFirstColumn="0" w:firstRowLastColumn="0" w:lastRowFirstColumn="0" w:lastRowLastColumn="0"/>
            </w:pPr>
          </w:p>
        </w:tc>
        <w:tc>
          <w:tcPr>
            <w:tcW w:w="3210" w:type="dxa"/>
          </w:tcPr>
          <w:p w14:paraId="4CDEEF6C" w14:textId="77777777" w:rsidR="006B2B65" w:rsidRDefault="006B2B65" w:rsidP="004736AF">
            <w:pPr>
              <w:cnfStyle w:val="000000100000" w:firstRow="0" w:lastRow="0" w:firstColumn="0" w:lastColumn="0" w:oddVBand="0" w:evenVBand="0" w:oddHBand="1" w:evenHBand="0" w:firstRowFirstColumn="0" w:firstRowLastColumn="0" w:lastRowFirstColumn="0" w:lastRowLastColumn="0"/>
            </w:pPr>
          </w:p>
        </w:tc>
      </w:tr>
      <w:tr w:rsidR="006B2B65" w14:paraId="13AC810E" w14:textId="77777777" w:rsidTr="006B2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10887B4" w14:textId="2D3BF340" w:rsidR="006B2B65" w:rsidRDefault="008016D9" w:rsidP="004736AF">
            <w:r>
              <w:t>A</w:t>
            </w:r>
            <w:r w:rsidR="006B2B65">
              <w:t>ccess to health</w:t>
            </w:r>
            <w:r>
              <w:t>care and</w:t>
            </w:r>
            <w:r w:rsidR="006B2B65">
              <w:t xml:space="preserve"> services</w:t>
            </w:r>
          </w:p>
        </w:tc>
        <w:tc>
          <w:tcPr>
            <w:tcW w:w="3209" w:type="dxa"/>
          </w:tcPr>
          <w:p w14:paraId="0F4AB745" w14:textId="77777777" w:rsidR="006B2B65" w:rsidRDefault="006B2B65" w:rsidP="004736AF">
            <w:pPr>
              <w:cnfStyle w:val="000000010000" w:firstRow="0" w:lastRow="0" w:firstColumn="0" w:lastColumn="0" w:oddVBand="0" w:evenVBand="0" w:oddHBand="0" w:evenHBand="1" w:firstRowFirstColumn="0" w:firstRowLastColumn="0" w:lastRowFirstColumn="0" w:lastRowLastColumn="0"/>
            </w:pPr>
          </w:p>
        </w:tc>
        <w:tc>
          <w:tcPr>
            <w:tcW w:w="3210" w:type="dxa"/>
          </w:tcPr>
          <w:p w14:paraId="4065925B" w14:textId="77777777" w:rsidR="006B2B65" w:rsidRDefault="006B2B65" w:rsidP="004736AF">
            <w:pPr>
              <w:cnfStyle w:val="000000010000" w:firstRow="0" w:lastRow="0" w:firstColumn="0" w:lastColumn="0" w:oddVBand="0" w:evenVBand="0" w:oddHBand="0" w:evenHBand="1" w:firstRowFirstColumn="0" w:firstRowLastColumn="0" w:lastRowFirstColumn="0" w:lastRowLastColumn="0"/>
            </w:pPr>
          </w:p>
        </w:tc>
      </w:tr>
      <w:tr w:rsidR="00003366" w14:paraId="7F843891" w14:textId="77777777" w:rsidTr="006B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F78772D" w14:textId="57B9D978" w:rsidR="00003366" w:rsidRDefault="00003366" w:rsidP="004736AF">
            <w:r>
              <w:t>Living environment</w:t>
            </w:r>
          </w:p>
        </w:tc>
        <w:tc>
          <w:tcPr>
            <w:tcW w:w="3209" w:type="dxa"/>
          </w:tcPr>
          <w:p w14:paraId="5B80E192" w14:textId="77777777" w:rsidR="00003366" w:rsidRDefault="00003366" w:rsidP="004736AF">
            <w:pPr>
              <w:cnfStyle w:val="000000100000" w:firstRow="0" w:lastRow="0" w:firstColumn="0" w:lastColumn="0" w:oddVBand="0" w:evenVBand="0" w:oddHBand="1" w:evenHBand="0" w:firstRowFirstColumn="0" w:firstRowLastColumn="0" w:lastRowFirstColumn="0" w:lastRowLastColumn="0"/>
            </w:pPr>
          </w:p>
        </w:tc>
        <w:tc>
          <w:tcPr>
            <w:tcW w:w="3210" w:type="dxa"/>
          </w:tcPr>
          <w:p w14:paraId="7A5A9147" w14:textId="77777777" w:rsidR="00003366" w:rsidRDefault="00003366" w:rsidP="004736AF">
            <w:pPr>
              <w:cnfStyle w:val="000000100000" w:firstRow="0" w:lastRow="0" w:firstColumn="0" w:lastColumn="0" w:oddVBand="0" w:evenVBand="0" w:oddHBand="1" w:evenHBand="0" w:firstRowFirstColumn="0" w:firstRowLastColumn="0" w:lastRowFirstColumn="0" w:lastRowLastColumn="0"/>
            </w:pPr>
          </w:p>
        </w:tc>
      </w:tr>
    </w:tbl>
    <w:p w14:paraId="5282A3F7" w14:textId="7F91E8C2" w:rsidR="00D1364D" w:rsidRDefault="00292B30" w:rsidP="000C58CD">
      <w:pPr>
        <w:pStyle w:val="Heading2"/>
      </w:pPr>
      <w:bookmarkStart w:id="16" w:name="_Toc174439834"/>
      <w:r>
        <w:t>Sustainable development goals</w:t>
      </w:r>
      <w:r w:rsidR="00950C1A">
        <w:t xml:space="preserve"> (SDGs)</w:t>
      </w:r>
      <w:bookmarkEnd w:id="16"/>
    </w:p>
    <w:p w14:paraId="0403AB02" w14:textId="46AB0CE7" w:rsidR="00444AF2" w:rsidRDefault="005A0700" w:rsidP="0050263C">
      <w:r>
        <w:t xml:space="preserve">Students </w:t>
      </w:r>
      <w:r w:rsidR="00140F97">
        <w:t xml:space="preserve">begin by </w:t>
      </w:r>
      <w:r>
        <w:t>complet</w:t>
      </w:r>
      <w:r w:rsidR="00140F97">
        <w:t>ing</w:t>
      </w:r>
      <w:r>
        <w:t xml:space="preserve"> a </w:t>
      </w:r>
      <w:hyperlink r:id="rId22" w:history="1">
        <w:r w:rsidRPr="00140F97">
          <w:rPr>
            <w:rStyle w:val="Hyperlink"/>
          </w:rPr>
          <w:t>Think-</w:t>
        </w:r>
        <w:r w:rsidR="00D13A03">
          <w:rPr>
            <w:rStyle w:val="Hyperlink"/>
          </w:rPr>
          <w:t>P</w:t>
        </w:r>
        <w:r w:rsidRPr="00140F97">
          <w:rPr>
            <w:rStyle w:val="Hyperlink"/>
          </w:rPr>
          <w:t>air-</w:t>
        </w:r>
        <w:r w:rsidR="00D13A03">
          <w:rPr>
            <w:rStyle w:val="Hyperlink"/>
          </w:rPr>
          <w:t>S</w:t>
        </w:r>
        <w:r w:rsidRPr="00140F97">
          <w:rPr>
            <w:rStyle w:val="Hyperlink"/>
          </w:rPr>
          <w:t>hare</w:t>
        </w:r>
      </w:hyperlink>
      <w:r w:rsidRPr="00A91F7E">
        <w:t xml:space="preserve"> </w:t>
      </w:r>
      <w:r w:rsidR="00EC1E66" w:rsidRPr="00133892">
        <w:t xml:space="preserve">using </w:t>
      </w:r>
      <w:r w:rsidR="00D13A03">
        <w:fldChar w:fldCharType="begin"/>
      </w:r>
      <w:r w:rsidR="00D13A03">
        <w:instrText xml:space="preserve"> REF _Ref174013745 \h </w:instrText>
      </w:r>
      <w:r w:rsidR="00D13A03">
        <w:fldChar w:fldCharType="separate"/>
      </w:r>
      <w:r w:rsidR="00D13A03">
        <w:t xml:space="preserve">Table </w:t>
      </w:r>
      <w:r w:rsidR="00D13A03">
        <w:rPr>
          <w:noProof/>
        </w:rPr>
        <w:t>2</w:t>
      </w:r>
      <w:r w:rsidR="00D13A03">
        <w:fldChar w:fldCharType="end"/>
      </w:r>
      <w:r w:rsidR="00D13A03">
        <w:t xml:space="preserve"> </w:t>
      </w:r>
      <w:r w:rsidR="00EC1E66" w:rsidRPr="00133892">
        <w:t>below</w:t>
      </w:r>
      <w:r>
        <w:t xml:space="preserve"> </w:t>
      </w:r>
      <w:r w:rsidR="005A00D7">
        <w:t xml:space="preserve">to develop an understanding of the issues </w:t>
      </w:r>
      <w:r w:rsidR="002327EB">
        <w:t>a</w:t>
      </w:r>
      <w:r w:rsidR="005A00D7">
        <w:t>ffecting</w:t>
      </w:r>
      <w:r>
        <w:t xml:space="preserve"> older people. </w:t>
      </w:r>
      <w:r w:rsidR="00140F97">
        <w:t xml:space="preserve">They will then share these with a partner and </w:t>
      </w:r>
      <w:r w:rsidR="0050263C">
        <w:t>start to think about how these issues link to the SDGs and targets to potentially develop some strategies to support older Australians to live out healthy lives.</w:t>
      </w:r>
    </w:p>
    <w:p w14:paraId="2D7E0E3B" w14:textId="5F93B039" w:rsidR="00FF1AE6" w:rsidRDefault="00FF1AE6" w:rsidP="00FF1AE6">
      <w:pPr>
        <w:pStyle w:val="FeatureBox2"/>
      </w:pPr>
      <w:r w:rsidRPr="0050026C">
        <w:rPr>
          <w:rStyle w:val="Strong"/>
        </w:rPr>
        <w:t>Note:</w:t>
      </w:r>
      <w:r>
        <w:t xml:space="preserve"> to support students to compete the </w:t>
      </w:r>
      <w:r w:rsidR="008D0BDC">
        <w:t>T</w:t>
      </w:r>
      <w:r>
        <w:t>hink</w:t>
      </w:r>
      <w:r w:rsidR="008D0BDC">
        <w:t>-P</w:t>
      </w:r>
      <w:r>
        <w:t>air</w:t>
      </w:r>
      <w:r w:rsidR="008D0BDC">
        <w:t>-S</w:t>
      </w:r>
      <w:r>
        <w:t>hare activity, students m</w:t>
      </w:r>
      <w:r w:rsidR="006F28A3">
        <w:t>ight</w:t>
      </w:r>
      <w:r>
        <w:t xml:space="preserve"> need to revisit prior knowledge around the SDGs. Suggested activities would be to watch the video </w:t>
      </w:r>
      <w:hyperlink r:id="rId23" w:history="1">
        <w:r w:rsidRPr="00FF6C2D">
          <w:rPr>
            <w:rStyle w:val="Hyperlink"/>
          </w:rPr>
          <w:t xml:space="preserve">Transitioning </w:t>
        </w:r>
        <w:r w:rsidRPr="00FF6C2D">
          <w:rPr>
            <w:rStyle w:val="Hyperlink"/>
          </w:rPr>
          <w:lastRenderedPageBreak/>
          <w:t>from the MDGs to the SDGs (3:02)</w:t>
        </w:r>
      </w:hyperlink>
      <w:r>
        <w:t xml:space="preserve">. Students then brainstorm in small groups </w:t>
      </w:r>
      <w:r w:rsidR="008D5372">
        <w:t xml:space="preserve">the </w:t>
      </w:r>
      <w:r>
        <w:t xml:space="preserve">SDGs </w:t>
      </w:r>
      <w:r w:rsidR="008D5372">
        <w:t xml:space="preserve">3, 4, 10 and 11 </w:t>
      </w:r>
      <w:r>
        <w:t xml:space="preserve">and write a small summary for each. Students may access the </w:t>
      </w:r>
      <w:hyperlink r:id="rId24" w:history="1">
        <w:r w:rsidRPr="005A0700">
          <w:rPr>
            <w:rStyle w:val="Hyperlink"/>
          </w:rPr>
          <w:t>United Nations</w:t>
        </w:r>
        <w:r w:rsidRPr="00A91F7E">
          <w:t xml:space="preserve"> website</w:t>
        </w:r>
      </w:hyperlink>
      <w:r>
        <w:t xml:space="preserve"> to revisit and explore the SDGs in more detail.</w:t>
      </w:r>
    </w:p>
    <w:p w14:paraId="23FF38CB" w14:textId="0A39929C" w:rsidR="00E00287" w:rsidRPr="00FF6C2D" w:rsidRDefault="00E00287" w:rsidP="00E00287">
      <w:pPr>
        <w:pStyle w:val="FeatureBox"/>
        <w:rPr>
          <w:rStyle w:val="Strong"/>
        </w:rPr>
      </w:pPr>
      <w:r w:rsidRPr="00FF6C2D">
        <w:rPr>
          <w:rStyle w:val="Strong"/>
        </w:rPr>
        <w:t>Sustainable Development Goals</w:t>
      </w:r>
    </w:p>
    <w:p w14:paraId="11329665" w14:textId="75AA18D0" w:rsidR="00E00287" w:rsidRDefault="00E00287" w:rsidP="00E00287">
      <w:pPr>
        <w:pStyle w:val="FeatureBox"/>
      </w:pPr>
      <w:r>
        <w:t>A set of 17 interconnected global objectives designed to achieve a better and more sustainable future for all. Adopted by all United Nations Member States in 2015, the SDGs are part of the 2030 Agenda for Sustainable Development, which provides a shared blueprint for peace and prosperity for all people and the planet. They act as a strategic framework to create a better and more sustainable future for everyone. They address global challenges such as poverty, inequality, climate change, environmental degradation, peace and justice. Each goal includes specific targets to be accomplished by 2030, forming a comprehensive and ambitious plan to transform the world.</w:t>
      </w:r>
    </w:p>
    <w:p w14:paraId="2A0242A5" w14:textId="370A527E" w:rsidR="00D13A03" w:rsidRDefault="00D13A03" w:rsidP="00D13A03">
      <w:pPr>
        <w:pStyle w:val="Caption"/>
      </w:pPr>
      <w:bookmarkStart w:id="17" w:name="_Ref174013745"/>
      <w:r>
        <w:t xml:space="preserve">Table </w:t>
      </w:r>
      <w:r>
        <w:fldChar w:fldCharType="begin"/>
      </w:r>
      <w:r>
        <w:instrText xml:space="preserve"> SEQ Table \* ARABIC </w:instrText>
      </w:r>
      <w:r>
        <w:fldChar w:fldCharType="separate"/>
      </w:r>
      <w:r w:rsidR="003518D0">
        <w:rPr>
          <w:noProof/>
        </w:rPr>
        <w:t>2</w:t>
      </w:r>
      <w:r>
        <w:fldChar w:fldCharType="end"/>
      </w:r>
      <w:bookmarkEnd w:id="17"/>
      <w:r>
        <w:t xml:space="preserve"> – </w:t>
      </w:r>
      <w:r w:rsidRPr="00AA7FC5">
        <w:t>issues for older Australians mapped to the SDGs</w:t>
      </w:r>
    </w:p>
    <w:tbl>
      <w:tblPr>
        <w:tblStyle w:val="Tableheader"/>
        <w:tblW w:w="0" w:type="auto"/>
        <w:tblLook w:val="04A0" w:firstRow="1" w:lastRow="0" w:firstColumn="1" w:lastColumn="0" w:noHBand="0" w:noVBand="1"/>
        <w:tblDescription w:val="Table listing issues for older Australians mapped to the SDGs with blank cells to record answers."/>
      </w:tblPr>
      <w:tblGrid>
        <w:gridCol w:w="3681"/>
        <w:gridCol w:w="2737"/>
        <w:gridCol w:w="3210"/>
      </w:tblGrid>
      <w:tr w:rsidR="0027714C" w14:paraId="1BFDBCD9" w14:textId="77777777" w:rsidTr="00125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5AD470A" w14:textId="77777777" w:rsidR="0027714C" w:rsidRDefault="0027714C">
            <w:r>
              <w:t>Issue for older Australians</w:t>
            </w:r>
          </w:p>
        </w:tc>
        <w:tc>
          <w:tcPr>
            <w:tcW w:w="2737" w:type="dxa"/>
          </w:tcPr>
          <w:p w14:paraId="738B2F8F" w14:textId="77777777" w:rsidR="0027714C" w:rsidRDefault="0027714C">
            <w:pPr>
              <w:cnfStyle w:val="100000000000" w:firstRow="1" w:lastRow="0" w:firstColumn="0" w:lastColumn="0" w:oddVBand="0" w:evenVBand="0" w:oddHBand="0" w:evenHBand="0" w:firstRowFirstColumn="0" w:firstRowLastColumn="0" w:lastRowFirstColumn="0" w:lastRowLastColumn="0"/>
            </w:pPr>
            <w:r>
              <w:t>Alignment to SDGs and targets (3, 4, 10, 11)</w:t>
            </w:r>
          </w:p>
        </w:tc>
        <w:tc>
          <w:tcPr>
            <w:tcW w:w="3210" w:type="dxa"/>
          </w:tcPr>
          <w:p w14:paraId="3DAC747D" w14:textId="1986E62A" w:rsidR="0027714C" w:rsidRDefault="0027714C">
            <w:pPr>
              <w:cnfStyle w:val="100000000000" w:firstRow="1" w:lastRow="0" w:firstColumn="0" w:lastColumn="0" w:oddVBand="0" w:evenVBand="0" w:oddHBand="0" w:evenHBand="0" w:firstRowFirstColumn="0" w:firstRowLastColumn="0" w:lastRowFirstColumn="0" w:lastRowLastColumn="0"/>
            </w:pPr>
            <w:r>
              <w:t>Possible strategies to improve issues and meet SDG</w:t>
            </w:r>
          </w:p>
        </w:tc>
      </w:tr>
      <w:tr w:rsidR="0027714C" w14:paraId="162C8D88" w14:textId="77777777" w:rsidTr="00125166">
        <w:trPr>
          <w:cnfStyle w:val="000000100000" w:firstRow="0" w:lastRow="0" w:firstColumn="0" w:lastColumn="0" w:oddVBand="0" w:evenVBand="0" w:oddHBand="1"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3681" w:type="dxa"/>
          </w:tcPr>
          <w:p w14:paraId="704297B6" w14:textId="77777777" w:rsidR="0027714C" w:rsidRDefault="0027714C">
            <w:r>
              <w:t>chronic diseases such as diabetes, cardiovascular disease, osteoarthritis, dementia</w:t>
            </w:r>
          </w:p>
        </w:tc>
        <w:tc>
          <w:tcPr>
            <w:tcW w:w="2737" w:type="dxa"/>
          </w:tcPr>
          <w:p w14:paraId="45C31AE0" w14:textId="77777777" w:rsidR="0027714C" w:rsidRDefault="0027714C">
            <w:pPr>
              <w:cnfStyle w:val="000000100000" w:firstRow="0" w:lastRow="0" w:firstColumn="0" w:lastColumn="0" w:oddVBand="0" w:evenVBand="0" w:oddHBand="1" w:evenHBand="0" w:firstRowFirstColumn="0" w:firstRowLastColumn="0" w:lastRowFirstColumn="0" w:lastRowLastColumn="0"/>
            </w:pPr>
          </w:p>
        </w:tc>
        <w:tc>
          <w:tcPr>
            <w:tcW w:w="3210" w:type="dxa"/>
          </w:tcPr>
          <w:p w14:paraId="68EAE3A8" w14:textId="77777777" w:rsidR="0027714C" w:rsidRDefault="0027714C">
            <w:pPr>
              <w:cnfStyle w:val="000000100000" w:firstRow="0" w:lastRow="0" w:firstColumn="0" w:lastColumn="0" w:oddVBand="0" w:evenVBand="0" w:oddHBand="1" w:evenHBand="0" w:firstRowFirstColumn="0" w:firstRowLastColumn="0" w:lastRowFirstColumn="0" w:lastRowLastColumn="0"/>
            </w:pPr>
          </w:p>
        </w:tc>
      </w:tr>
      <w:tr w:rsidR="0027714C" w14:paraId="1DFB9EE1" w14:textId="77777777" w:rsidTr="00125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63E6AA8" w14:textId="77777777" w:rsidR="0027714C" w:rsidRPr="002C6253" w:rsidRDefault="0027714C">
            <w:r>
              <w:t>access to healthcare</w:t>
            </w:r>
          </w:p>
        </w:tc>
        <w:tc>
          <w:tcPr>
            <w:tcW w:w="2737" w:type="dxa"/>
          </w:tcPr>
          <w:p w14:paraId="638E771C" w14:textId="77777777" w:rsidR="0027714C" w:rsidRDefault="0027714C">
            <w:pPr>
              <w:cnfStyle w:val="000000010000" w:firstRow="0" w:lastRow="0" w:firstColumn="0" w:lastColumn="0" w:oddVBand="0" w:evenVBand="0" w:oddHBand="0" w:evenHBand="1" w:firstRowFirstColumn="0" w:firstRowLastColumn="0" w:lastRowFirstColumn="0" w:lastRowLastColumn="0"/>
            </w:pPr>
          </w:p>
        </w:tc>
        <w:tc>
          <w:tcPr>
            <w:tcW w:w="3210" w:type="dxa"/>
          </w:tcPr>
          <w:p w14:paraId="6B7C6355" w14:textId="77777777" w:rsidR="0027714C" w:rsidRDefault="0027714C">
            <w:pPr>
              <w:cnfStyle w:val="000000010000" w:firstRow="0" w:lastRow="0" w:firstColumn="0" w:lastColumn="0" w:oddVBand="0" w:evenVBand="0" w:oddHBand="0" w:evenHBand="1" w:firstRowFirstColumn="0" w:firstRowLastColumn="0" w:lastRowFirstColumn="0" w:lastRowLastColumn="0"/>
            </w:pPr>
          </w:p>
        </w:tc>
      </w:tr>
      <w:tr w:rsidR="0027714C" w14:paraId="1198B16B" w14:textId="77777777" w:rsidTr="00125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90ADFE6" w14:textId="6738A3CF" w:rsidR="0027714C" w:rsidRDefault="0027714C">
            <w:r w:rsidRPr="008E032B">
              <w:t>transport and mobility effecting independence</w:t>
            </w:r>
            <w:r w:rsidR="00C21DCA">
              <w:t>, for example,</w:t>
            </w:r>
            <w:r w:rsidRPr="008E032B">
              <w:t xml:space="preserve"> physical limitations and disabilities</w:t>
            </w:r>
          </w:p>
        </w:tc>
        <w:tc>
          <w:tcPr>
            <w:tcW w:w="2737" w:type="dxa"/>
          </w:tcPr>
          <w:p w14:paraId="113C634F" w14:textId="77777777" w:rsidR="0027714C" w:rsidRDefault="0027714C">
            <w:pPr>
              <w:cnfStyle w:val="000000100000" w:firstRow="0" w:lastRow="0" w:firstColumn="0" w:lastColumn="0" w:oddVBand="0" w:evenVBand="0" w:oddHBand="1" w:evenHBand="0" w:firstRowFirstColumn="0" w:firstRowLastColumn="0" w:lastRowFirstColumn="0" w:lastRowLastColumn="0"/>
            </w:pPr>
          </w:p>
        </w:tc>
        <w:tc>
          <w:tcPr>
            <w:tcW w:w="3210" w:type="dxa"/>
          </w:tcPr>
          <w:p w14:paraId="54BA7EA0" w14:textId="77777777" w:rsidR="0027714C" w:rsidRDefault="0027714C">
            <w:pPr>
              <w:cnfStyle w:val="000000100000" w:firstRow="0" w:lastRow="0" w:firstColumn="0" w:lastColumn="0" w:oddVBand="0" w:evenVBand="0" w:oddHBand="1" w:evenHBand="0" w:firstRowFirstColumn="0" w:firstRowLastColumn="0" w:lastRowFirstColumn="0" w:lastRowLastColumn="0"/>
            </w:pPr>
          </w:p>
        </w:tc>
      </w:tr>
    </w:tbl>
    <w:p w14:paraId="7F8670B6" w14:textId="5C438AD0" w:rsidR="005A0700" w:rsidRDefault="00140F97" w:rsidP="00140F97">
      <w:pPr>
        <w:pStyle w:val="Heading3"/>
      </w:pPr>
      <w:bookmarkStart w:id="18" w:name="_Toc174439835"/>
      <w:r>
        <w:t xml:space="preserve">Issues </w:t>
      </w:r>
      <w:r w:rsidR="002327EB">
        <w:t>a</w:t>
      </w:r>
      <w:r>
        <w:t>ffecting older Australians</w:t>
      </w:r>
      <w:bookmarkEnd w:id="18"/>
    </w:p>
    <w:p w14:paraId="639EFBF0" w14:textId="7A1D3ECE" w:rsidR="005A0700" w:rsidRDefault="008E3918" w:rsidP="00B01204">
      <w:pPr>
        <w:pStyle w:val="ListBullet"/>
      </w:pPr>
      <w:r>
        <w:t>C</w:t>
      </w:r>
      <w:r w:rsidR="005A0700">
        <w:t xml:space="preserve">hronic diseases, for </w:t>
      </w:r>
      <w:r w:rsidR="00133892">
        <w:t>example,</w:t>
      </w:r>
      <w:r w:rsidR="005A0700">
        <w:t xml:space="preserve"> diabetes, cardiovascular disease, osteoarthritis</w:t>
      </w:r>
      <w:r w:rsidR="004B7116">
        <w:t xml:space="preserve"> and</w:t>
      </w:r>
      <w:r w:rsidR="005A0700">
        <w:t xml:space="preserve"> dementia</w:t>
      </w:r>
    </w:p>
    <w:p w14:paraId="65340FE9" w14:textId="4EFF59BA" w:rsidR="005A0700" w:rsidRDefault="008E3918" w:rsidP="00B01204">
      <w:pPr>
        <w:pStyle w:val="ListBullet"/>
      </w:pPr>
      <w:r>
        <w:t>A</w:t>
      </w:r>
      <w:r w:rsidR="005A0700">
        <w:t>ccess to healthcare</w:t>
      </w:r>
    </w:p>
    <w:p w14:paraId="195342CD" w14:textId="76562666" w:rsidR="005A0700" w:rsidRDefault="008E3918" w:rsidP="00B01204">
      <w:pPr>
        <w:pStyle w:val="ListBullet"/>
      </w:pPr>
      <w:r>
        <w:lastRenderedPageBreak/>
        <w:t>T</w:t>
      </w:r>
      <w:r w:rsidR="005A0700">
        <w:t>ransport and mobility effecting independence</w:t>
      </w:r>
      <w:r w:rsidR="00C21DCA">
        <w:t>, for example,</w:t>
      </w:r>
      <w:r w:rsidR="005A0700">
        <w:t xml:space="preserve"> physical limitations and disabilities</w:t>
      </w:r>
    </w:p>
    <w:p w14:paraId="2A366E31" w14:textId="620C1C80" w:rsidR="005A0700" w:rsidRDefault="008E3918" w:rsidP="00B01204">
      <w:pPr>
        <w:pStyle w:val="ListBullet"/>
      </w:pPr>
      <w:r>
        <w:t>A</w:t>
      </w:r>
      <w:r w:rsidR="005A0700">
        <w:t>ccess</w:t>
      </w:r>
      <w:r w:rsidR="00C21DCA">
        <w:t>ing</w:t>
      </w:r>
      <w:r w:rsidR="005A0700">
        <w:t xml:space="preserve"> nutritious food and regular physical activity</w:t>
      </w:r>
    </w:p>
    <w:p w14:paraId="052E1EBA" w14:textId="05AE47AD" w:rsidR="005A0700" w:rsidRDefault="008E3918" w:rsidP="00B01204">
      <w:pPr>
        <w:pStyle w:val="ListBullet"/>
      </w:pPr>
      <w:r>
        <w:t>A</w:t>
      </w:r>
      <w:r w:rsidR="005A0700">
        <w:t>ccessing technology</w:t>
      </w:r>
    </w:p>
    <w:p w14:paraId="555D7FA4" w14:textId="16160D9E" w:rsidR="005A0700" w:rsidRDefault="008E3918" w:rsidP="00B01204">
      <w:pPr>
        <w:pStyle w:val="ListBullet"/>
      </w:pPr>
      <w:r>
        <w:t>M</w:t>
      </w:r>
      <w:r w:rsidR="005A0700">
        <w:t>ental health conditions</w:t>
      </w:r>
      <w:r w:rsidR="00C21DCA">
        <w:t>, for example,</w:t>
      </w:r>
      <w:r w:rsidR="005A0700">
        <w:t xml:space="preserve"> dementia</w:t>
      </w:r>
      <w:r w:rsidR="004B7116">
        <w:t xml:space="preserve"> and</w:t>
      </w:r>
      <w:r w:rsidR="005A0700">
        <w:t xml:space="preserve"> depression</w:t>
      </w:r>
    </w:p>
    <w:p w14:paraId="7EF687A6" w14:textId="671517ED" w:rsidR="005A0700" w:rsidRDefault="008E3918" w:rsidP="00B01204">
      <w:pPr>
        <w:pStyle w:val="ListBullet"/>
      </w:pPr>
      <w:r>
        <w:t>L</w:t>
      </w:r>
      <w:r w:rsidR="005A0700">
        <w:t>imited income</w:t>
      </w:r>
    </w:p>
    <w:p w14:paraId="6A4A43CB" w14:textId="2F43BB69" w:rsidR="005A0700" w:rsidRDefault="008E3918" w:rsidP="00B01204">
      <w:pPr>
        <w:pStyle w:val="ListBullet"/>
      </w:pPr>
      <w:r>
        <w:t>S</w:t>
      </w:r>
      <w:r w:rsidR="005A0700">
        <w:t>ocial isolation and loneliness</w:t>
      </w:r>
    </w:p>
    <w:p w14:paraId="07F1AE9B" w14:textId="41EB65E8" w:rsidR="000C58CD" w:rsidRPr="000C58CD" w:rsidRDefault="000C58CD" w:rsidP="000C58CD">
      <w:pPr>
        <w:pStyle w:val="Heading2"/>
      </w:pPr>
      <w:bookmarkStart w:id="19" w:name="_Toc174439836"/>
      <w:r>
        <w:t>Strategies for healthy ageing</w:t>
      </w:r>
      <w:bookmarkEnd w:id="19"/>
    </w:p>
    <w:p w14:paraId="1B0AFA8B" w14:textId="1D5004E8" w:rsidR="00950C1A" w:rsidRDefault="00F67134" w:rsidP="00501BF3">
      <w:r>
        <w:t>Explain to students that there are a variety of</w:t>
      </w:r>
      <w:r w:rsidR="000E621D">
        <w:t xml:space="preserve"> health promotion strategies</w:t>
      </w:r>
      <w:r w:rsidR="00C237CC">
        <w:rPr>
          <w:rStyle w:val="CommentReference"/>
        </w:rPr>
        <w:t xml:space="preserve"> </w:t>
      </w:r>
      <w:r>
        <w:t>aimed a</w:t>
      </w:r>
      <w:r w:rsidR="00DC049C">
        <w:t>t</w:t>
      </w:r>
      <w:r>
        <w:t xml:space="preserve"> improving the health and wellbeing of older Australians.</w:t>
      </w:r>
    </w:p>
    <w:p w14:paraId="37354261" w14:textId="53AD97B4" w:rsidR="00F67134" w:rsidRDefault="00931094" w:rsidP="00501BF3">
      <w:r>
        <w:t>Students brainstorm w</w:t>
      </w:r>
      <w:r w:rsidRPr="00931094">
        <w:t xml:space="preserve">hat </w:t>
      </w:r>
      <w:proofErr w:type="gramStart"/>
      <w:r w:rsidRPr="00931094">
        <w:t>services</w:t>
      </w:r>
      <w:r w:rsidR="001F2363">
        <w:t>,</w:t>
      </w:r>
      <w:proofErr w:type="gramEnd"/>
      <w:r w:rsidR="001F2363">
        <w:t xml:space="preserve"> local health promotion strategies and res</w:t>
      </w:r>
      <w:r w:rsidR="00DA49F3">
        <w:t>ources</w:t>
      </w:r>
      <w:r w:rsidRPr="00931094">
        <w:t xml:space="preserve"> are currently available</w:t>
      </w:r>
      <w:r w:rsidR="0078637F">
        <w:t xml:space="preserve"> in their local area</w:t>
      </w:r>
      <w:r w:rsidR="000A3229">
        <w:t xml:space="preserve"> or </w:t>
      </w:r>
      <w:r w:rsidR="00950C1A">
        <w:t>community</w:t>
      </w:r>
      <w:r w:rsidRPr="00931094">
        <w:t xml:space="preserve"> to support older people in healthy ageing</w:t>
      </w:r>
      <w:r w:rsidR="00984DC4">
        <w:t>.</w:t>
      </w:r>
      <w:r w:rsidR="00F67134">
        <w:t xml:space="preserve"> Students are to </w:t>
      </w:r>
      <w:r w:rsidR="0050122B">
        <w:t>investigate</w:t>
      </w:r>
      <w:r w:rsidR="0024276D">
        <w:t xml:space="preserve"> </w:t>
      </w:r>
      <w:r w:rsidR="00FB1CB7">
        <w:t xml:space="preserve">one of these </w:t>
      </w:r>
      <w:r w:rsidR="0078637F">
        <w:t>(</w:t>
      </w:r>
      <w:r>
        <w:t>negotiated by the teacher)</w:t>
      </w:r>
      <w:r w:rsidR="00F565E0">
        <w:t xml:space="preserve"> and</w:t>
      </w:r>
      <w:r w:rsidR="009D0FA6">
        <w:t xml:space="preserve"> one </w:t>
      </w:r>
      <w:r w:rsidR="00BD2C5F">
        <w:t>from</w:t>
      </w:r>
      <w:r>
        <w:t xml:space="preserve"> the following:</w:t>
      </w:r>
    </w:p>
    <w:p w14:paraId="13DC74CC" w14:textId="45A1AEFB" w:rsidR="00897005" w:rsidRPr="008907C8" w:rsidRDefault="00897005" w:rsidP="00B01204">
      <w:pPr>
        <w:pStyle w:val="ListBullet"/>
      </w:pPr>
      <w:r w:rsidRPr="008907C8">
        <w:t xml:space="preserve">Australian Government </w:t>
      </w:r>
      <w:r w:rsidR="000A3229">
        <w:t>–</w:t>
      </w:r>
      <w:r w:rsidRPr="008907C8">
        <w:t xml:space="preserve"> Department of Health and Aged Care</w:t>
      </w:r>
    </w:p>
    <w:p w14:paraId="0B798038" w14:textId="77777777" w:rsidR="00897005" w:rsidRPr="008907C8" w:rsidRDefault="00000000" w:rsidP="008E3918">
      <w:pPr>
        <w:pStyle w:val="ListBullet2"/>
        <w:ind w:left="1134" w:hanging="567"/>
      </w:pPr>
      <w:hyperlink r:id="rId25" w:history="1">
        <w:r w:rsidR="00897005" w:rsidRPr="00897005">
          <w:rPr>
            <w:rStyle w:val="Hyperlink"/>
          </w:rPr>
          <w:t>Positive ageing</w:t>
        </w:r>
      </w:hyperlink>
      <w:r w:rsidR="00897005" w:rsidRPr="00A91F7E">
        <w:t xml:space="preserve"> </w:t>
      </w:r>
      <w:r w:rsidR="00897005" w:rsidRPr="008907C8">
        <w:t>strategy</w:t>
      </w:r>
    </w:p>
    <w:p w14:paraId="4F388A1B" w14:textId="77777777" w:rsidR="00897005" w:rsidRPr="00897005" w:rsidRDefault="00000000" w:rsidP="008E3918">
      <w:pPr>
        <w:pStyle w:val="ListBullet2"/>
        <w:ind w:left="1134" w:hanging="567"/>
        <w:rPr>
          <w:rStyle w:val="Hyperlink"/>
        </w:rPr>
      </w:pPr>
      <w:hyperlink r:id="rId26" w:history="1">
        <w:r w:rsidR="00897005" w:rsidRPr="00897005">
          <w:rPr>
            <w:rStyle w:val="Hyperlink"/>
          </w:rPr>
          <w:t>Choose health, be active – a physical activity guide for older Australians</w:t>
        </w:r>
      </w:hyperlink>
    </w:p>
    <w:p w14:paraId="47171CA1" w14:textId="77777777" w:rsidR="00897005" w:rsidRPr="008907C8" w:rsidRDefault="00000000" w:rsidP="008E3918">
      <w:pPr>
        <w:pStyle w:val="ListBullet2"/>
        <w:ind w:left="1134" w:hanging="567"/>
      </w:pPr>
      <w:hyperlink r:id="rId27" w:history="1">
        <w:r w:rsidR="00897005" w:rsidRPr="00897005">
          <w:rPr>
            <w:rStyle w:val="Hyperlink"/>
          </w:rPr>
          <w:t>Physical activity and exercise guidelines for all Australians</w:t>
        </w:r>
      </w:hyperlink>
    </w:p>
    <w:p w14:paraId="5CB218C4" w14:textId="36266502" w:rsidR="00897005" w:rsidRDefault="00000000" w:rsidP="008E3918">
      <w:pPr>
        <w:pStyle w:val="ListBullet2"/>
        <w:ind w:left="1134" w:hanging="567"/>
      </w:pPr>
      <w:hyperlink r:id="rId28" w:history="1">
        <w:r w:rsidR="00897005" w:rsidRPr="008907C8">
          <w:rPr>
            <w:rStyle w:val="Hyperlink"/>
          </w:rPr>
          <w:t>Commonwealth Home Support Program (CHSP)</w:t>
        </w:r>
      </w:hyperlink>
      <w:r w:rsidR="000A3229">
        <w:rPr>
          <w:rStyle w:val="Hyperlink"/>
        </w:rPr>
        <w:t xml:space="preserve"> Manual</w:t>
      </w:r>
    </w:p>
    <w:p w14:paraId="376CED99" w14:textId="7700E120" w:rsidR="002000B2" w:rsidRDefault="00000000" w:rsidP="002000B2">
      <w:pPr>
        <w:pStyle w:val="ListBullet2"/>
        <w:ind w:left="1134" w:hanging="567"/>
      </w:pPr>
      <w:hyperlink r:id="rId29" w:history="1">
        <w:r w:rsidR="002000B2" w:rsidRPr="002000B2">
          <w:rPr>
            <w:rStyle w:val="Hyperlink"/>
          </w:rPr>
          <w:t>Healthy earing when your older</w:t>
        </w:r>
      </w:hyperlink>
    </w:p>
    <w:p w14:paraId="68E3CA9D" w14:textId="5DF2B854" w:rsidR="00897005" w:rsidRPr="00C237CC" w:rsidRDefault="00000000" w:rsidP="008E3918">
      <w:pPr>
        <w:pStyle w:val="ListBullet"/>
        <w:rPr>
          <w:rStyle w:val="Hyperlink"/>
        </w:rPr>
      </w:pPr>
      <w:hyperlink r:id="rId30" w:history="1">
        <w:proofErr w:type="spellStart"/>
        <w:r w:rsidR="00897005" w:rsidRPr="00C237CC">
          <w:rPr>
            <w:rStyle w:val="Hyperlink"/>
          </w:rPr>
          <w:t>LiveUp</w:t>
        </w:r>
        <w:proofErr w:type="spellEnd"/>
        <w:r w:rsidR="00897005" w:rsidRPr="00C237CC">
          <w:rPr>
            <w:rStyle w:val="Hyperlink"/>
          </w:rPr>
          <w:t xml:space="preserve"> program</w:t>
        </w:r>
      </w:hyperlink>
    </w:p>
    <w:p w14:paraId="05E0E68B" w14:textId="77777777" w:rsidR="00897005" w:rsidRDefault="00000000" w:rsidP="00B01204">
      <w:pPr>
        <w:pStyle w:val="ListBullet"/>
      </w:pPr>
      <w:hyperlink r:id="rId31" w:history="1">
        <w:r w:rsidR="00897005" w:rsidRPr="008907C8">
          <w:rPr>
            <w:rStyle w:val="Hyperlink"/>
          </w:rPr>
          <w:t>Uniting – Senior Health Hub</w:t>
        </w:r>
      </w:hyperlink>
    </w:p>
    <w:p w14:paraId="1FF91F7D" w14:textId="77777777" w:rsidR="00897005" w:rsidRDefault="00000000" w:rsidP="00B01204">
      <w:pPr>
        <w:pStyle w:val="ListBullet"/>
      </w:pPr>
      <w:hyperlink r:id="rId32" w:history="1">
        <w:r w:rsidR="00897005" w:rsidRPr="00AF5B63">
          <w:rPr>
            <w:rStyle w:val="Hyperlink"/>
          </w:rPr>
          <w:t>Active Ageing Australia</w:t>
        </w:r>
      </w:hyperlink>
    </w:p>
    <w:p w14:paraId="3339D2B5" w14:textId="532D0B1B" w:rsidR="00897005" w:rsidRDefault="00000000" w:rsidP="00B01204">
      <w:pPr>
        <w:pStyle w:val="ListBullet"/>
      </w:pPr>
      <w:hyperlink r:id="rId33" w:history="1">
        <w:r w:rsidR="00897005" w:rsidRPr="00332B77">
          <w:rPr>
            <w:rStyle w:val="Hyperlink"/>
          </w:rPr>
          <w:t>NSW Government</w:t>
        </w:r>
        <w:r w:rsidR="00443E58">
          <w:rPr>
            <w:rStyle w:val="Hyperlink"/>
          </w:rPr>
          <w:t xml:space="preserve"> –</w:t>
        </w:r>
        <w:r w:rsidR="00897005" w:rsidRPr="00332B77">
          <w:rPr>
            <w:rStyle w:val="Hyperlink"/>
          </w:rPr>
          <w:t xml:space="preserve"> Active and </w:t>
        </w:r>
        <w:r w:rsidR="00443E58">
          <w:rPr>
            <w:rStyle w:val="Hyperlink"/>
          </w:rPr>
          <w:t>H</w:t>
        </w:r>
        <w:r w:rsidR="00897005" w:rsidRPr="00332B77">
          <w:rPr>
            <w:rStyle w:val="Hyperlink"/>
          </w:rPr>
          <w:t>ealthy program</w:t>
        </w:r>
      </w:hyperlink>
    </w:p>
    <w:p w14:paraId="4C552A7E" w14:textId="020FDCC9" w:rsidR="00897005" w:rsidRDefault="00000000" w:rsidP="00B01204">
      <w:pPr>
        <w:pStyle w:val="ListBullet"/>
      </w:pPr>
      <w:hyperlink r:id="rId34" w:history="1">
        <w:r w:rsidR="00897005" w:rsidRPr="008907C8">
          <w:rPr>
            <w:rStyle w:val="Hyperlink"/>
          </w:rPr>
          <w:t>City of Melville</w:t>
        </w:r>
        <w:r w:rsidR="00443E58">
          <w:rPr>
            <w:rStyle w:val="Hyperlink"/>
          </w:rPr>
          <w:t xml:space="preserve"> –</w:t>
        </w:r>
        <w:r w:rsidR="00897005" w:rsidRPr="008907C8">
          <w:rPr>
            <w:rStyle w:val="Hyperlink"/>
          </w:rPr>
          <w:t xml:space="preserve"> Age Friendly Melville program</w:t>
        </w:r>
      </w:hyperlink>
    </w:p>
    <w:p w14:paraId="7A4BFB36" w14:textId="4B1632B1" w:rsidR="00897005" w:rsidRPr="008907C8" w:rsidRDefault="00000000" w:rsidP="00B01204">
      <w:pPr>
        <w:pStyle w:val="ListBullet"/>
      </w:pPr>
      <w:hyperlink r:id="rId35" w:history="1">
        <w:r w:rsidR="00897005" w:rsidRPr="00AF5B63">
          <w:rPr>
            <w:rStyle w:val="Hyperlink"/>
          </w:rPr>
          <w:t>PHN</w:t>
        </w:r>
        <w:r w:rsidR="00443E58">
          <w:rPr>
            <w:rStyle w:val="Hyperlink"/>
          </w:rPr>
          <w:t xml:space="preserve"> –</w:t>
        </w:r>
        <w:r w:rsidR="00897005" w:rsidRPr="00AF5B63">
          <w:rPr>
            <w:rStyle w:val="Hyperlink"/>
          </w:rPr>
          <w:t xml:space="preserve"> </w:t>
        </w:r>
        <w:proofErr w:type="gramStart"/>
        <w:r w:rsidR="00897005" w:rsidRPr="00AF5B63">
          <w:rPr>
            <w:rStyle w:val="Hyperlink"/>
          </w:rPr>
          <w:t>South Wester</w:t>
        </w:r>
        <w:r w:rsidR="00897005">
          <w:rPr>
            <w:rStyle w:val="Hyperlink"/>
          </w:rPr>
          <w:t>n</w:t>
        </w:r>
        <w:proofErr w:type="gramEnd"/>
        <w:r w:rsidR="00897005" w:rsidRPr="00AF5B63">
          <w:rPr>
            <w:rStyle w:val="Hyperlink"/>
          </w:rPr>
          <w:t xml:space="preserve"> Sydney</w:t>
        </w:r>
        <w:r w:rsidR="00443E58">
          <w:rPr>
            <w:rStyle w:val="Hyperlink"/>
          </w:rPr>
          <w:t>:</w:t>
        </w:r>
        <w:r w:rsidR="00897005" w:rsidRPr="00AF5B63">
          <w:rPr>
            <w:rStyle w:val="Hyperlink"/>
          </w:rPr>
          <w:t xml:space="preserve"> Live Well healthy ageing program</w:t>
        </w:r>
      </w:hyperlink>
    </w:p>
    <w:p w14:paraId="4FF145D8" w14:textId="61FF075C" w:rsidR="00897005" w:rsidRPr="00897005" w:rsidRDefault="00000000" w:rsidP="00B01204">
      <w:pPr>
        <w:pStyle w:val="ListBullet"/>
        <w:rPr>
          <w:rStyle w:val="Hyperlink"/>
        </w:rPr>
      </w:pPr>
      <w:hyperlink r:id="rId36" w:history="1">
        <w:r w:rsidR="00897005" w:rsidRPr="00897005">
          <w:rPr>
            <w:rStyle w:val="Hyperlink"/>
          </w:rPr>
          <w:t xml:space="preserve">Australian Human Rights Commission – </w:t>
        </w:r>
        <w:r w:rsidR="00C7541F">
          <w:rPr>
            <w:rStyle w:val="Hyperlink"/>
          </w:rPr>
          <w:t xml:space="preserve">The </w:t>
        </w:r>
        <w:r w:rsidR="00897005" w:rsidRPr="00897005">
          <w:rPr>
            <w:rStyle w:val="Hyperlink"/>
          </w:rPr>
          <w:t xml:space="preserve">Centenarian Portrait </w:t>
        </w:r>
        <w:r w:rsidR="00C7541F">
          <w:rPr>
            <w:rStyle w:val="Hyperlink"/>
          </w:rPr>
          <w:t>P</w:t>
        </w:r>
        <w:r w:rsidR="00897005" w:rsidRPr="00897005">
          <w:rPr>
            <w:rStyle w:val="Hyperlink"/>
          </w:rPr>
          <w:t xml:space="preserve">roject by </w:t>
        </w:r>
        <w:r w:rsidR="00C7541F">
          <w:rPr>
            <w:rStyle w:val="Hyperlink"/>
          </w:rPr>
          <w:t>T</w:t>
        </w:r>
        <w:r w:rsidR="00897005" w:rsidRPr="00897005">
          <w:rPr>
            <w:rStyle w:val="Hyperlink"/>
          </w:rPr>
          <w:t>eenagers</w:t>
        </w:r>
      </w:hyperlink>
      <w:r w:rsidR="004C611A" w:rsidRPr="008E3918">
        <w:t>.</w:t>
      </w:r>
    </w:p>
    <w:p w14:paraId="40F73EC2" w14:textId="4652434C" w:rsidR="00897005" w:rsidRDefault="00950C1A" w:rsidP="00501BF3">
      <w:r w:rsidRPr="00B50948">
        <w:t>Students are to</w:t>
      </w:r>
      <w:r w:rsidR="005A6FCE" w:rsidRPr="00B50948">
        <w:t xml:space="preserve"> answer the following </w:t>
      </w:r>
      <w:r w:rsidR="0081580E">
        <w:t xml:space="preserve">questions </w:t>
      </w:r>
      <w:r w:rsidR="005A6FCE" w:rsidRPr="00B50948">
        <w:t>for each strategy</w:t>
      </w:r>
      <w:r w:rsidR="0081580E">
        <w:t>,</w:t>
      </w:r>
      <w:r w:rsidR="00B50948" w:rsidRPr="00B50948">
        <w:t xml:space="preserve"> using </w:t>
      </w:r>
      <w:r w:rsidR="00F41A40">
        <w:fldChar w:fldCharType="begin"/>
      </w:r>
      <w:r w:rsidR="00F41A40">
        <w:instrText xml:space="preserve"> REF _Ref174018221 \h </w:instrText>
      </w:r>
      <w:r w:rsidR="00F41A40">
        <w:fldChar w:fldCharType="separate"/>
      </w:r>
      <w:r w:rsidR="00F41A40">
        <w:t xml:space="preserve">Table </w:t>
      </w:r>
      <w:r w:rsidR="00F41A40">
        <w:rPr>
          <w:noProof/>
        </w:rPr>
        <w:t>3</w:t>
      </w:r>
      <w:r w:rsidR="00F41A40">
        <w:fldChar w:fldCharType="end"/>
      </w:r>
      <w:r w:rsidR="00F41A40">
        <w:t xml:space="preserve"> </w:t>
      </w:r>
      <w:r w:rsidRPr="00B50948">
        <w:t>to collate their findings.</w:t>
      </w:r>
    </w:p>
    <w:p w14:paraId="0A80199E" w14:textId="2DA3948E" w:rsidR="00F67134" w:rsidRDefault="00F67134" w:rsidP="00B01204">
      <w:pPr>
        <w:pStyle w:val="ListBullet"/>
      </w:pPr>
      <w:r>
        <w:t>What does the program</w:t>
      </w:r>
      <w:r w:rsidR="00F41A40">
        <w:t xml:space="preserve"> or </w:t>
      </w:r>
      <w:r>
        <w:t>strategy do?</w:t>
      </w:r>
    </w:p>
    <w:p w14:paraId="4ECD07FA" w14:textId="7786E6C5" w:rsidR="00F67134" w:rsidRDefault="00F67134" w:rsidP="00B01204">
      <w:pPr>
        <w:pStyle w:val="ListBullet"/>
      </w:pPr>
      <w:r>
        <w:t>What are the advantages of the program</w:t>
      </w:r>
      <w:r w:rsidR="00F41A40">
        <w:t xml:space="preserve"> or </w:t>
      </w:r>
      <w:r>
        <w:t>strategy?</w:t>
      </w:r>
    </w:p>
    <w:p w14:paraId="3C316CBB" w14:textId="0D5015F2" w:rsidR="00F67134" w:rsidRDefault="00F67134" w:rsidP="00B01204">
      <w:pPr>
        <w:pStyle w:val="ListBullet"/>
      </w:pPr>
      <w:r>
        <w:t>What are the limitations of the program</w:t>
      </w:r>
      <w:r w:rsidR="00F41A40">
        <w:t xml:space="preserve"> or </w:t>
      </w:r>
      <w:r>
        <w:t>strategy?</w:t>
      </w:r>
    </w:p>
    <w:p w14:paraId="1D8E072B" w14:textId="7D286762" w:rsidR="00931094" w:rsidRDefault="00931094" w:rsidP="00B01204">
      <w:pPr>
        <w:pStyle w:val="ListBullet"/>
      </w:pPr>
      <w:r>
        <w:t>What improvements can be made?</w:t>
      </w:r>
    </w:p>
    <w:p w14:paraId="41CC2C94" w14:textId="7F418260" w:rsidR="00F67134" w:rsidRDefault="00F67134" w:rsidP="00B01204">
      <w:pPr>
        <w:pStyle w:val="ListBullet"/>
      </w:pPr>
      <w:r>
        <w:t>How has the program</w:t>
      </w:r>
      <w:r w:rsidR="00F41A40">
        <w:t xml:space="preserve"> or </w:t>
      </w:r>
      <w:r>
        <w:t xml:space="preserve">strategy </w:t>
      </w:r>
      <w:r w:rsidR="005114C3">
        <w:t>been</w:t>
      </w:r>
      <w:r>
        <w:t xml:space="preserve"> used to improve the health outcomes for older people</w:t>
      </w:r>
      <w:r w:rsidR="00F41A40">
        <w:t>?</w:t>
      </w:r>
      <w:r>
        <w:t xml:space="preserve"> Provide examples.</w:t>
      </w:r>
    </w:p>
    <w:p w14:paraId="23986812" w14:textId="65BF40F4" w:rsidR="006B2B65" w:rsidRDefault="006B2B65" w:rsidP="006B2B65">
      <w:pPr>
        <w:pStyle w:val="FeatureBox2"/>
      </w:pPr>
      <w:r w:rsidRPr="006B2B65">
        <w:rPr>
          <w:rStyle w:val="Strong"/>
        </w:rPr>
        <w:t>Note:</w:t>
      </w:r>
      <w:r>
        <w:t xml:space="preserve"> consider different ways t</w:t>
      </w:r>
      <w:r w:rsidR="00C24B10">
        <w:t>he</w:t>
      </w:r>
      <w:r>
        <w:t xml:space="preserve"> </w:t>
      </w:r>
      <w:r w:rsidR="00897005">
        <w:t xml:space="preserve">programs can be </w:t>
      </w:r>
      <w:r>
        <w:t>share</w:t>
      </w:r>
      <w:r w:rsidR="00897005">
        <w:t xml:space="preserve">d </w:t>
      </w:r>
      <w:r>
        <w:t xml:space="preserve">among your students so that all the </w:t>
      </w:r>
      <w:r w:rsidR="00897005">
        <w:t xml:space="preserve">programs can be </w:t>
      </w:r>
      <w:r>
        <w:t xml:space="preserve">collectively viewed. This ensures </w:t>
      </w:r>
      <w:r w:rsidR="00897005">
        <w:t xml:space="preserve">a variety of </w:t>
      </w:r>
      <w:r>
        <w:t>diverse</w:t>
      </w:r>
      <w:r w:rsidR="00897005">
        <w:t xml:space="preserve"> programs can be viewed and discussed.</w:t>
      </w:r>
    </w:p>
    <w:p w14:paraId="60F228FA" w14:textId="2781628B" w:rsidR="006B2B65" w:rsidRDefault="006B2B65" w:rsidP="006B2B65">
      <w:pPr>
        <w:pStyle w:val="FeatureBox2"/>
      </w:pPr>
      <w:r>
        <w:t xml:space="preserve">A shared document using a table or </w:t>
      </w:r>
      <w:r w:rsidR="00F41A40">
        <w:t xml:space="preserve">applications, </w:t>
      </w:r>
      <w:r>
        <w:t xml:space="preserve">such as </w:t>
      </w:r>
      <w:hyperlink r:id="rId37" w:history="1">
        <w:r w:rsidRPr="00F41A40">
          <w:rPr>
            <w:rStyle w:val="Hyperlink"/>
          </w:rPr>
          <w:t xml:space="preserve">Google </w:t>
        </w:r>
        <w:r w:rsidR="00F41A40" w:rsidRPr="00F41A40">
          <w:rPr>
            <w:rStyle w:val="Hyperlink"/>
          </w:rPr>
          <w:t>S</w:t>
        </w:r>
        <w:r w:rsidRPr="00F41A40">
          <w:rPr>
            <w:rStyle w:val="Hyperlink"/>
          </w:rPr>
          <w:t>lides</w:t>
        </w:r>
      </w:hyperlink>
      <w:r>
        <w:t xml:space="preserve"> or </w:t>
      </w:r>
      <w:hyperlink r:id="rId38" w:history="1">
        <w:r w:rsidRPr="00F41A40">
          <w:rPr>
            <w:rStyle w:val="Hyperlink"/>
          </w:rPr>
          <w:t>PowerPoint</w:t>
        </w:r>
      </w:hyperlink>
      <w:r w:rsidR="00F41A40">
        <w:t>,</w:t>
      </w:r>
      <w:r>
        <w:t xml:space="preserve"> m</w:t>
      </w:r>
      <w:r w:rsidR="006F28A3">
        <w:t>ight</w:t>
      </w:r>
      <w:r>
        <w:t xml:space="preserve"> be helpful to collate their understandings.</w:t>
      </w:r>
    </w:p>
    <w:p w14:paraId="2F1B1EEC" w14:textId="599FFC5B" w:rsidR="00F41A40" w:rsidRDefault="00F41A40" w:rsidP="00F41A40">
      <w:pPr>
        <w:pStyle w:val="Caption"/>
      </w:pPr>
      <w:bookmarkStart w:id="20" w:name="_Ref174018221"/>
      <w:r>
        <w:t xml:space="preserve">Table </w:t>
      </w:r>
      <w:r>
        <w:fldChar w:fldCharType="begin"/>
      </w:r>
      <w:r>
        <w:instrText xml:space="preserve"> SEQ Table \* ARABIC </w:instrText>
      </w:r>
      <w:r>
        <w:fldChar w:fldCharType="separate"/>
      </w:r>
      <w:r w:rsidR="003518D0">
        <w:rPr>
          <w:noProof/>
        </w:rPr>
        <w:t>3</w:t>
      </w:r>
      <w:r>
        <w:fldChar w:fldCharType="end"/>
      </w:r>
      <w:bookmarkEnd w:id="20"/>
      <w:r>
        <w:t xml:space="preserve"> – </w:t>
      </w:r>
      <w:r w:rsidRPr="00194E91">
        <w:t>health promotion strategy recording table</w:t>
      </w:r>
    </w:p>
    <w:tbl>
      <w:tblPr>
        <w:tblStyle w:val="Tableheader"/>
        <w:tblW w:w="0" w:type="auto"/>
        <w:tblLook w:val="04A0" w:firstRow="1" w:lastRow="0" w:firstColumn="1" w:lastColumn="0" w:noHBand="0" w:noVBand="1"/>
        <w:tblDescription w:val="Health promotion strategy table to record answers."/>
      </w:tblPr>
      <w:tblGrid>
        <w:gridCol w:w="1513"/>
        <w:gridCol w:w="1729"/>
        <w:gridCol w:w="1715"/>
        <w:gridCol w:w="2201"/>
        <w:gridCol w:w="2472"/>
      </w:tblGrid>
      <w:tr w:rsidR="00931094" w14:paraId="36829F8A" w14:textId="77777777" w:rsidTr="009310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18A683BE" w14:textId="3A75B0A4" w:rsidR="00501BF3" w:rsidRDefault="00931094" w:rsidP="00F565E0">
            <w:r>
              <w:t>Strategy and what it does</w:t>
            </w:r>
          </w:p>
        </w:tc>
        <w:tc>
          <w:tcPr>
            <w:tcW w:w="1729" w:type="dxa"/>
          </w:tcPr>
          <w:p w14:paraId="4718CD51" w14:textId="69457874" w:rsidR="00501BF3" w:rsidRDefault="00931094" w:rsidP="00F565E0">
            <w:pPr>
              <w:cnfStyle w:val="100000000000" w:firstRow="1" w:lastRow="0" w:firstColumn="0" w:lastColumn="0" w:oddVBand="0" w:evenVBand="0" w:oddHBand="0" w:evenHBand="0" w:firstRowFirstColumn="0" w:firstRowLastColumn="0" w:lastRowFirstColumn="0" w:lastRowLastColumn="0"/>
            </w:pPr>
            <w:r>
              <w:t>Advantages</w:t>
            </w:r>
          </w:p>
        </w:tc>
        <w:tc>
          <w:tcPr>
            <w:tcW w:w="1715" w:type="dxa"/>
          </w:tcPr>
          <w:p w14:paraId="1D89663C" w14:textId="600CB5A1" w:rsidR="00501BF3" w:rsidRDefault="00931094" w:rsidP="00F565E0">
            <w:pPr>
              <w:cnfStyle w:val="100000000000" w:firstRow="1" w:lastRow="0" w:firstColumn="0" w:lastColumn="0" w:oddVBand="0" w:evenVBand="0" w:oddHBand="0" w:evenHBand="0" w:firstRowFirstColumn="0" w:firstRowLastColumn="0" w:lastRowFirstColumn="0" w:lastRowLastColumn="0"/>
            </w:pPr>
            <w:r>
              <w:t>Limitations</w:t>
            </w:r>
          </w:p>
        </w:tc>
        <w:tc>
          <w:tcPr>
            <w:tcW w:w="2201" w:type="dxa"/>
          </w:tcPr>
          <w:p w14:paraId="3B23BC0D" w14:textId="6B7D5D46" w:rsidR="00501BF3" w:rsidRDefault="002D7F6B" w:rsidP="00F565E0">
            <w:pPr>
              <w:cnfStyle w:val="100000000000" w:firstRow="1" w:lastRow="0" w:firstColumn="0" w:lastColumn="0" w:oddVBand="0" w:evenVBand="0" w:oddHBand="0" w:evenHBand="0" w:firstRowFirstColumn="0" w:firstRowLastColumn="0" w:lastRowFirstColumn="0" w:lastRowLastColumn="0"/>
            </w:pPr>
            <w:r>
              <w:t xml:space="preserve">Ways it is </w:t>
            </w:r>
            <w:r w:rsidR="00960697">
              <w:t>improving health outcomes for older Australians</w:t>
            </w:r>
          </w:p>
        </w:tc>
        <w:tc>
          <w:tcPr>
            <w:tcW w:w="2472" w:type="dxa"/>
          </w:tcPr>
          <w:p w14:paraId="64F217A9" w14:textId="634AA92E" w:rsidR="00501BF3" w:rsidRDefault="00960697" w:rsidP="00F565E0">
            <w:pPr>
              <w:cnfStyle w:val="100000000000" w:firstRow="1" w:lastRow="0" w:firstColumn="0" w:lastColumn="0" w:oddVBand="0" w:evenVBand="0" w:oddHBand="0" w:evenHBand="0" w:firstRowFirstColumn="0" w:firstRowLastColumn="0" w:lastRowFirstColumn="0" w:lastRowLastColumn="0"/>
            </w:pPr>
            <w:r>
              <w:t>Recommended improvements</w:t>
            </w:r>
          </w:p>
        </w:tc>
      </w:tr>
      <w:tr w:rsidR="00931094" w14:paraId="2AAA45F6" w14:textId="77777777" w:rsidTr="00931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4C2F2F3F" w14:textId="77777777" w:rsidR="00501BF3" w:rsidRDefault="00501BF3" w:rsidP="00F565E0"/>
        </w:tc>
        <w:tc>
          <w:tcPr>
            <w:tcW w:w="1729" w:type="dxa"/>
          </w:tcPr>
          <w:p w14:paraId="493473FB" w14:textId="77777777" w:rsidR="00501BF3" w:rsidRDefault="00501BF3" w:rsidP="00F565E0">
            <w:pPr>
              <w:cnfStyle w:val="000000100000" w:firstRow="0" w:lastRow="0" w:firstColumn="0" w:lastColumn="0" w:oddVBand="0" w:evenVBand="0" w:oddHBand="1" w:evenHBand="0" w:firstRowFirstColumn="0" w:firstRowLastColumn="0" w:lastRowFirstColumn="0" w:lastRowLastColumn="0"/>
            </w:pPr>
          </w:p>
        </w:tc>
        <w:tc>
          <w:tcPr>
            <w:tcW w:w="1715" w:type="dxa"/>
          </w:tcPr>
          <w:p w14:paraId="7C5233D4" w14:textId="77777777" w:rsidR="00501BF3" w:rsidRDefault="00501BF3" w:rsidP="00F565E0">
            <w:pPr>
              <w:cnfStyle w:val="000000100000" w:firstRow="0" w:lastRow="0" w:firstColumn="0" w:lastColumn="0" w:oddVBand="0" w:evenVBand="0" w:oddHBand="1" w:evenHBand="0" w:firstRowFirstColumn="0" w:firstRowLastColumn="0" w:lastRowFirstColumn="0" w:lastRowLastColumn="0"/>
            </w:pPr>
          </w:p>
        </w:tc>
        <w:tc>
          <w:tcPr>
            <w:tcW w:w="2201" w:type="dxa"/>
          </w:tcPr>
          <w:p w14:paraId="789B4F70" w14:textId="77777777" w:rsidR="00501BF3" w:rsidRDefault="00501BF3" w:rsidP="00F565E0">
            <w:pPr>
              <w:cnfStyle w:val="000000100000" w:firstRow="0" w:lastRow="0" w:firstColumn="0" w:lastColumn="0" w:oddVBand="0" w:evenVBand="0" w:oddHBand="1" w:evenHBand="0" w:firstRowFirstColumn="0" w:firstRowLastColumn="0" w:lastRowFirstColumn="0" w:lastRowLastColumn="0"/>
            </w:pPr>
          </w:p>
        </w:tc>
        <w:tc>
          <w:tcPr>
            <w:tcW w:w="2472" w:type="dxa"/>
          </w:tcPr>
          <w:p w14:paraId="79436C9A" w14:textId="77777777" w:rsidR="00501BF3" w:rsidRDefault="00501BF3" w:rsidP="00F565E0">
            <w:pPr>
              <w:cnfStyle w:val="000000100000" w:firstRow="0" w:lastRow="0" w:firstColumn="0" w:lastColumn="0" w:oddVBand="0" w:evenVBand="0" w:oddHBand="1" w:evenHBand="0" w:firstRowFirstColumn="0" w:firstRowLastColumn="0" w:lastRowFirstColumn="0" w:lastRowLastColumn="0"/>
            </w:pPr>
          </w:p>
        </w:tc>
      </w:tr>
      <w:tr w:rsidR="00931094" w14:paraId="08B1E9DC" w14:textId="77777777" w:rsidTr="009310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614AA523" w14:textId="77777777" w:rsidR="00501BF3" w:rsidRDefault="00501BF3" w:rsidP="00F565E0"/>
        </w:tc>
        <w:tc>
          <w:tcPr>
            <w:tcW w:w="1729" w:type="dxa"/>
          </w:tcPr>
          <w:p w14:paraId="07AE2774" w14:textId="77777777" w:rsidR="00501BF3" w:rsidRDefault="00501BF3" w:rsidP="00F565E0">
            <w:pPr>
              <w:cnfStyle w:val="000000010000" w:firstRow="0" w:lastRow="0" w:firstColumn="0" w:lastColumn="0" w:oddVBand="0" w:evenVBand="0" w:oddHBand="0" w:evenHBand="1" w:firstRowFirstColumn="0" w:firstRowLastColumn="0" w:lastRowFirstColumn="0" w:lastRowLastColumn="0"/>
            </w:pPr>
          </w:p>
        </w:tc>
        <w:tc>
          <w:tcPr>
            <w:tcW w:w="1715" w:type="dxa"/>
          </w:tcPr>
          <w:p w14:paraId="3F2C4AA8" w14:textId="77777777" w:rsidR="00501BF3" w:rsidRDefault="00501BF3" w:rsidP="00F565E0">
            <w:pPr>
              <w:cnfStyle w:val="000000010000" w:firstRow="0" w:lastRow="0" w:firstColumn="0" w:lastColumn="0" w:oddVBand="0" w:evenVBand="0" w:oddHBand="0" w:evenHBand="1" w:firstRowFirstColumn="0" w:firstRowLastColumn="0" w:lastRowFirstColumn="0" w:lastRowLastColumn="0"/>
            </w:pPr>
          </w:p>
        </w:tc>
        <w:tc>
          <w:tcPr>
            <w:tcW w:w="2201" w:type="dxa"/>
          </w:tcPr>
          <w:p w14:paraId="2138EDBE" w14:textId="77777777" w:rsidR="00501BF3" w:rsidRDefault="00501BF3" w:rsidP="00F565E0">
            <w:pPr>
              <w:cnfStyle w:val="000000010000" w:firstRow="0" w:lastRow="0" w:firstColumn="0" w:lastColumn="0" w:oddVBand="0" w:evenVBand="0" w:oddHBand="0" w:evenHBand="1" w:firstRowFirstColumn="0" w:firstRowLastColumn="0" w:lastRowFirstColumn="0" w:lastRowLastColumn="0"/>
            </w:pPr>
          </w:p>
        </w:tc>
        <w:tc>
          <w:tcPr>
            <w:tcW w:w="2472" w:type="dxa"/>
          </w:tcPr>
          <w:p w14:paraId="20055C48" w14:textId="77777777" w:rsidR="00501BF3" w:rsidRDefault="00501BF3" w:rsidP="00F565E0">
            <w:pPr>
              <w:cnfStyle w:val="000000010000" w:firstRow="0" w:lastRow="0" w:firstColumn="0" w:lastColumn="0" w:oddVBand="0" w:evenVBand="0" w:oddHBand="0" w:evenHBand="1" w:firstRowFirstColumn="0" w:firstRowLastColumn="0" w:lastRowFirstColumn="0" w:lastRowLastColumn="0"/>
            </w:pPr>
          </w:p>
        </w:tc>
      </w:tr>
    </w:tbl>
    <w:p w14:paraId="25B94727" w14:textId="622B0294" w:rsidR="00B22B46" w:rsidRDefault="00C00E40" w:rsidP="00B22B46">
      <w:r>
        <w:t>Students write a half page response</w:t>
      </w:r>
      <w:r w:rsidR="00E84A6C">
        <w:t xml:space="preserve"> to the followin</w:t>
      </w:r>
      <w:r w:rsidR="006D2460">
        <w:t>g question:</w:t>
      </w:r>
    </w:p>
    <w:p w14:paraId="7E091340" w14:textId="35A47B0D" w:rsidR="006D2460" w:rsidRDefault="009D0FA6" w:rsidP="00B01204">
      <w:pPr>
        <w:pStyle w:val="ListBullet"/>
      </w:pPr>
      <w:r>
        <w:t>C</w:t>
      </w:r>
      <w:r w:rsidR="006D2460" w:rsidRPr="006D2460">
        <w:t>ompare</w:t>
      </w:r>
      <w:r w:rsidR="001D5751">
        <w:t xml:space="preserve"> the effectiveness of </w:t>
      </w:r>
      <w:r w:rsidR="00CC1878">
        <w:t>2</w:t>
      </w:r>
      <w:r w:rsidR="001D5751">
        <w:t xml:space="preserve"> </w:t>
      </w:r>
      <w:r w:rsidR="006D2460" w:rsidRPr="006D2460">
        <w:t xml:space="preserve">health promotion strategies </w:t>
      </w:r>
      <w:r w:rsidR="006D2460">
        <w:t>in improv</w:t>
      </w:r>
      <w:r w:rsidR="008602D0">
        <w:t>ing</w:t>
      </w:r>
      <w:r w:rsidR="006D2460">
        <w:t xml:space="preserve"> the</w:t>
      </w:r>
      <w:r w:rsidR="008602D0">
        <w:t xml:space="preserve"> health outcomes for older Australians</w:t>
      </w:r>
      <w:r w:rsidR="002B24AA">
        <w:t>.</w:t>
      </w:r>
    </w:p>
    <w:p w14:paraId="68B53622" w14:textId="29AE34DB" w:rsidR="00501BF3" w:rsidRDefault="00B04D1A" w:rsidP="00B04D1A">
      <w:pPr>
        <w:pStyle w:val="Heading2"/>
      </w:pPr>
      <w:bookmarkStart w:id="21" w:name="_Toc174439837"/>
      <w:r>
        <w:lastRenderedPageBreak/>
        <w:t>Alignment of the strategy to the SDG</w:t>
      </w:r>
      <w:r w:rsidR="003518D0">
        <w:t>s</w:t>
      </w:r>
      <w:bookmarkEnd w:id="21"/>
    </w:p>
    <w:p w14:paraId="6DAA9EF4" w14:textId="7EBD0712" w:rsidR="00C236E2" w:rsidRDefault="00B1667D" w:rsidP="00B11044">
      <w:r>
        <w:t>U</w:t>
      </w:r>
      <w:r w:rsidR="00BF7543">
        <w:t xml:space="preserve">sing </w:t>
      </w:r>
      <w:r w:rsidR="00BC72BB">
        <w:t xml:space="preserve">the infographic data, </w:t>
      </w:r>
      <w:r w:rsidR="000B3A80">
        <w:t xml:space="preserve">knowledge of the issues </w:t>
      </w:r>
      <w:r w:rsidR="00451FE4">
        <w:t>surround</w:t>
      </w:r>
      <w:r w:rsidR="0068061E">
        <w:t>ing</w:t>
      </w:r>
      <w:r w:rsidR="00451FE4">
        <w:t xml:space="preserve"> older Australian</w:t>
      </w:r>
      <w:r w:rsidR="0068061E">
        <w:t>s</w:t>
      </w:r>
      <w:r w:rsidR="0011758F">
        <w:t xml:space="preserve"> </w:t>
      </w:r>
      <w:r w:rsidR="00937C3E">
        <w:t xml:space="preserve">in </w:t>
      </w:r>
      <w:r w:rsidR="003518D0">
        <w:fldChar w:fldCharType="begin"/>
      </w:r>
      <w:r w:rsidR="003518D0">
        <w:instrText xml:space="preserve"> REF _Ref174013745 \h </w:instrText>
      </w:r>
      <w:r w:rsidR="003518D0">
        <w:fldChar w:fldCharType="separate"/>
      </w:r>
      <w:r w:rsidR="003518D0">
        <w:t xml:space="preserve">Table </w:t>
      </w:r>
      <w:r w:rsidR="003518D0">
        <w:rPr>
          <w:noProof/>
        </w:rPr>
        <w:t>2</w:t>
      </w:r>
      <w:r w:rsidR="003518D0">
        <w:fldChar w:fldCharType="end"/>
      </w:r>
      <w:r w:rsidR="00937C3E">
        <w:t xml:space="preserve"> </w:t>
      </w:r>
      <w:r w:rsidR="0011758F">
        <w:t xml:space="preserve">and </w:t>
      </w:r>
      <w:r w:rsidR="00E31705">
        <w:t xml:space="preserve">their </w:t>
      </w:r>
      <w:r w:rsidR="00602E71">
        <w:t>analysis</w:t>
      </w:r>
      <w:r w:rsidR="0068061E">
        <w:t xml:space="preserve"> of </w:t>
      </w:r>
      <w:r w:rsidR="00447754">
        <w:t xml:space="preserve">a </w:t>
      </w:r>
      <w:r w:rsidR="00602E71">
        <w:t xml:space="preserve">current </w:t>
      </w:r>
      <w:r w:rsidR="0068061E">
        <w:t xml:space="preserve">health </w:t>
      </w:r>
      <w:r w:rsidR="00E31705">
        <w:t xml:space="preserve">promotion </w:t>
      </w:r>
      <w:r w:rsidR="00602E71">
        <w:t>strateg</w:t>
      </w:r>
      <w:r w:rsidR="00447754">
        <w:t>y in their local community</w:t>
      </w:r>
      <w:r w:rsidR="00937C3E">
        <w:t xml:space="preserve"> in </w:t>
      </w:r>
      <w:r w:rsidR="003518D0">
        <w:fldChar w:fldCharType="begin"/>
      </w:r>
      <w:r w:rsidR="003518D0">
        <w:instrText xml:space="preserve"> REF _Ref174018221 \h </w:instrText>
      </w:r>
      <w:r w:rsidR="003518D0">
        <w:fldChar w:fldCharType="separate"/>
      </w:r>
      <w:r w:rsidR="003518D0">
        <w:t xml:space="preserve">Table </w:t>
      </w:r>
      <w:r w:rsidR="003518D0">
        <w:rPr>
          <w:noProof/>
        </w:rPr>
        <w:t>3</w:t>
      </w:r>
      <w:r w:rsidR="003518D0">
        <w:fldChar w:fldCharType="end"/>
      </w:r>
      <w:r w:rsidR="0011758F">
        <w:t xml:space="preserve">, </w:t>
      </w:r>
      <w:r>
        <w:t xml:space="preserve">students </w:t>
      </w:r>
      <w:r w:rsidR="00BC72BB">
        <w:t xml:space="preserve">will now </w:t>
      </w:r>
      <w:r w:rsidR="00A85FC5">
        <w:t xml:space="preserve">make </w:t>
      </w:r>
      <w:r w:rsidR="0011758F">
        <w:t xml:space="preserve">a </w:t>
      </w:r>
      <w:r w:rsidR="00A85FC5">
        <w:t xml:space="preserve">judgement on the ability of </w:t>
      </w:r>
      <w:r w:rsidR="00CC1878">
        <w:t>each</w:t>
      </w:r>
      <w:r w:rsidR="00A85FC5">
        <w:t xml:space="preserve"> health promotion strategy to meet the </w:t>
      </w:r>
      <w:r w:rsidR="00682536">
        <w:t xml:space="preserve">SDGs </w:t>
      </w:r>
      <w:r w:rsidR="00A85FC5">
        <w:t xml:space="preserve">and improve the health outcomes for older Australians. </w:t>
      </w:r>
      <w:r w:rsidR="000E7AF7">
        <w:t>Students</w:t>
      </w:r>
      <w:r w:rsidR="00C236E2">
        <w:t xml:space="preserve"> work in pairs to answer the following</w:t>
      </w:r>
      <w:r w:rsidR="002562FF">
        <w:t xml:space="preserve"> questions</w:t>
      </w:r>
      <w:r w:rsidR="00C236E2">
        <w:t xml:space="preserve"> using </w:t>
      </w:r>
      <w:r w:rsidR="003518D0">
        <w:fldChar w:fldCharType="begin"/>
      </w:r>
      <w:r w:rsidR="003518D0">
        <w:instrText xml:space="preserve"> REF _Ref174018501 \h </w:instrText>
      </w:r>
      <w:r w:rsidR="003518D0">
        <w:fldChar w:fldCharType="separate"/>
      </w:r>
      <w:r w:rsidR="003518D0">
        <w:t xml:space="preserve">Table </w:t>
      </w:r>
      <w:r w:rsidR="003518D0">
        <w:rPr>
          <w:noProof/>
        </w:rPr>
        <w:t>4</w:t>
      </w:r>
      <w:r w:rsidR="003518D0">
        <w:fldChar w:fldCharType="end"/>
      </w:r>
      <w:r w:rsidR="00C236E2">
        <w:t xml:space="preserve"> below.</w:t>
      </w:r>
    </w:p>
    <w:p w14:paraId="53B5DFB8" w14:textId="77777777" w:rsidR="002562FF" w:rsidRDefault="002562FF" w:rsidP="00B01204">
      <w:pPr>
        <w:pStyle w:val="ListBullet"/>
      </w:pPr>
      <w:r>
        <w:t>What health issues does the strategy address?</w:t>
      </w:r>
    </w:p>
    <w:p w14:paraId="03546559" w14:textId="77777777" w:rsidR="002562FF" w:rsidRDefault="002562FF" w:rsidP="00B01204">
      <w:pPr>
        <w:pStyle w:val="ListBullet"/>
      </w:pPr>
      <w:r w:rsidRPr="00C236E2">
        <w:t>How</w:t>
      </w:r>
      <w:r>
        <w:t xml:space="preserve"> effective has the </w:t>
      </w:r>
      <w:r w:rsidRPr="00C236E2">
        <w:t xml:space="preserve">strategy </w:t>
      </w:r>
      <w:r>
        <w:t xml:space="preserve">been in </w:t>
      </w:r>
      <w:r w:rsidRPr="00C236E2">
        <w:t>address</w:t>
      </w:r>
      <w:r>
        <w:t>ing</w:t>
      </w:r>
      <w:r w:rsidRPr="00C236E2">
        <w:t xml:space="preserve"> the issues related to healthy ageing for older Australians? </w:t>
      </w:r>
      <w:r>
        <w:t>Why?</w:t>
      </w:r>
    </w:p>
    <w:p w14:paraId="57C0B018" w14:textId="1B2E7E8B" w:rsidR="002562FF" w:rsidRDefault="002562FF" w:rsidP="00B01204">
      <w:pPr>
        <w:pStyle w:val="ListBullet"/>
      </w:pPr>
      <w:r w:rsidRPr="00C236E2">
        <w:t>How does the local</w:t>
      </w:r>
      <w:r>
        <w:t xml:space="preserve"> health promotion</w:t>
      </w:r>
      <w:r w:rsidRPr="00C236E2">
        <w:t xml:space="preserve"> program</w:t>
      </w:r>
      <w:r w:rsidR="00750A0B">
        <w:t xml:space="preserve"> or </w:t>
      </w:r>
      <w:r w:rsidRPr="00C236E2">
        <w:t xml:space="preserve">strategy </w:t>
      </w:r>
      <w:r>
        <w:t>align to the SDGs?</w:t>
      </w:r>
    </w:p>
    <w:p w14:paraId="16305B5F" w14:textId="77777777" w:rsidR="002562FF" w:rsidRPr="00C236E2" w:rsidRDefault="002562FF" w:rsidP="00B01204">
      <w:pPr>
        <w:pStyle w:val="ListBullet"/>
      </w:pPr>
      <w:r>
        <w:t>What are the positive ways that the strategy is addressing the SDGs?</w:t>
      </w:r>
    </w:p>
    <w:p w14:paraId="53BC95D7" w14:textId="6A5B0A01" w:rsidR="002E4CE7" w:rsidRDefault="002562FF" w:rsidP="00B01204">
      <w:pPr>
        <w:pStyle w:val="ListBullet"/>
      </w:pPr>
      <w:r w:rsidRPr="00C236E2">
        <w:t>What further improvements could be made to the strategy to advocate and support older people in your local area or community?</w:t>
      </w:r>
    </w:p>
    <w:p w14:paraId="5B4E227A" w14:textId="4DF47108" w:rsidR="003518D0" w:rsidRDefault="003518D0" w:rsidP="003518D0">
      <w:pPr>
        <w:pStyle w:val="Caption"/>
      </w:pPr>
      <w:bookmarkStart w:id="22" w:name="_Ref174018501"/>
      <w:r>
        <w:t xml:space="preserve">Table </w:t>
      </w:r>
      <w:r>
        <w:fldChar w:fldCharType="begin"/>
      </w:r>
      <w:r>
        <w:instrText xml:space="preserve"> SEQ Table \* ARABIC </w:instrText>
      </w:r>
      <w:r>
        <w:fldChar w:fldCharType="separate"/>
      </w:r>
      <w:r>
        <w:rPr>
          <w:noProof/>
        </w:rPr>
        <w:t>4</w:t>
      </w:r>
      <w:r>
        <w:fldChar w:fldCharType="end"/>
      </w:r>
      <w:bookmarkEnd w:id="22"/>
      <w:r>
        <w:t xml:space="preserve"> – </w:t>
      </w:r>
      <w:r w:rsidRPr="00DE4229">
        <w:t>alignment of a health promotion strategy to the SDGs recording table</w:t>
      </w:r>
    </w:p>
    <w:tbl>
      <w:tblPr>
        <w:tblStyle w:val="Tableheader"/>
        <w:tblW w:w="0" w:type="auto"/>
        <w:tblLook w:val="04A0" w:firstRow="1" w:lastRow="0" w:firstColumn="1" w:lastColumn="0" w:noHBand="0" w:noVBand="1"/>
        <w:tblDescription w:val="Alignment of a health promotion strategy to the SDGs recording table. There are blank cells to record answers."/>
      </w:tblPr>
      <w:tblGrid>
        <w:gridCol w:w="1261"/>
        <w:gridCol w:w="1927"/>
        <w:gridCol w:w="1927"/>
        <w:gridCol w:w="2589"/>
        <w:gridCol w:w="1926"/>
      </w:tblGrid>
      <w:tr w:rsidR="001F3488" w14:paraId="68C0DE78" w14:textId="77777777" w:rsidTr="001F3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43EDA656" w14:textId="5484A231" w:rsidR="001F3488" w:rsidRDefault="001F3488" w:rsidP="00B11044">
            <w:r>
              <w:t>Strategy</w:t>
            </w:r>
          </w:p>
        </w:tc>
        <w:tc>
          <w:tcPr>
            <w:tcW w:w="1927" w:type="dxa"/>
          </w:tcPr>
          <w:p w14:paraId="52ABCEE3" w14:textId="09FB0496" w:rsidR="001F3488" w:rsidRDefault="001F3488" w:rsidP="00B11044">
            <w:pPr>
              <w:cnfStyle w:val="100000000000" w:firstRow="1" w:lastRow="0" w:firstColumn="0" w:lastColumn="0" w:oddVBand="0" w:evenVBand="0" w:oddHBand="0" w:evenHBand="0" w:firstRowFirstColumn="0" w:firstRowLastColumn="0" w:lastRowFirstColumn="0" w:lastRowLastColumn="0"/>
            </w:pPr>
            <w:r>
              <w:t>Addresses which health issue</w:t>
            </w:r>
          </w:p>
        </w:tc>
        <w:tc>
          <w:tcPr>
            <w:tcW w:w="1927" w:type="dxa"/>
          </w:tcPr>
          <w:p w14:paraId="6F2F09AD" w14:textId="6F110599" w:rsidR="001F3488" w:rsidRDefault="001F3488" w:rsidP="00B11044">
            <w:pPr>
              <w:cnfStyle w:val="100000000000" w:firstRow="1" w:lastRow="0" w:firstColumn="0" w:lastColumn="0" w:oddVBand="0" w:evenVBand="0" w:oddHBand="0" w:evenHBand="0" w:firstRowFirstColumn="0" w:firstRowLastColumn="0" w:lastRowFirstColumn="0" w:lastRowLastColumn="0"/>
            </w:pPr>
            <w:r>
              <w:t>Alignment to SDGs and targets (3,</w:t>
            </w:r>
            <w:r w:rsidR="00750A0B">
              <w:t xml:space="preserve"> </w:t>
            </w:r>
            <w:r>
              <w:t>4,</w:t>
            </w:r>
            <w:r w:rsidR="00750A0B">
              <w:t xml:space="preserve"> </w:t>
            </w:r>
            <w:r>
              <w:t>10,</w:t>
            </w:r>
            <w:r w:rsidR="00750A0B">
              <w:t xml:space="preserve"> </w:t>
            </w:r>
            <w:r>
              <w:t>11)</w:t>
            </w:r>
          </w:p>
        </w:tc>
        <w:tc>
          <w:tcPr>
            <w:tcW w:w="2589" w:type="dxa"/>
          </w:tcPr>
          <w:p w14:paraId="0F130637" w14:textId="5B80C773" w:rsidR="001F3488" w:rsidRDefault="001F3488" w:rsidP="00B11044">
            <w:pPr>
              <w:cnfStyle w:val="100000000000" w:firstRow="1" w:lastRow="0" w:firstColumn="0" w:lastColumn="0" w:oddVBand="0" w:evenVBand="0" w:oddHBand="0" w:evenHBand="0" w:firstRowFirstColumn="0" w:firstRowLastColumn="0" w:lastRowFirstColumn="0" w:lastRowLastColumn="0"/>
            </w:pPr>
            <w:r>
              <w:t>Positive ways the strategy addresses the SDGs</w:t>
            </w:r>
          </w:p>
        </w:tc>
        <w:tc>
          <w:tcPr>
            <w:tcW w:w="1926" w:type="dxa"/>
          </w:tcPr>
          <w:p w14:paraId="67E21EB4" w14:textId="0E579049" w:rsidR="001F3488" w:rsidRDefault="001F3488" w:rsidP="00B11044">
            <w:pPr>
              <w:cnfStyle w:val="100000000000" w:firstRow="1" w:lastRow="0" w:firstColumn="0" w:lastColumn="0" w:oddVBand="0" w:evenVBand="0" w:oddHBand="0" w:evenHBand="0" w:firstRowFirstColumn="0" w:firstRowLastColumn="0" w:lastRowFirstColumn="0" w:lastRowLastColumn="0"/>
            </w:pPr>
            <w:r>
              <w:t>Improvements needed for the strategy to meet the SDG</w:t>
            </w:r>
          </w:p>
        </w:tc>
      </w:tr>
      <w:tr w:rsidR="001F3488" w14:paraId="5B546341" w14:textId="77777777" w:rsidTr="001F34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4A237DD5" w14:textId="77777777" w:rsidR="001F3488" w:rsidRDefault="001F3488" w:rsidP="00B11044"/>
        </w:tc>
        <w:tc>
          <w:tcPr>
            <w:tcW w:w="1927" w:type="dxa"/>
          </w:tcPr>
          <w:p w14:paraId="6A6013F6" w14:textId="77777777" w:rsidR="001F3488" w:rsidRDefault="001F3488" w:rsidP="00B11044">
            <w:pPr>
              <w:cnfStyle w:val="000000100000" w:firstRow="0" w:lastRow="0" w:firstColumn="0" w:lastColumn="0" w:oddVBand="0" w:evenVBand="0" w:oddHBand="1" w:evenHBand="0" w:firstRowFirstColumn="0" w:firstRowLastColumn="0" w:lastRowFirstColumn="0" w:lastRowLastColumn="0"/>
            </w:pPr>
          </w:p>
        </w:tc>
        <w:tc>
          <w:tcPr>
            <w:tcW w:w="1927" w:type="dxa"/>
          </w:tcPr>
          <w:p w14:paraId="588DBB46" w14:textId="52177E96" w:rsidR="001F3488" w:rsidRDefault="001F3488" w:rsidP="00B11044">
            <w:pPr>
              <w:cnfStyle w:val="000000100000" w:firstRow="0" w:lastRow="0" w:firstColumn="0" w:lastColumn="0" w:oddVBand="0" w:evenVBand="0" w:oddHBand="1" w:evenHBand="0" w:firstRowFirstColumn="0" w:firstRowLastColumn="0" w:lastRowFirstColumn="0" w:lastRowLastColumn="0"/>
            </w:pPr>
          </w:p>
        </w:tc>
        <w:tc>
          <w:tcPr>
            <w:tcW w:w="2589" w:type="dxa"/>
          </w:tcPr>
          <w:p w14:paraId="4E9F1EDB" w14:textId="061B18A9" w:rsidR="001F3488" w:rsidRDefault="001F3488" w:rsidP="00B11044">
            <w:pPr>
              <w:cnfStyle w:val="000000100000" w:firstRow="0" w:lastRow="0" w:firstColumn="0" w:lastColumn="0" w:oddVBand="0" w:evenVBand="0" w:oddHBand="1" w:evenHBand="0" w:firstRowFirstColumn="0" w:firstRowLastColumn="0" w:lastRowFirstColumn="0" w:lastRowLastColumn="0"/>
            </w:pPr>
          </w:p>
        </w:tc>
        <w:tc>
          <w:tcPr>
            <w:tcW w:w="1926" w:type="dxa"/>
          </w:tcPr>
          <w:p w14:paraId="496FA687" w14:textId="77777777" w:rsidR="001F3488" w:rsidRDefault="001F3488" w:rsidP="00B11044">
            <w:pPr>
              <w:cnfStyle w:val="000000100000" w:firstRow="0" w:lastRow="0" w:firstColumn="0" w:lastColumn="0" w:oddVBand="0" w:evenVBand="0" w:oddHBand="1" w:evenHBand="0" w:firstRowFirstColumn="0" w:firstRowLastColumn="0" w:lastRowFirstColumn="0" w:lastRowLastColumn="0"/>
            </w:pPr>
          </w:p>
        </w:tc>
      </w:tr>
      <w:tr w:rsidR="001F3488" w14:paraId="42662C0D" w14:textId="77777777" w:rsidTr="001F34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4F70A920" w14:textId="77777777" w:rsidR="001F3488" w:rsidRDefault="001F3488" w:rsidP="00B11044"/>
        </w:tc>
        <w:tc>
          <w:tcPr>
            <w:tcW w:w="1927" w:type="dxa"/>
          </w:tcPr>
          <w:p w14:paraId="5D1A95BB" w14:textId="77777777" w:rsidR="001F3488" w:rsidRDefault="001F3488" w:rsidP="00B11044">
            <w:pPr>
              <w:cnfStyle w:val="000000010000" w:firstRow="0" w:lastRow="0" w:firstColumn="0" w:lastColumn="0" w:oddVBand="0" w:evenVBand="0" w:oddHBand="0" w:evenHBand="1" w:firstRowFirstColumn="0" w:firstRowLastColumn="0" w:lastRowFirstColumn="0" w:lastRowLastColumn="0"/>
            </w:pPr>
          </w:p>
        </w:tc>
        <w:tc>
          <w:tcPr>
            <w:tcW w:w="1927" w:type="dxa"/>
          </w:tcPr>
          <w:p w14:paraId="69107A0B" w14:textId="16588608" w:rsidR="001F3488" w:rsidRDefault="001F3488" w:rsidP="00B11044">
            <w:pPr>
              <w:cnfStyle w:val="000000010000" w:firstRow="0" w:lastRow="0" w:firstColumn="0" w:lastColumn="0" w:oddVBand="0" w:evenVBand="0" w:oddHBand="0" w:evenHBand="1" w:firstRowFirstColumn="0" w:firstRowLastColumn="0" w:lastRowFirstColumn="0" w:lastRowLastColumn="0"/>
            </w:pPr>
          </w:p>
        </w:tc>
        <w:tc>
          <w:tcPr>
            <w:tcW w:w="2589" w:type="dxa"/>
          </w:tcPr>
          <w:p w14:paraId="30151BC6" w14:textId="758E2438" w:rsidR="001F3488" w:rsidRDefault="001F3488" w:rsidP="00B11044">
            <w:pPr>
              <w:cnfStyle w:val="000000010000" w:firstRow="0" w:lastRow="0" w:firstColumn="0" w:lastColumn="0" w:oddVBand="0" w:evenVBand="0" w:oddHBand="0" w:evenHBand="1" w:firstRowFirstColumn="0" w:firstRowLastColumn="0" w:lastRowFirstColumn="0" w:lastRowLastColumn="0"/>
            </w:pPr>
          </w:p>
        </w:tc>
        <w:tc>
          <w:tcPr>
            <w:tcW w:w="1926" w:type="dxa"/>
          </w:tcPr>
          <w:p w14:paraId="34D74B07" w14:textId="77777777" w:rsidR="001F3488" w:rsidRDefault="001F3488" w:rsidP="00B11044">
            <w:pPr>
              <w:cnfStyle w:val="000000010000" w:firstRow="0" w:lastRow="0" w:firstColumn="0" w:lastColumn="0" w:oddVBand="0" w:evenVBand="0" w:oddHBand="0" w:evenHBand="1" w:firstRowFirstColumn="0" w:firstRowLastColumn="0" w:lastRowFirstColumn="0" w:lastRowLastColumn="0"/>
            </w:pPr>
          </w:p>
        </w:tc>
      </w:tr>
    </w:tbl>
    <w:p w14:paraId="4E86E812" w14:textId="50E47C4E" w:rsidR="00042CD3" w:rsidRDefault="006178B9" w:rsidP="00042CD3">
      <w:pPr>
        <w:pStyle w:val="Heading3"/>
      </w:pPr>
      <w:bookmarkStart w:id="23" w:name="_Toc174439838"/>
      <w:r>
        <w:t>Health promotion resource</w:t>
      </w:r>
      <w:bookmarkEnd w:id="23"/>
    </w:p>
    <w:p w14:paraId="23F1F5BB" w14:textId="61B94AD3" w:rsidR="008160E6" w:rsidRDefault="00B1667D" w:rsidP="00BF7543">
      <w:r>
        <w:t>Using</w:t>
      </w:r>
      <w:r w:rsidR="008C0E68">
        <w:t xml:space="preserve"> their analysis in </w:t>
      </w:r>
      <w:r w:rsidR="00750A0B">
        <w:fldChar w:fldCharType="begin"/>
      </w:r>
      <w:r w:rsidR="00750A0B">
        <w:instrText xml:space="preserve"> REF _Ref174018501 \h </w:instrText>
      </w:r>
      <w:r w:rsidR="00750A0B">
        <w:fldChar w:fldCharType="separate"/>
      </w:r>
      <w:r w:rsidR="00750A0B">
        <w:t xml:space="preserve">Table </w:t>
      </w:r>
      <w:r w:rsidR="00750A0B">
        <w:rPr>
          <w:noProof/>
        </w:rPr>
        <w:t>4</w:t>
      </w:r>
      <w:r w:rsidR="00750A0B">
        <w:fldChar w:fldCharType="end"/>
      </w:r>
      <w:r w:rsidR="008C0E68">
        <w:t xml:space="preserve">, </w:t>
      </w:r>
      <w:r>
        <w:t>students</w:t>
      </w:r>
      <w:r w:rsidR="00A80F37" w:rsidRPr="00BF7543">
        <w:t xml:space="preserve"> develop a resource</w:t>
      </w:r>
      <w:r w:rsidR="00BF7543" w:rsidRPr="00BF7543">
        <w:t xml:space="preserve"> that could be </w:t>
      </w:r>
      <w:r w:rsidR="008C0E68">
        <w:t xml:space="preserve">added to this </w:t>
      </w:r>
      <w:r w:rsidR="00BF7543" w:rsidRPr="00BF7543">
        <w:t>strategy</w:t>
      </w:r>
      <w:r w:rsidR="000B6970">
        <w:t xml:space="preserve">, for example, </w:t>
      </w:r>
      <w:r w:rsidR="00750A0B">
        <w:t xml:space="preserve">a </w:t>
      </w:r>
      <w:r w:rsidR="00362142" w:rsidRPr="00BF7543">
        <w:t>pamphlet, poster</w:t>
      </w:r>
      <w:r w:rsidR="00750A0B">
        <w:t xml:space="preserve"> or</w:t>
      </w:r>
      <w:r w:rsidR="00362142" w:rsidRPr="00BF7543">
        <w:t xml:space="preserve"> radio advertisement</w:t>
      </w:r>
      <w:r>
        <w:t xml:space="preserve">, </w:t>
      </w:r>
      <w:r w:rsidR="00835FC6" w:rsidRPr="00BF7543">
        <w:t xml:space="preserve">to educate older people in their </w:t>
      </w:r>
      <w:r>
        <w:t xml:space="preserve">local </w:t>
      </w:r>
      <w:r w:rsidR="00835FC6" w:rsidRPr="00BF7543">
        <w:t xml:space="preserve">area on the benefits of healthy ageing. </w:t>
      </w:r>
      <w:r w:rsidR="00BF7151">
        <w:t>Students are to justify</w:t>
      </w:r>
      <w:r w:rsidR="00CE07F7">
        <w:t xml:space="preserve"> how their resource does this</w:t>
      </w:r>
      <w:r w:rsidR="008160E6">
        <w:t xml:space="preserve"> by answering the following</w:t>
      </w:r>
      <w:r w:rsidR="00750A0B">
        <w:t xml:space="preserve"> questions</w:t>
      </w:r>
      <w:r w:rsidR="008160E6">
        <w:t>:</w:t>
      </w:r>
    </w:p>
    <w:p w14:paraId="6CDB6AC8" w14:textId="1792AD0C" w:rsidR="005D2A50" w:rsidRDefault="005D2A50" w:rsidP="00B01204">
      <w:pPr>
        <w:pStyle w:val="ListBullet"/>
      </w:pPr>
      <w:r>
        <w:t xml:space="preserve">How </w:t>
      </w:r>
      <w:r w:rsidR="00E454B7">
        <w:t>will the resource further promote the</w:t>
      </w:r>
      <w:r>
        <w:t xml:space="preserve"> health of older people in </w:t>
      </w:r>
      <w:r w:rsidR="001E2A99">
        <w:t>their community</w:t>
      </w:r>
      <w:r w:rsidR="009136B8">
        <w:t>?</w:t>
      </w:r>
    </w:p>
    <w:p w14:paraId="60613BC6" w14:textId="1C786090" w:rsidR="00BF7543" w:rsidRDefault="008160E6" w:rsidP="00B01204">
      <w:pPr>
        <w:pStyle w:val="ListBullet"/>
      </w:pPr>
      <w:r>
        <w:lastRenderedPageBreak/>
        <w:t xml:space="preserve">How </w:t>
      </w:r>
      <w:r w:rsidR="006A3945">
        <w:t xml:space="preserve">will you know if the strategy is effective or successful? </w:t>
      </w:r>
      <w:r w:rsidR="0079695D">
        <w:t xml:space="preserve">For example, </w:t>
      </w:r>
      <w:r w:rsidR="00E454B7">
        <w:t>w</w:t>
      </w:r>
      <w:r w:rsidR="006A3945">
        <w:t>hat will the short</w:t>
      </w:r>
      <w:r w:rsidR="00750A0B">
        <w:t>-</w:t>
      </w:r>
      <w:r w:rsidR="006A3945">
        <w:t xml:space="preserve"> </w:t>
      </w:r>
      <w:r w:rsidR="00FC3B31">
        <w:t>and long</w:t>
      </w:r>
      <w:r w:rsidR="00750A0B">
        <w:t>-</w:t>
      </w:r>
      <w:r w:rsidR="00FC3B31">
        <w:t>term outcomes be?</w:t>
      </w:r>
    </w:p>
    <w:p w14:paraId="605B0D59" w14:textId="0065AB3E" w:rsidR="00FC3B31" w:rsidRDefault="00FC3B31" w:rsidP="00B01204">
      <w:pPr>
        <w:pStyle w:val="ListBullet"/>
      </w:pPr>
      <w:r>
        <w:t>How would success be measured and evaluated?</w:t>
      </w:r>
    </w:p>
    <w:p w14:paraId="03D56C99" w14:textId="72821F18" w:rsidR="006B5DB1" w:rsidRPr="00BF7543" w:rsidRDefault="006B5DB1" w:rsidP="00514435">
      <w:pPr>
        <w:pStyle w:val="FeatureBox2"/>
      </w:pPr>
      <w:r w:rsidRPr="00080F99">
        <w:rPr>
          <w:rStyle w:val="Strong"/>
        </w:rPr>
        <w:t>Note:</w:t>
      </w:r>
      <w:r>
        <w:t xml:space="preserve"> </w:t>
      </w:r>
      <w:r w:rsidR="00080F99">
        <w:t>t</w:t>
      </w:r>
      <w:r>
        <w:t>here are opportunities</w:t>
      </w:r>
      <w:r w:rsidR="008A07F3">
        <w:t xml:space="preserve"> for this </w:t>
      </w:r>
      <w:r w:rsidR="002765B8">
        <w:t>resource</w:t>
      </w:r>
      <w:r w:rsidR="008A07F3">
        <w:t xml:space="preserve"> to be shared in an authentic way with the local community</w:t>
      </w:r>
      <w:r w:rsidR="00F86481">
        <w:t>,</w:t>
      </w:r>
      <w:r w:rsidR="008A07F3">
        <w:t xml:space="preserve"> for example</w:t>
      </w:r>
      <w:r w:rsidR="00F86481">
        <w:t>,</w:t>
      </w:r>
      <w:r w:rsidR="008A07F3">
        <w:t xml:space="preserve"> a local nursing</w:t>
      </w:r>
      <w:r w:rsidR="007E7290">
        <w:t xml:space="preserve"> home</w:t>
      </w:r>
      <w:r w:rsidR="00514435">
        <w:t xml:space="preserve">. </w:t>
      </w:r>
      <w:r w:rsidR="00767411">
        <w:t xml:space="preserve">There are also opportunities for self or peer assessment with students developing a </w:t>
      </w:r>
      <w:r w:rsidR="00E454B7">
        <w:t>criterion</w:t>
      </w:r>
      <w:r w:rsidR="00767411">
        <w:t xml:space="preserve"> to determine the effectiveness of the</w:t>
      </w:r>
      <w:r w:rsidR="00F50552">
        <w:t xml:space="preserve"> strategy to meet the SDGs and health issues effecting older Australians.</w:t>
      </w:r>
    </w:p>
    <w:p w14:paraId="7232D61F" w14:textId="77777777" w:rsidR="0086267F" w:rsidRDefault="0086267F" w:rsidP="0086267F">
      <w:pPr>
        <w:pStyle w:val="Featurepink"/>
        <w:rPr>
          <w:b/>
          <w:bCs/>
        </w:rPr>
      </w:pPr>
      <w:r w:rsidRPr="00F8793F">
        <w:rPr>
          <w:b/>
          <w:bCs/>
        </w:rPr>
        <w:t xml:space="preserve">Formative </w:t>
      </w:r>
      <w:r w:rsidRPr="00393E68">
        <w:rPr>
          <w:b/>
          <w:bCs/>
        </w:rPr>
        <w:t>assessment opportunity</w:t>
      </w:r>
      <w:r>
        <w:rPr>
          <w:b/>
          <w:bCs/>
        </w:rPr>
        <w:t xml:space="preserve"> – o</w:t>
      </w:r>
      <w:r w:rsidRPr="00393E68">
        <w:rPr>
          <w:b/>
          <w:bCs/>
        </w:rPr>
        <w:t>utcome</w:t>
      </w:r>
      <w:r>
        <w:rPr>
          <w:b/>
          <w:bCs/>
        </w:rPr>
        <w:t xml:space="preserve"> </w:t>
      </w:r>
      <w:r w:rsidRPr="00393E68">
        <w:rPr>
          <w:b/>
          <w:bCs/>
        </w:rPr>
        <w:t>HM-12-0</w:t>
      </w:r>
      <w:r>
        <w:rPr>
          <w:b/>
          <w:bCs/>
        </w:rPr>
        <w:t>3</w:t>
      </w:r>
    </w:p>
    <w:p w14:paraId="6FCF8CD3" w14:textId="1408A121" w:rsidR="00265915" w:rsidRPr="0029327A" w:rsidRDefault="00265915" w:rsidP="00265915">
      <w:pPr>
        <w:pStyle w:val="Featurepink"/>
      </w:pPr>
      <w:r w:rsidRPr="0029327A">
        <w:t xml:space="preserve">Students will </w:t>
      </w:r>
      <w:r>
        <w:t xml:space="preserve">show </w:t>
      </w:r>
      <w:r w:rsidRPr="0029327A">
        <w:t xml:space="preserve">evidence </w:t>
      </w:r>
      <w:r>
        <w:t xml:space="preserve">of </w:t>
      </w:r>
      <w:r w:rsidRPr="0029327A">
        <w:t>their knowledge and understanding gathered from exploring</w:t>
      </w:r>
      <w:r w:rsidR="007B5D8A">
        <w:t xml:space="preserve"> the data surrounding older Australians, the</w:t>
      </w:r>
      <w:r w:rsidR="0086267F">
        <w:t xml:space="preserve"> health promotion initiatives and how they link to the SDGs to answer the question:</w:t>
      </w:r>
    </w:p>
    <w:p w14:paraId="69350B32" w14:textId="40720FF2" w:rsidR="00265915" w:rsidRDefault="0086267F">
      <w:pPr>
        <w:pStyle w:val="Featurepink"/>
        <w:numPr>
          <w:ilvl w:val="0"/>
          <w:numId w:val="42"/>
        </w:numPr>
        <w:ind w:left="567" w:hanging="567"/>
      </w:pPr>
      <w:r w:rsidRPr="0086267F">
        <w:t>To what extent</w:t>
      </w:r>
      <w:r w:rsidR="002562FF">
        <w:t xml:space="preserve"> do health promotion strategies focusing on addressing </w:t>
      </w:r>
      <w:r w:rsidRPr="0086267F">
        <w:t>Sustainable Development Goal 3: Good Health and Wellbeing and Sustainable Development Goal 4: Quality Education</w:t>
      </w:r>
      <w:r w:rsidR="00520506">
        <w:t>,</w:t>
      </w:r>
      <w:r w:rsidRPr="0086267F">
        <w:t xml:space="preserve"> assist in improving the health status of older Australians</w:t>
      </w:r>
      <w:r>
        <w:t>?</w:t>
      </w:r>
      <w:r w:rsidR="003B007D">
        <w:t xml:space="preserve"> Use examples of a health </w:t>
      </w:r>
      <w:r w:rsidR="006627C0">
        <w:t>promotion strategy to support your answer.</w:t>
      </w:r>
    </w:p>
    <w:p w14:paraId="77630369" w14:textId="3748464B" w:rsidR="00F54DED" w:rsidRPr="00A03661" w:rsidRDefault="00F54DED" w:rsidP="00F54DED">
      <w:pPr>
        <w:pStyle w:val="FeatureBox2"/>
      </w:pPr>
      <w:r w:rsidRPr="002C2C37">
        <w:rPr>
          <w:rStyle w:val="Strong"/>
        </w:rPr>
        <w:t>Note:</w:t>
      </w:r>
      <w:r>
        <w:t xml:space="preserve"> t</w:t>
      </w:r>
      <w:r w:rsidRPr="0029327A">
        <w:t xml:space="preserve">he words </w:t>
      </w:r>
      <w:r>
        <w:t>‘</w:t>
      </w:r>
      <w:r w:rsidRPr="0029327A">
        <w:t>to what extent</w:t>
      </w:r>
      <w:r>
        <w:t>’</w:t>
      </w:r>
      <w:r w:rsidRPr="0029327A">
        <w:t xml:space="preserve"> have the word judgment in their definition and students will need to make decisions based on the va</w:t>
      </w:r>
      <w:r w:rsidR="00C11461">
        <w:t xml:space="preserve">lue of </w:t>
      </w:r>
      <w:r w:rsidR="00500C8A">
        <w:t xml:space="preserve">SDGs </w:t>
      </w:r>
      <w:r w:rsidR="00233EB1">
        <w:t>to improve the health of older Australians</w:t>
      </w:r>
      <w:r w:rsidRPr="0029327A">
        <w:t xml:space="preserve">. Therefore, they can decide whether </w:t>
      </w:r>
      <w:r w:rsidR="000F6FEB">
        <w:t xml:space="preserve">a health promotion </w:t>
      </w:r>
      <w:r w:rsidR="00EC6B46">
        <w:t xml:space="preserve">strategy has value </w:t>
      </w:r>
      <w:r w:rsidRPr="0029327A">
        <w:t>or not. Students might show the advantages or disadvantages</w:t>
      </w:r>
      <w:r w:rsidR="00EC6B46">
        <w:t xml:space="preserve"> of the health promotion strate</w:t>
      </w:r>
      <w:r w:rsidR="002A0901">
        <w:t xml:space="preserve">gy </w:t>
      </w:r>
      <w:r>
        <w:t xml:space="preserve">with </w:t>
      </w:r>
      <w:r w:rsidRPr="0029327A">
        <w:t>examples or make a statement on the benefit of impact</w:t>
      </w:r>
      <w:r>
        <w:t>,</w:t>
      </w:r>
      <w:r w:rsidRPr="0029327A">
        <w:t xml:space="preserve"> or lack of impact</w:t>
      </w:r>
      <w:r>
        <w:t>,</w:t>
      </w:r>
      <w:r w:rsidRPr="0029327A">
        <w:t xml:space="preserve"> on </w:t>
      </w:r>
      <w:r w:rsidR="002A0901">
        <w:t>achievement of the SDGs</w:t>
      </w:r>
      <w:r w:rsidRPr="0029327A">
        <w:t>. Therefore, you can see from this language that there needs to be a presentation of both sides of the argument and a judgment made.</w:t>
      </w:r>
    </w:p>
    <w:p w14:paraId="2928ECD5" w14:textId="77777777" w:rsidR="001C5BB9" w:rsidRDefault="001C5BB9">
      <w:pPr>
        <w:suppressAutoHyphens w:val="0"/>
        <w:spacing w:before="0" w:after="160" w:line="259" w:lineRule="auto"/>
        <w:rPr>
          <w:rFonts w:eastAsiaTheme="majorEastAsia"/>
          <w:bCs/>
          <w:color w:val="002664"/>
          <w:sz w:val="40"/>
          <w:szCs w:val="52"/>
        </w:rPr>
      </w:pPr>
      <w:r>
        <w:br w:type="page"/>
      </w:r>
    </w:p>
    <w:p w14:paraId="62F1C714" w14:textId="010147B7" w:rsidR="00C02F82" w:rsidRDefault="00C02F82" w:rsidP="00910AD1">
      <w:pPr>
        <w:pStyle w:val="Heading1"/>
      </w:pPr>
      <w:bookmarkStart w:id="24" w:name="_Toc174439839"/>
      <w:r>
        <w:lastRenderedPageBreak/>
        <w:t>Additional information</w:t>
      </w:r>
      <w:bookmarkEnd w:id="11"/>
      <w:bookmarkEnd w:id="24"/>
    </w:p>
    <w:p w14:paraId="706F315E" w14:textId="07B52EF1" w:rsidR="00C02F82" w:rsidRDefault="00C02F82" w:rsidP="00C02F82">
      <w:r w:rsidRPr="00A12C29">
        <w:t xml:space="preserve">The information below can be used to support teachers when using this teaching resource for </w:t>
      </w:r>
      <w:r w:rsidR="00890F47">
        <w:t xml:space="preserve">Health and </w:t>
      </w:r>
      <w:r w:rsidR="006029D1">
        <w:t>m</w:t>
      </w:r>
      <w:r w:rsidR="00890F47">
        <w:t xml:space="preserve">ovement </w:t>
      </w:r>
      <w:r w:rsidR="006029D1">
        <w:t>s</w:t>
      </w:r>
      <w:r w:rsidR="00890F47">
        <w:t>cience.</w:t>
      </w:r>
    </w:p>
    <w:p w14:paraId="74C5C60D" w14:textId="77777777" w:rsidR="00C02F82" w:rsidRPr="00B77D47" w:rsidRDefault="00C02F82" w:rsidP="00E2155B">
      <w:pPr>
        <w:pStyle w:val="Heading2"/>
      </w:pPr>
      <w:bookmarkStart w:id="25" w:name="_Toc1022999069"/>
      <w:bookmarkStart w:id="26" w:name="_Toc112409496"/>
      <w:bookmarkStart w:id="27" w:name="_Toc174439840"/>
      <w:r>
        <w:t>Support and alignment</w:t>
      </w:r>
      <w:bookmarkEnd w:id="25"/>
      <w:bookmarkEnd w:id="26"/>
      <w:bookmarkEnd w:id="27"/>
    </w:p>
    <w:p w14:paraId="1F262200" w14:textId="1DD5054F" w:rsidR="00D61239" w:rsidRDefault="00C02F82" w:rsidP="00D61239">
      <w:r w:rsidRPr="6667E0D0">
        <w:rPr>
          <w:rFonts w:eastAsia="Arial"/>
          <w:b/>
          <w:bCs/>
        </w:rPr>
        <w:t>Resource evaluation and support</w:t>
      </w:r>
      <w:r w:rsidRPr="00BF4FA8">
        <w:rPr>
          <w:rFonts w:eastAsia="Arial"/>
          <w:b/>
        </w:rPr>
        <w:t>:</w:t>
      </w:r>
      <w:r w:rsidRPr="6667E0D0">
        <w:rPr>
          <w:rFonts w:eastAsia="Arial"/>
        </w:rPr>
        <w:t xml:space="preserve"> </w:t>
      </w:r>
      <w:r w:rsidR="009549DF">
        <w:rPr>
          <w:rFonts w:eastAsia="Arial"/>
        </w:rPr>
        <w:t>a</w:t>
      </w:r>
      <w:r w:rsidR="009549DF" w:rsidRPr="6667E0D0">
        <w:rPr>
          <w:rFonts w:eastAsia="Arial"/>
        </w:rPr>
        <w:t xml:space="preserve">ll </w:t>
      </w:r>
      <w:r w:rsidRPr="6667E0D0">
        <w:rPr>
          <w:rFonts w:eastAsia="Arial"/>
        </w:rPr>
        <w:t xml:space="preserve">curriculum resources are prepared through a rigorous process. Resources are periodically reviewed as part of our ongoing evaluation plan to ensure currency, relevance and effectiveness. For additional support or advice contact the </w:t>
      </w:r>
      <w:r w:rsidR="00890F47">
        <w:rPr>
          <w:rFonts w:eastAsia="Arial"/>
        </w:rPr>
        <w:t>PDHPE</w:t>
      </w:r>
      <w:r>
        <w:rPr>
          <w:rFonts w:eastAsia="Arial"/>
        </w:rPr>
        <w:t xml:space="preserve"> </w:t>
      </w:r>
      <w:r w:rsidRPr="6667E0D0">
        <w:rPr>
          <w:rFonts w:eastAsia="Arial"/>
        </w:rPr>
        <w:t xml:space="preserve">Curriculum team by emailing </w:t>
      </w:r>
      <w:hyperlink r:id="rId39" w:history="1">
        <w:r w:rsidR="00D61239" w:rsidRPr="008508CC">
          <w:rPr>
            <w:rStyle w:val="Hyperlink"/>
          </w:rPr>
          <w:t>PDHPEcurriculum@det.nsw.edu.au</w:t>
        </w:r>
      </w:hyperlink>
      <w:r w:rsidR="00D61239">
        <w:t>.</w:t>
      </w:r>
    </w:p>
    <w:p w14:paraId="366ECCBC" w14:textId="4E8257C5" w:rsidR="00E37CB1" w:rsidRDefault="00E37CB1" w:rsidP="00E37CB1">
      <w:r w:rsidRPr="19B962B9">
        <w:rPr>
          <w:b/>
          <w:bCs/>
        </w:rPr>
        <w:t>Differentiation:</w:t>
      </w:r>
      <w:r w:rsidRPr="005D6FAA">
        <w:t xml:space="preserve"> </w:t>
      </w:r>
      <w:r w:rsidRPr="00E37CB1">
        <w:t>f</w:t>
      </w:r>
      <w:r w:rsidRPr="19B962B9">
        <w:rPr>
          <w:rFonts w:eastAsia="Arial"/>
        </w:rPr>
        <w:t>urther advice to support Aboriginal and</w:t>
      </w:r>
      <w:r w:rsidR="00D45AE4">
        <w:rPr>
          <w:rFonts w:eastAsia="Arial"/>
        </w:rPr>
        <w:t>/or</w:t>
      </w:r>
      <w:r w:rsidRPr="19B962B9">
        <w:rPr>
          <w:rFonts w:eastAsia="Arial"/>
        </w:rPr>
        <w:t xml:space="preserve"> Torres Strait Islander students, EAL</w:t>
      </w:r>
      <w:r w:rsidR="00E906FB">
        <w:rPr>
          <w:rFonts w:eastAsia="Arial"/>
        </w:rPr>
        <w:t>/</w:t>
      </w:r>
      <w:r w:rsidRPr="19B962B9">
        <w:rPr>
          <w:rFonts w:eastAsia="Arial"/>
        </w:rPr>
        <w:t xml:space="preserve">D students, students with a disability and/or additional needs and High Potential and gifted students can be found on the </w:t>
      </w:r>
      <w:hyperlink r:id="rId40">
        <w:r w:rsidRPr="19B962B9">
          <w:rPr>
            <w:rStyle w:val="Hyperlink"/>
            <w:rFonts w:eastAsia="Arial"/>
          </w:rPr>
          <w:t>Planning</w:t>
        </w:r>
        <w:r w:rsidR="005D6FAA">
          <w:rPr>
            <w:rStyle w:val="Hyperlink"/>
            <w:rFonts w:eastAsia="Arial"/>
          </w:rPr>
          <w:t>,</w:t>
        </w:r>
        <w:r w:rsidRPr="19B962B9">
          <w:rPr>
            <w:rStyle w:val="Hyperlink"/>
            <w:rFonts w:eastAsia="Arial"/>
          </w:rPr>
          <w:t xml:space="preserve"> programming and assessing 7</w:t>
        </w:r>
        <w:r w:rsidR="00E906FB">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41" w:history="1">
        <w:r w:rsidRPr="00BD39B0">
          <w:rPr>
            <w:rStyle w:val="Hyperlink"/>
          </w:rPr>
          <w:t>Inclusion and differentiation</w:t>
        </w:r>
        <w:r w:rsidR="00D45AE4">
          <w:rPr>
            <w:rStyle w:val="Hyperlink"/>
          </w:rPr>
          <w:t xml:space="preserve"> advice</w:t>
        </w:r>
        <w:r w:rsidRPr="00BD39B0">
          <w:rPr>
            <w:rStyle w:val="Hyperlink"/>
          </w:rPr>
          <w:t xml:space="preserve"> 7</w:t>
        </w:r>
        <w:r>
          <w:rPr>
            <w:rStyle w:val="Hyperlink"/>
          </w:rPr>
          <w:t>–</w:t>
        </w:r>
        <w:r w:rsidRPr="00BD39B0">
          <w:rPr>
            <w:rStyle w:val="Hyperlink"/>
          </w:rPr>
          <w:t>10</w:t>
        </w:r>
      </w:hyperlink>
      <w:r>
        <w:t xml:space="preserve"> webpage.</w:t>
      </w:r>
    </w:p>
    <w:p w14:paraId="5C352A2B" w14:textId="230B453C" w:rsidR="00C77A59" w:rsidRPr="00F50552" w:rsidRDefault="00C77A59" w:rsidP="00E37CB1">
      <w:r w:rsidRPr="19B962B9">
        <w:rPr>
          <w:b/>
          <w:bCs/>
        </w:rPr>
        <w:t>Assessment</w:t>
      </w:r>
      <w:r>
        <w:t xml:space="preserve">: </w:t>
      </w:r>
      <w:r w:rsidRPr="19B962B9">
        <w:rPr>
          <w:rFonts w:eastAsia="Arial"/>
        </w:rPr>
        <w:t xml:space="preserve">further advice to support formative assessment is available on the </w:t>
      </w:r>
      <w:hyperlink r:id="rId42">
        <w:r w:rsidRPr="19B962B9">
          <w:rPr>
            <w:rStyle w:val="Hyperlink"/>
            <w:rFonts w:eastAsia="Arial"/>
          </w:rPr>
          <w:t>Planning</w:t>
        </w:r>
        <w:r w:rsidR="00D45AE4">
          <w:rPr>
            <w:rStyle w:val="Hyperlink"/>
            <w:rFonts w:eastAsia="Arial"/>
          </w:rPr>
          <w:t>,</w:t>
        </w:r>
        <w:r w:rsidRPr="19B962B9">
          <w:rPr>
            <w:rStyle w:val="Hyperlink"/>
            <w:rFonts w:eastAsia="Arial"/>
          </w:rPr>
          <w:t xml:space="preserve"> programming and assessing 7</w:t>
        </w:r>
        <w:r w:rsidR="00D45AE4">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w:t>
      </w:r>
    </w:p>
    <w:p w14:paraId="69265C07" w14:textId="2ED59A62" w:rsidR="00181B09" w:rsidRPr="009C15B1" w:rsidRDefault="00E37CB1" w:rsidP="00D61239">
      <w:r w:rsidRPr="00715BE0">
        <w:rPr>
          <w:rStyle w:val="Strong"/>
        </w:rPr>
        <w:t>Explicit teaching:</w:t>
      </w:r>
      <w:r w:rsidRPr="00715BE0">
        <w:t xml:space="preserve"> further advice to support explicit teaching is available on the </w:t>
      </w:r>
      <w:hyperlink r:id="rId43" w:history="1">
        <w:r w:rsidRPr="00715BE0">
          <w:rPr>
            <w:rStyle w:val="Hyperlink"/>
          </w:rPr>
          <w:t>Explicit teaching</w:t>
        </w:r>
      </w:hyperlink>
      <w:r w:rsidRPr="00715BE0">
        <w:t xml:space="preserve"> webpage. This includes the CESE </w:t>
      </w:r>
      <w:hyperlink r:id="rId44" w:history="1">
        <w:r w:rsidRPr="00715BE0">
          <w:rPr>
            <w:rStyle w:val="Hyperlink"/>
          </w:rPr>
          <w:t>Explicit teaching – Driving learning and engagement</w:t>
        </w:r>
      </w:hyperlink>
      <w:r w:rsidRPr="00715BE0">
        <w:t xml:space="preserve"> webpage.</w:t>
      </w:r>
    </w:p>
    <w:p w14:paraId="12A7C55E" w14:textId="37D72D58" w:rsidR="00C02F82" w:rsidRPr="009E0D25" w:rsidRDefault="00C02F82" w:rsidP="009E0D25">
      <w:r w:rsidRPr="6667E0D0">
        <w:rPr>
          <w:rFonts w:eastAsia="Arial"/>
          <w:b/>
          <w:bCs/>
        </w:rPr>
        <w:t>Alignment to system priorities and/or needs</w:t>
      </w:r>
      <w:r w:rsidRPr="00BF4FA8">
        <w:rPr>
          <w:rFonts w:eastAsia="Arial"/>
          <w:b/>
        </w:rPr>
        <w:t>:</w:t>
      </w:r>
      <w:r w:rsidRPr="6667E0D0">
        <w:rPr>
          <w:rFonts w:eastAsia="Arial"/>
        </w:rPr>
        <w:t xml:space="preserve"> </w:t>
      </w:r>
      <w:hyperlink r:id="rId45">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00DC6815" w:rsidRPr="002000B2">
        <w:t xml:space="preserve">, </w:t>
      </w:r>
      <w:hyperlink r:id="rId46" w:history="1">
        <w:r w:rsidR="00770E6A" w:rsidRPr="00770E6A">
          <w:rPr>
            <w:rStyle w:val="Hyperlink"/>
          </w:rPr>
          <w:t>Our Plan for NSW Public Education</w:t>
        </w:r>
      </w:hyperlink>
    </w:p>
    <w:p w14:paraId="494B5CF2" w14:textId="0758ED1F" w:rsidR="00C02F82" w:rsidRPr="009E0D25" w:rsidRDefault="00C02F82" w:rsidP="009E0D25">
      <w:r w:rsidRPr="6667E0D0">
        <w:rPr>
          <w:rFonts w:eastAsia="Arial"/>
          <w:b/>
          <w:bCs/>
        </w:rPr>
        <w:t>Alignment to the School Excellence Framework</w:t>
      </w:r>
      <w:r w:rsidRPr="00BF4FA8">
        <w:rPr>
          <w:rFonts w:eastAsia="Arial"/>
          <w:b/>
        </w:rPr>
        <w:t>:</w:t>
      </w:r>
      <w:r w:rsidRPr="6667E0D0">
        <w:rPr>
          <w:rFonts w:eastAsia="Arial"/>
        </w:rPr>
        <w:t xml:space="preserve"> </w:t>
      </w:r>
      <w:r w:rsidR="00520D1E">
        <w:rPr>
          <w:rFonts w:eastAsia="Arial"/>
        </w:rPr>
        <w:t>t</w:t>
      </w:r>
      <w:r w:rsidR="00520D1E" w:rsidRPr="6667E0D0">
        <w:rPr>
          <w:rFonts w:eastAsia="Arial"/>
        </w:rPr>
        <w:t xml:space="preserve">his resource supports the </w:t>
      </w:r>
      <w:hyperlink r:id="rId47" w:history="1">
        <w:r w:rsidR="000A45DB" w:rsidRPr="000A45DB">
          <w:rPr>
            <w:rStyle w:val="Hyperlink"/>
            <w:rFonts w:eastAsia="Arial"/>
          </w:rPr>
          <w:t>School Excellence Framework</w:t>
        </w:r>
      </w:hyperlink>
      <w:r w:rsidR="000A45DB">
        <w:rPr>
          <w:rFonts w:eastAsia="Arial"/>
        </w:rPr>
        <w:t xml:space="preserve"> </w:t>
      </w:r>
      <w:r w:rsidRPr="006E3821">
        <w:rPr>
          <w:rFonts w:eastAsia="Arial"/>
        </w:rPr>
        <w:t>elements of curriculum (curriculum provision) and effective classroom practice (lesson planning, explicit teaching).</w:t>
      </w:r>
    </w:p>
    <w:p w14:paraId="6B3999C9" w14:textId="21718512" w:rsidR="00C02F82" w:rsidRPr="009E0D25" w:rsidRDefault="00C02F82" w:rsidP="009E0D25">
      <w:pPr>
        <w:rPr>
          <w:highlight w:val="yellow"/>
        </w:rPr>
      </w:pPr>
      <w:r w:rsidRPr="6667E0D0">
        <w:rPr>
          <w:rFonts w:eastAsia="Arial"/>
          <w:b/>
          <w:bCs/>
        </w:rPr>
        <w:t>Alignment to Australian Professional Teaching Standards</w:t>
      </w:r>
      <w:r w:rsidRPr="00BF4FA8">
        <w:rPr>
          <w:rFonts w:eastAsia="Arial"/>
          <w:b/>
        </w:rPr>
        <w:t>:</w:t>
      </w:r>
      <w:r w:rsidRPr="6667E0D0">
        <w:rPr>
          <w:rFonts w:eastAsia="Arial"/>
        </w:rPr>
        <w:t xml:space="preserve"> </w:t>
      </w:r>
      <w:r w:rsidR="009549DF">
        <w:rPr>
          <w:rFonts w:eastAsia="Arial"/>
        </w:rPr>
        <w:t>t</w:t>
      </w:r>
      <w:r w:rsidRPr="6667E0D0">
        <w:rPr>
          <w:rFonts w:eastAsia="Arial"/>
        </w:rPr>
        <w:t xml:space="preserve">his resource supports teachers to address </w:t>
      </w:r>
      <w:hyperlink r:id="rId48">
        <w:r w:rsidRPr="6667E0D0">
          <w:rPr>
            <w:rStyle w:val="Hyperlink"/>
          </w:rPr>
          <w:t>Australian Professional Teaching Standards</w:t>
        </w:r>
      </w:hyperlink>
      <w:r w:rsidRPr="6667E0D0">
        <w:rPr>
          <w:rFonts w:eastAsia="Arial"/>
        </w:rPr>
        <w:t xml:space="preserve"> </w:t>
      </w:r>
      <w:r w:rsidRPr="006E3821">
        <w:rPr>
          <w:rFonts w:eastAsia="Arial"/>
        </w:rPr>
        <w:t>3.2.2, 3.3.2.</w:t>
      </w:r>
    </w:p>
    <w:p w14:paraId="1BCDA71D" w14:textId="2453E32E" w:rsidR="00C02F82" w:rsidRPr="009E0D25" w:rsidRDefault="00C02F82" w:rsidP="009E0D25">
      <w:r w:rsidRPr="6667E0D0">
        <w:rPr>
          <w:rFonts w:eastAsia="Arial"/>
          <w:b/>
          <w:bCs/>
        </w:rPr>
        <w:t>Consulted with:</w:t>
      </w:r>
      <w:r w:rsidRPr="001F5C5B">
        <w:rPr>
          <w:rFonts w:eastAsia="Arial"/>
        </w:rPr>
        <w:t xml:space="preserve"> </w:t>
      </w:r>
      <w:r w:rsidRPr="00890F47">
        <w:rPr>
          <w:rFonts w:eastAsia="Arial"/>
        </w:rPr>
        <w:t>Curriculum and Reform</w:t>
      </w:r>
      <w:r w:rsidR="00F63365">
        <w:rPr>
          <w:rFonts w:eastAsia="Arial"/>
        </w:rPr>
        <w:t xml:space="preserve"> </w:t>
      </w:r>
      <w:r w:rsidRPr="00890F47">
        <w:rPr>
          <w:rFonts w:eastAsia="Arial"/>
        </w:rPr>
        <w:t>and subject matter experts</w:t>
      </w:r>
    </w:p>
    <w:p w14:paraId="3B90B703" w14:textId="00279663" w:rsidR="00C02F82" w:rsidRPr="00512E52" w:rsidRDefault="00C02F82" w:rsidP="009E0D25">
      <w:r w:rsidRPr="00512E52">
        <w:rPr>
          <w:rStyle w:val="Strong"/>
        </w:rPr>
        <w:t>NSW syllabus:</w:t>
      </w:r>
      <w:r w:rsidRPr="00512E52">
        <w:t xml:space="preserve"> </w:t>
      </w:r>
      <w:r w:rsidR="00890F47" w:rsidRPr="00512E52">
        <w:t>Health and Movement Science 11</w:t>
      </w:r>
      <w:r w:rsidR="009549DF" w:rsidRPr="00512E52">
        <w:t>–</w:t>
      </w:r>
      <w:r w:rsidR="00890F47" w:rsidRPr="00512E52">
        <w:t>12</w:t>
      </w:r>
      <w:r w:rsidR="009E2B0A" w:rsidRPr="00512E52">
        <w:t xml:space="preserve"> </w:t>
      </w:r>
      <w:r w:rsidR="009549DF" w:rsidRPr="00512E52">
        <w:t>S</w:t>
      </w:r>
      <w:r w:rsidR="009E2B0A" w:rsidRPr="00512E52">
        <w:t>yllabus</w:t>
      </w:r>
    </w:p>
    <w:p w14:paraId="39C9BFC3" w14:textId="0E706F61" w:rsidR="00C02F82" w:rsidRPr="009E0D25" w:rsidRDefault="00C02F82" w:rsidP="009E0D25">
      <w:r w:rsidRPr="00512E52">
        <w:rPr>
          <w:rStyle w:val="Strong"/>
        </w:rPr>
        <w:t>Syllabus outcomes:</w:t>
      </w:r>
      <w:r w:rsidRPr="00512E52">
        <w:rPr>
          <w:rStyle w:val="Strong"/>
          <w:b w:val="0"/>
          <w:bCs w:val="0"/>
        </w:rPr>
        <w:t xml:space="preserve"> </w:t>
      </w:r>
      <w:r w:rsidR="00890F47" w:rsidRPr="00512E52">
        <w:t>HM</w:t>
      </w:r>
      <w:r w:rsidR="009E2B0A" w:rsidRPr="00512E52">
        <w:t>-</w:t>
      </w:r>
      <w:r w:rsidR="00B27A6F" w:rsidRPr="00512E52">
        <w:t xml:space="preserve">12-01, </w:t>
      </w:r>
      <w:r w:rsidR="00890F47" w:rsidRPr="00512E52">
        <w:t>HM</w:t>
      </w:r>
      <w:r w:rsidR="009E2B0A" w:rsidRPr="00512E52">
        <w:t>-</w:t>
      </w:r>
      <w:r w:rsidR="00B27A6F" w:rsidRPr="00512E52">
        <w:t>12-03</w:t>
      </w:r>
      <w:r w:rsidR="00512E52" w:rsidRPr="00512E52">
        <w:t>, HM-12-09</w:t>
      </w:r>
    </w:p>
    <w:p w14:paraId="0BCE753C" w14:textId="01086AF2" w:rsidR="00C02F82" w:rsidRPr="009E0D25" w:rsidRDefault="00C02F82" w:rsidP="009E0D25">
      <w:r w:rsidRPr="6667E0D0">
        <w:rPr>
          <w:rStyle w:val="Strong"/>
        </w:rPr>
        <w:t>Author:</w:t>
      </w:r>
      <w:r>
        <w:t xml:space="preserve"> </w:t>
      </w:r>
      <w:r w:rsidR="00890F47">
        <w:t>PDHPE</w:t>
      </w:r>
      <w:r>
        <w:t xml:space="preserve"> Curriculum Team</w:t>
      </w:r>
    </w:p>
    <w:p w14:paraId="0A7426AA" w14:textId="3AFB6D67" w:rsidR="00C02F82" w:rsidRPr="009E0D25" w:rsidRDefault="00C02F82" w:rsidP="009E0D25">
      <w:r w:rsidRPr="00C86948">
        <w:rPr>
          <w:rStyle w:val="Strong"/>
        </w:rPr>
        <w:lastRenderedPageBreak/>
        <w:t>Publisher:</w:t>
      </w:r>
      <w:r w:rsidRPr="00B77D47">
        <w:t xml:space="preserve"> State of NSW, Department of Education</w:t>
      </w:r>
    </w:p>
    <w:p w14:paraId="24FBED26" w14:textId="5AA0D7B1" w:rsidR="00C02F82" w:rsidRPr="009E0D25" w:rsidRDefault="00C02F82" w:rsidP="009E0D25">
      <w:r w:rsidRPr="00C86948">
        <w:rPr>
          <w:rStyle w:val="Strong"/>
        </w:rPr>
        <w:t>Resource:</w:t>
      </w:r>
      <w:r w:rsidRPr="00B77D47">
        <w:t xml:space="preserve"> </w:t>
      </w:r>
      <w:r w:rsidR="006F02D6">
        <w:t>Learning program</w:t>
      </w:r>
    </w:p>
    <w:p w14:paraId="50DDAA25" w14:textId="0E0B584E" w:rsidR="002000B2" w:rsidRDefault="00C02F82" w:rsidP="009E0D25">
      <w:pPr>
        <w:rPr>
          <w:rFonts w:eastAsia="Arial"/>
        </w:rPr>
      </w:pPr>
      <w:r w:rsidRPr="00C86948">
        <w:rPr>
          <w:rStyle w:val="Strong"/>
        </w:rPr>
        <w:t>Related resources:</w:t>
      </w:r>
      <w:r w:rsidRPr="00B77D47">
        <w:t xml:space="preserve"> </w:t>
      </w:r>
      <w:bookmarkStart w:id="28" w:name="_Hlk112245591"/>
      <w:r w:rsidR="009549DF">
        <w:rPr>
          <w:rFonts w:eastAsia="Calibri" w:cs="Times New Roman"/>
        </w:rPr>
        <w:t>f</w:t>
      </w:r>
      <w:r w:rsidR="00D706AB" w:rsidRPr="127B10CA">
        <w:rPr>
          <w:rFonts w:eastAsia="Calibri" w:cs="Times New Roman"/>
        </w:rPr>
        <w:t>urther resources to support</w:t>
      </w:r>
      <w:r w:rsidR="00D706AB">
        <w:rPr>
          <w:rFonts w:eastAsia="Calibri" w:cs="Times New Roman"/>
        </w:rPr>
        <w:t xml:space="preserve"> </w:t>
      </w:r>
      <w:r w:rsidR="005D6FAA">
        <w:rPr>
          <w:rFonts w:eastAsia="Calibri" w:cs="Times New Roman"/>
        </w:rPr>
        <w:t>h</w:t>
      </w:r>
      <w:r w:rsidR="00D706AB">
        <w:rPr>
          <w:rFonts w:eastAsia="Calibri" w:cs="Times New Roman"/>
        </w:rPr>
        <w:t xml:space="preserve">ealth and </w:t>
      </w:r>
      <w:r w:rsidR="00DE695E">
        <w:rPr>
          <w:rFonts w:eastAsia="Calibri" w:cs="Times New Roman"/>
        </w:rPr>
        <w:t>m</w:t>
      </w:r>
      <w:r w:rsidR="00D706AB">
        <w:rPr>
          <w:rFonts w:eastAsia="Calibri" w:cs="Times New Roman"/>
        </w:rPr>
        <w:t xml:space="preserve">ovement </w:t>
      </w:r>
      <w:r w:rsidR="00DE695E">
        <w:rPr>
          <w:rFonts w:eastAsia="Calibri" w:cs="Times New Roman"/>
        </w:rPr>
        <w:t>s</w:t>
      </w:r>
      <w:r w:rsidR="00D706AB">
        <w:rPr>
          <w:rFonts w:eastAsia="Calibri" w:cs="Times New Roman"/>
        </w:rPr>
        <w:t>cience</w:t>
      </w:r>
      <w:r w:rsidR="00D706AB" w:rsidRPr="127B10CA">
        <w:rPr>
          <w:rFonts w:eastAsia="Calibri" w:cs="Times New Roman"/>
        </w:rPr>
        <w:t xml:space="preserve"> </w:t>
      </w:r>
      <w:r w:rsidR="005D6FAA">
        <w:rPr>
          <w:rFonts w:eastAsia="Calibri" w:cs="Times New Roman"/>
        </w:rPr>
        <w:t xml:space="preserve">Stage </w:t>
      </w:r>
      <w:r w:rsidR="005F0127">
        <w:rPr>
          <w:rFonts w:eastAsia="Calibri" w:cs="Times New Roman"/>
        </w:rPr>
        <w:t>6</w:t>
      </w:r>
      <w:r w:rsidR="005D6FAA">
        <w:rPr>
          <w:rFonts w:eastAsia="Calibri" w:cs="Times New Roman"/>
        </w:rPr>
        <w:t xml:space="preserve"> </w:t>
      </w:r>
      <w:r w:rsidR="00D706AB" w:rsidRPr="127B10CA">
        <w:rPr>
          <w:rFonts w:eastAsia="Calibri" w:cs="Times New Roman"/>
        </w:rPr>
        <w:t xml:space="preserve">can be found on the </w:t>
      </w:r>
      <w:hyperlink r:id="rId49" w:history="1">
        <w:r w:rsidR="001F5C5B">
          <w:rPr>
            <w:rStyle w:val="Hyperlink"/>
            <w:rFonts w:eastAsia="Calibri" w:cs="Times New Roman"/>
          </w:rPr>
          <w:t>Planning, programming and assessing PDHPE 11</w:t>
        </w:r>
        <w:r w:rsidR="005D6FAA">
          <w:rPr>
            <w:rStyle w:val="Hyperlink"/>
            <w:rFonts w:eastAsia="Calibri" w:cs="Times New Roman"/>
          </w:rPr>
          <w:t>–</w:t>
        </w:r>
        <w:r w:rsidR="001F5C5B">
          <w:rPr>
            <w:rStyle w:val="Hyperlink"/>
            <w:rFonts w:eastAsia="Calibri" w:cs="Times New Roman"/>
          </w:rPr>
          <w:t>12</w:t>
        </w:r>
      </w:hyperlink>
      <w:r w:rsidR="00D706AB">
        <w:rPr>
          <w:rFonts w:eastAsia="Calibri" w:cs="Times New Roman"/>
        </w:rPr>
        <w:t xml:space="preserve"> </w:t>
      </w:r>
      <w:r w:rsidR="001F5C5B">
        <w:rPr>
          <w:rFonts w:eastAsia="Calibri" w:cs="Times New Roman"/>
        </w:rPr>
        <w:t>curriculum webpage</w:t>
      </w:r>
      <w:r w:rsidR="002000B2">
        <w:rPr>
          <w:rFonts w:eastAsia="Calibri" w:cs="Times New Roman"/>
        </w:rPr>
        <w:t xml:space="preserve"> </w:t>
      </w:r>
      <w:r w:rsidR="00D706AB">
        <w:rPr>
          <w:rFonts w:eastAsia="Calibri" w:cs="Times New Roman"/>
        </w:rPr>
        <w:t xml:space="preserve">and </w:t>
      </w:r>
      <w:r w:rsidR="00D706AB" w:rsidRPr="127B10CA">
        <w:rPr>
          <w:rFonts w:eastAsia="Calibri" w:cs="Times New Roman"/>
        </w:rPr>
        <w:t xml:space="preserve">the </w:t>
      </w:r>
      <w:bookmarkEnd w:id="28"/>
      <w:r w:rsidR="002000B2">
        <w:fldChar w:fldCharType="begin"/>
      </w:r>
      <w:r w:rsidR="002000B2">
        <w:instrText>HYPERLINK "https://teams.microsoft.com/l/team/19%3a93bb42a54e4b4779b28ab5b737b9e642%40thread.tacv2/conversations?groupId=d759a943-a680-4d0b-bdfe-88a8998f709e&amp;tenantId=05a0e69a-418a-47c1-9c25-9387261bf991"</w:instrText>
      </w:r>
      <w:r w:rsidR="002000B2">
        <w:fldChar w:fldCharType="separate"/>
      </w:r>
      <w:r w:rsidR="002000B2" w:rsidRPr="00890F47">
        <w:rPr>
          <w:rStyle w:val="Hyperlink"/>
          <w:rFonts w:eastAsia="Arial"/>
        </w:rPr>
        <w:t>PDHPE statewide staffroom</w:t>
      </w:r>
      <w:r w:rsidR="002000B2">
        <w:rPr>
          <w:rStyle w:val="Hyperlink"/>
          <w:rFonts w:eastAsia="Arial"/>
        </w:rPr>
        <w:fldChar w:fldCharType="end"/>
      </w:r>
      <w:r w:rsidR="002000B2">
        <w:rPr>
          <w:rFonts w:eastAsia="Arial"/>
        </w:rPr>
        <w:t>.</w:t>
      </w:r>
    </w:p>
    <w:p w14:paraId="0A36578B" w14:textId="63DA82ED" w:rsidR="00C02F82" w:rsidRPr="009E0D25" w:rsidRDefault="00C02F82" w:rsidP="009E0D25">
      <w:r w:rsidRPr="6667E0D0">
        <w:rPr>
          <w:rStyle w:val="Strong"/>
        </w:rPr>
        <w:t xml:space="preserve">Professional </w:t>
      </w:r>
      <w:r>
        <w:rPr>
          <w:rStyle w:val="Strong"/>
        </w:rPr>
        <w:t>l</w:t>
      </w:r>
      <w:r w:rsidRPr="6667E0D0">
        <w:rPr>
          <w:rStyle w:val="Strong"/>
        </w:rPr>
        <w:t>earning:</w:t>
      </w:r>
      <w:r>
        <w:t xml:space="preserve"> </w:t>
      </w:r>
      <w:r w:rsidR="009549DF">
        <w:t>r</w:t>
      </w:r>
      <w:r>
        <w:t>elevant p</w:t>
      </w:r>
      <w:r w:rsidRPr="784E087E">
        <w:rPr>
          <w:rFonts w:eastAsia="Arial"/>
        </w:rPr>
        <w:t xml:space="preserve">rofessional </w:t>
      </w:r>
      <w:r>
        <w:rPr>
          <w:rFonts w:eastAsia="Arial"/>
        </w:rPr>
        <w:t>l</w:t>
      </w:r>
      <w:r w:rsidRPr="784E087E">
        <w:rPr>
          <w:rFonts w:eastAsia="Arial"/>
        </w:rPr>
        <w:t xml:space="preserve">earning is available </w:t>
      </w:r>
      <w:r>
        <w:rPr>
          <w:rFonts w:eastAsia="Arial"/>
        </w:rPr>
        <w:t>through the</w:t>
      </w:r>
      <w:r w:rsidR="00890F47">
        <w:rPr>
          <w:rFonts w:eastAsia="Arial"/>
        </w:rPr>
        <w:t xml:space="preserve"> </w:t>
      </w:r>
      <w:hyperlink r:id="rId50" w:history="1">
        <w:r w:rsidR="00890F47" w:rsidRPr="00890F47">
          <w:rPr>
            <w:rStyle w:val="Hyperlink"/>
            <w:rFonts w:eastAsia="Arial"/>
          </w:rPr>
          <w:t>PDHPE</w:t>
        </w:r>
        <w:r w:rsidRPr="00890F47">
          <w:rPr>
            <w:rStyle w:val="Hyperlink"/>
            <w:rFonts w:eastAsia="Arial"/>
          </w:rPr>
          <w:t xml:space="preserve"> statewide staffroom</w:t>
        </w:r>
      </w:hyperlink>
      <w:r>
        <w:rPr>
          <w:rFonts w:eastAsia="Arial"/>
        </w:rPr>
        <w:t>.</w:t>
      </w:r>
    </w:p>
    <w:p w14:paraId="7B86452E" w14:textId="0297CD64" w:rsidR="00C02F82" w:rsidRPr="009E0D25" w:rsidRDefault="00C02F82" w:rsidP="009E0D25">
      <w:r w:rsidRPr="00C86948">
        <w:rPr>
          <w:rStyle w:val="Strong"/>
        </w:rPr>
        <w:t>Creation date:</w:t>
      </w:r>
      <w:r w:rsidRPr="00B77D47">
        <w:t xml:space="preserve"> </w:t>
      </w:r>
      <w:r w:rsidR="00A750D2">
        <w:t>9 July 2024</w:t>
      </w:r>
    </w:p>
    <w:p w14:paraId="439E2571" w14:textId="77777777" w:rsidR="009E0D25" w:rsidRDefault="00C02F82" w:rsidP="009E0D25">
      <w:pPr>
        <w:rPr>
          <w:rFonts w:eastAsia="Calibri" w:cs="Times New Roman"/>
        </w:rPr>
      </w:pPr>
      <w:r w:rsidRPr="00C61FBF">
        <w:rPr>
          <w:rFonts w:eastAsia="Calibri" w:cs="Times New Roman"/>
          <w:b/>
          <w:bCs/>
        </w:rPr>
        <w:t>Rights:</w:t>
      </w:r>
      <w:r w:rsidRPr="00C61FBF">
        <w:rPr>
          <w:rFonts w:eastAsia="Calibri" w:cs="Times New Roman"/>
        </w:rPr>
        <w:t xml:space="preserve"> © State of New South Wales, Department of Education</w:t>
      </w:r>
      <w:r>
        <w:rPr>
          <w:rFonts w:eastAsia="Calibri" w:cs="Times New Roman"/>
        </w:rPr>
        <w:t>.</w:t>
      </w:r>
    </w:p>
    <w:p w14:paraId="7ACA8457" w14:textId="0F68D41D" w:rsidR="00C02F82" w:rsidRDefault="00C02F82" w:rsidP="009E0D25">
      <w:r>
        <w:br w:type="page"/>
      </w:r>
    </w:p>
    <w:p w14:paraId="27624582" w14:textId="77777777" w:rsidR="009F6033" w:rsidRDefault="009F6033" w:rsidP="00910AD1">
      <w:pPr>
        <w:pStyle w:val="Heading1"/>
      </w:pPr>
      <w:bookmarkStart w:id="29" w:name="_Toc143261465"/>
      <w:bookmarkStart w:id="30" w:name="_Toc174439841"/>
      <w:r w:rsidRPr="004659ED">
        <w:lastRenderedPageBreak/>
        <w:t>References</w:t>
      </w:r>
      <w:bookmarkEnd w:id="29"/>
      <w:bookmarkEnd w:id="30"/>
    </w:p>
    <w:p w14:paraId="7A613A6E" w14:textId="77777777" w:rsidR="009549DF" w:rsidRDefault="009549DF" w:rsidP="009549D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0B8338" w14:textId="0AD142A3" w:rsidR="009549DF" w:rsidRDefault="009549DF" w:rsidP="009549DF">
      <w:pPr>
        <w:pStyle w:val="FeatureBox2"/>
      </w:pPr>
      <w:r>
        <w:t xml:space="preserve">Please refer to the NESA Copyright Disclaimer for more information </w:t>
      </w:r>
      <w:hyperlink r:id="rId51" w:history="1">
        <w:r w:rsidRPr="007769A7">
          <w:rPr>
            <w:rStyle w:val="Hyperlink"/>
          </w:rPr>
          <w:t>https://educationstandards.nsw.edu.au/wps/portal/nesa/mini-footer/copyright</w:t>
        </w:r>
      </w:hyperlink>
      <w:r>
        <w:t>.</w:t>
      </w:r>
    </w:p>
    <w:p w14:paraId="77B605E2" w14:textId="6B89D5DF" w:rsidR="009549DF" w:rsidRDefault="009549DF" w:rsidP="009549DF">
      <w:pPr>
        <w:pStyle w:val="FeatureBox2"/>
      </w:pPr>
      <w:r>
        <w:t xml:space="preserve">NESA holds the only official and up-to-date versions of the NSW Curriculum and syllabus documents. Please visit the NSW Education Standards Authority (NESA) website </w:t>
      </w:r>
      <w:hyperlink r:id="rId52" w:history="1">
        <w:r w:rsidRPr="007769A7">
          <w:rPr>
            <w:rStyle w:val="Hyperlink"/>
          </w:rPr>
          <w:t>https://educationstandards.nsw.edu.au/</w:t>
        </w:r>
      </w:hyperlink>
      <w:r>
        <w:t xml:space="preserve"> and the NSW Curriculum website </w:t>
      </w:r>
      <w:hyperlink r:id="rId53" w:history="1">
        <w:r w:rsidR="00521D10" w:rsidRPr="00EC586A">
          <w:rPr>
            <w:rStyle w:val="Hyperlink"/>
          </w:rPr>
          <w:t>https://curriculum.nsw.edu.au</w:t>
        </w:r>
      </w:hyperlink>
      <w:r>
        <w:t>.</w:t>
      </w:r>
    </w:p>
    <w:p w14:paraId="46F0DB92" w14:textId="5E3F178F" w:rsidR="009F6033" w:rsidRDefault="00000000" w:rsidP="009F6033">
      <w:hyperlink r:id="rId54" w:history="1">
        <w:r w:rsidR="009F6033" w:rsidRPr="002413C3">
          <w:rPr>
            <w:rStyle w:val="Hyperlink"/>
          </w:rPr>
          <w:t>Health and Movement Science 11–12 Syllabus</w:t>
        </w:r>
      </w:hyperlink>
      <w:r w:rsidR="009F6033">
        <w:rPr>
          <w:rStyle w:val="SubtleReference"/>
          <w:sz w:val="24"/>
        </w:rPr>
        <w:t xml:space="preserve"> </w:t>
      </w:r>
      <w:r w:rsidR="009F6033" w:rsidRPr="00F037BC">
        <w:t xml:space="preserve">© NSW Education Standards Authority (NESA) for and on behalf of the Crown in right of the State of New South </w:t>
      </w:r>
      <w:r w:rsidR="009F6033" w:rsidRPr="00CF18D3">
        <w:t>Wales, 2023.</w:t>
      </w:r>
    </w:p>
    <w:p w14:paraId="42FE0C49" w14:textId="33CAA379" w:rsidR="009549DF" w:rsidRDefault="009549DF" w:rsidP="009F6033">
      <w:pPr>
        <w:sectPr w:rsidR="009549DF" w:rsidSect="003A0171">
          <w:headerReference w:type="default" r:id="rId55"/>
          <w:footerReference w:type="even" r:id="rId56"/>
          <w:footerReference w:type="default" r:id="rId57"/>
          <w:headerReference w:type="first" r:id="rId58"/>
          <w:footerReference w:type="first" r:id="rId59"/>
          <w:pgSz w:w="11906" w:h="16838"/>
          <w:pgMar w:top="1134" w:right="1134" w:bottom="1134" w:left="1134" w:header="709" w:footer="709" w:gutter="0"/>
          <w:pgNumType w:start="0"/>
          <w:cols w:space="708"/>
          <w:titlePg/>
          <w:docGrid w:linePitch="360"/>
        </w:sectPr>
      </w:pPr>
    </w:p>
    <w:p w14:paraId="3654E5DB" w14:textId="169C0594" w:rsidR="009F6033" w:rsidRPr="00A43D4D" w:rsidRDefault="009F6033" w:rsidP="009F6033">
      <w:pPr>
        <w:spacing w:line="25" w:lineRule="atLeast"/>
        <w:rPr>
          <w:rStyle w:val="Strong"/>
        </w:rPr>
      </w:pPr>
      <w:r w:rsidRPr="00A43D4D">
        <w:rPr>
          <w:rStyle w:val="Strong"/>
        </w:rPr>
        <w:lastRenderedPageBreak/>
        <w:t>© State of New South Wales (Department of Education), 202</w:t>
      </w:r>
      <w:r w:rsidR="00166CD7">
        <w:rPr>
          <w:rStyle w:val="Strong"/>
        </w:rPr>
        <w:t>4</w:t>
      </w:r>
    </w:p>
    <w:p w14:paraId="7202CC0F" w14:textId="77777777" w:rsidR="009F6033" w:rsidRDefault="009F6033" w:rsidP="00631D44">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705B62EB" w14:textId="77777777" w:rsidR="009F6033" w:rsidRDefault="009F6033" w:rsidP="009F6033">
      <w:r>
        <w:t xml:space="preserve">Copyright material available in this resource and owned by the NSW Department of Education is licensed under a </w:t>
      </w:r>
      <w:hyperlink r:id="rId60" w:history="1">
        <w:r>
          <w:rPr>
            <w:rStyle w:val="Hyperlink"/>
          </w:rPr>
          <w:t>Creative Commons Attribution 4.0 International (CC BY 4.0) license</w:t>
        </w:r>
      </w:hyperlink>
      <w:r>
        <w:t>.</w:t>
      </w:r>
    </w:p>
    <w:p w14:paraId="7CEEBACB" w14:textId="77777777" w:rsidR="009F6033" w:rsidRDefault="009F6033" w:rsidP="009F6033">
      <w:pPr>
        <w:spacing w:line="300" w:lineRule="auto"/>
      </w:pPr>
      <w:r>
        <w:rPr>
          <w:noProof/>
        </w:rPr>
        <w:drawing>
          <wp:inline distT="0" distB="0" distL="0" distR="0" wp14:anchorId="3C7B228B" wp14:editId="3E338C8F">
            <wp:extent cx="1231265" cy="426720"/>
            <wp:effectExtent l="0" t="0" r="6985" b="0"/>
            <wp:docPr id="9" name="Picture 9"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eative Commons Attribution license logo."/>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6D80ED76" w14:textId="77777777" w:rsidR="009F6033" w:rsidRPr="00312D7D" w:rsidRDefault="009F6033" w:rsidP="00312D7D">
      <w:r>
        <w:t xml:space="preserve">This </w:t>
      </w:r>
      <w:r w:rsidRPr="00312D7D">
        <w:t>license allows you to share and adapt the material for any purpose, even commercially.</w:t>
      </w:r>
    </w:p>
    <w:p w14:paraId="0622C17B" w14:textId="53103B63" w:rsidR="009F6033" w:rsidRPr="00312D7D" w:rsidRDefault="009F6033" w:rsidP="00312D7D">
      <w:r w:rsidRPr="00312D7D">
        <w:t>Attribution should be given to © State of New South Wales (Department of Education), 202</w:t>
      </w:r>
      <w:r w:rsidR="00166CD7">
        <w:t>4</w:t>
      </w:r>
      <w:r w:rsidRPr="00312D7D">
        <w:t>.</w:t>
      </w:r>
    </w:p>
    <w:p w14:paraId="7E6537AA" w14:textId="77777777" w:rsidR="009F6033" w:rsidRDefault="009F6033" w:rsidP="00312D7D">
      <w:r w:rsidRPr="00312D7D">
        <w:t>Material</w:t>
      </w:r>
      <w:r>
        <w:t xml:space="preserve"> in this resource not available under a Creative Commons license:</w:t>
      </w:r>
    </w:p>
    <w:p w14:paraId="0C156681" w14:textId="77777777" w:rsidR="009F6033" w:rsidRPr="00631D44" w:rsidRDefault="009F6033" w:rsidP="00B01204">
      <w:pPr>
        <w:pStyle w:val="ListBullet"/>
      </w:pPr>
      <w:r w:rsidRPr="00631D44">
        <w:t>the NSW Department of Education logo, other logos and trademark-protected material</w:t>
      </w:r>
    </w:p>
    <w:p w14:paraId="2C0A0C26" w14:textId="77777777" w:rsidR="009F6033" w:rsidRPr="00631D44" w:rsidRDefault="009F6033" w:rsidP="00B01204">
      <w:pPr>
        <w:pStyle w:val="ListBullet"/>
      </w:pPr>
      <w:r w:rsidRPr="00631D44">
        <w:t>material owned by a third party that has been reproduced with permission. You will need to obtain permission from the third party to reuse its material.</w:t>
      </w:r>
    </w:p>
    <w:p w14:paraId="1880EADE" w14:textId="77777777" w:rsidR="009F6033" w:rsidRPr="004C3763" w:rsidRDefault="009F6033" w:rsidP="009F6033">
      <w:pPr>
        <w:pStyle w:val="FeatureBox2"/>
        <w:spacing w:line="30" w:lineRule="atLeast"/>
        <w:rPr>
          <w:rStyle w:val="Strong"/>
        </w:rPr>
      </w:pPr>
      <w:r w:rsidRPr="004C3763">
        <w:rPr>
          <w:rStyle w:val="Strong"/>
        </w:rPr>
        <w:t>Links to third-party material and websites</w:t>
      </w:r>
    </w:p>
    <w:p w14:paraId="24BF110E" w14:textId="77777777" w:rsidR="009F6033" w:rsidRPr="00064E4E" w:rsidRDefault="009F6033" w:rsidP="009F6033">
      <w:pPr>
        <w:pStyle w:val="FeatureBox2"/>
      </w:pPr>
      <w:r w:rsidRPr="00064E4E">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6E39CD3" w14:textId="2B99C8DC" w:rsidR="0031589C" w:rsidRDefault="009F6033" w:rsidP="004659ED">
      <w:pPr>
        <w:pStyle w:val="FeatureBox2"/>
      </w:pPr>
      <w:r w:rsidRPr="00064E4E">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064E4E">
        <w:t>where</w:t>
      </w:r>
      <w:proofErr w:type="gramEnd"/>
      <w:r w:rsidRPr="00064E4E">
        <w:t xml:space="preserve"> permitted by the </w:t>
      </w:r>
      <w:r w:rsidRPr="00E9220C">
        <w:rPr>
          <w:rStyle w:val="Emphasis"/>
        </w:rPr>
        <w:t>Copyright Act 1968</w:t>
      </w:r>
      <w:r w:rsidRPr="00064E4E">
        <w:t xml:space="preserve"> (Cth). The department accepts no responsibility for content on third-party websites.</w:t>
      </w:r>
    </w:p>
    <w:sectPr w:rsidR="0031589C" w:rsidSect="00C02F82">
      <w:headerReference w:type="first" r:id="rId62"/>
      <w:footerReference w:type="first" r:id="rId6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3691E" w14:textId="77777777" w:rsidR="00F756BE" w:rsidRDefault="00F756BE" w:rsidP="00E51733">
      <w:r>
        <w:separator/>
      </w:r>
    </w:p>
  </w:endnote>
  <w:endnote w:type="continuationSeparator" w:id="0">
    <w:p w14:paraId="52E0A629" w14:textId="77777777" w:rsidR="00F756BE" w:rsidRDefault="00F756BE" w:rsidP="00E51733">
      <w:r>
        <w:continuationSeparator/>
      </w:r>
    </w:p>
  </w:endnote>
  <w:endnote w:type="continuationNotice" w:id="1">
    <w:p w14:paraId="0D3A315D" w14:textId="77777777" w:rsidR="00F756BE" w:rsidRDefault="00F756B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E1DA" w14:textId="5863D7E5"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0C4416">
      <w:rPr>
        <w:noProof/>
      </w:rPr>
      <w:t>Aug-24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46987" w14:textId="3962EDBB" w:rsidR="00F66145" w:rsidRPr="00C06917" w:rsidRDefault="00C06917" w:rsidP="00C06917">
    <w:pPr>
      <w:pStyle w:val="Footer"/>
    </w:pPr>
    <w:r>
      <w:t xml:space="preserve">© NSW Department of Education, </w:t>
    </w:r>
    <w:r>
      <w:fldChar w:fldCharType="begin"/>
    </w:r>
    <w:r>
      <w:instrText xml:space="preserve"> DATE  \@ "MMM-yy"  \* MERGEFORMAT </w:instrText>
    </w:r>
    <w:r>
      <w:fldChar w:fldCharType="separate"/>
    </w:r>
    <w:r w:rsidR="000C4416">
      <w:rPr>
        <w:noProof/>
      </w:rPr>
      <w:t>Aug-24</w:t>
    </w:r>
    <w:r>
      <w:fldChar w:fldCharType="end"/>
    </w:r>
    <w:r>
      <w:ptab w:relativeTo="margin" w:alignment="right" w:leader="none"/>
    </w:r>
    <w:r>
      <w:rPr>
        <w:b/>
        <w:noProof/>
        <w:sz w:val="28"/>
        <w:szCs w:val="28"/>
      </w:rPr>
      <w:drawing>
        <wp:inline distT="0" distB="0" distL="0" distR="0" wp14:anchorId="5C01C378" wp14:editId="4A6BA874">
          <wp:extent cx="571500" cy="190500"/>
          <wp:effectExtent l="0" t="0" r="0" b="0"/>
          <wp:docPr id="542354598" name="Picture 54235459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CCF83" w14:textId="43B51EA4" w:rsidR="003A0171" w:rsidRDefault="00DA650D" w:rsidP="00DA650D">
    <w:pPr>
      <w:pStyle w:val="Logo"/>
      <w:tabs>
        <w:tab w:val="right" w:pos="9639"/>
      </w:tabs>
      <w:ind w:right="-1"/>
      <w:jc w:val="right"/>
    </w:pPr>
    <w:r>
      <w:rPr>
        <w:noProof/>
      </w:rPr>
      <w:drawing>
        <wp:inline distT="0" distB="0" distL="0" distR="0" wp14:anchorId="42087C37" wp14:editId="47D81659">
          <wp:extent cx="838200" cy="908685"/>
          <wp:effectExtent l="0" t="0" r="0" b="5715"/>
          <wp:docPr id="1731065370" name="Graphic 1731065370" descr="NSW Government logo."/>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1CD4" w14:textId="4F93B700" w:rsidR="001A4FEA" w:rsidRDefault="001A4FEA" w:rsidP="00631D44">
    <w:pPr>
      <w:pStyle w:val="Logo"/>
      <w:spacing w:before="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09161" w14:textId="77777777" w:rsidR="00F756BE" w:rsidRDefault="00F756BE" w:rsidP="00E51733">
      <w:r>
        <w:separator/>
      </w:r>
    </w:p>
  </w:footnote>
  <w:footnote w:type="continuationSeparator" w:id="0">
    <w:p w14:paraId="45ECDC36" w14:textId="77777777" w:rsidR="00F756BE" w:rsidRDefault="00F756BE" w:rsidP="00E51733">
      <w:r>
        <w:continuationSeparator/>
      </w:r>
    </w:p>
  </w:footnote>
  <w:footnote w:type="continuationNotice" w:id="1">
    <w:p w14:paraId="770441C0" w14:textId="77777777" w:rsidR="00F756BE" w:rsidRDefault="00F756B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F1F4" w14:textId="0E4277D4" w:rsidR="00C06917" w:rsidRDefault="00C06917" w:rsidP="00C06917">
    <w:pPr>
      <w:pStyle w:val="Documentname"/>
    </w:pPr>
    <w:r w:rsidRPr="00C06917">
      <w:t xml:space="preserve">Health and movement science Stage </w:t>
    </w:r>
    <w:r w:rsidR="00E024CC">
      <w:t>6</w:t>
    </w:r>
    <w:r w:rsidRPr="00C06917">
      <w:t xml:space="preserve"> (Year </w:t>
    </w:r>
    <w:r w:rsidR="00E024CC">
      <w:t>12</w:t>
    </w:r>
    <w:r w:rsidRPr="00C06917">
      <w:t>) –</w:t>
    </w:r>
    <w:r w:rsidR="00E024CC">
      <w:t xml:space="preserve"> </w:t>
    </w:r>
    <w:r w:rsidR="002000B2">
      <w:t xml:space="preserve">focus area 1, health ageing and </w:t>
    </w:r>
    <w:r w:rsidR="00E024CC" w:rsidRPr="00037C1D">
      <w:t>SDGs</w:t>
    </w:r>
    <w:r w:rsidR="002000B2">
      <w:t xml:space="preserve">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14F1" w14:textId="3CA9504A" w:rsidR="00586F23" w:rsidRPr="00DA650D" w:rsidRDefault="00000000" w:rsidP="00DA650D">
    <w:pPr>
      <w:pStyle w:val="Header"/>
      <w:spacing w:after="0"/>
    </w:pPr>
    <w:r>
      <w:pict w14:anchorId="27BCA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DA650D">
      <w:t>NSW Department of Education</w:t>
    </w:r>
    <w:r w:rsidR="00DA650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5AD36" w14:textId="7FA6067B" w:rsidR="00994B91" w:rsidRPr="00F14D7F" w:rsidRDefault="00994B91" w:rsidP="00631D4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A70D8A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FFDAFE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7A5104"/>
    <w:multiLevelType w:val="multilevel"/>
    <w:tmpl w:val="8C341388"/>
    <w:lvl w:ilvl="0">
      <w:start w:val="3"/>
      <w:numFmt w:val="bullet"/>
      <w:lvlText w:val="-"/>
      <w:lvlJc w:val="left"/>
      <w:pPr>
        <w:ind w:left="643" w:hanging="283"/>
      </w:pPr>
      <w:rPr>
        <w:rFonts w:ascii="Segoe UI Semilight" w:eastAsia="Times New Roman" w:hAnsi="Segoe UI Semilight" w:cs="Segoe UI Semilight" w:hint="default"/>
      </w:rPr>
    </w:lvl>
    <w:lvl w:ilvl="1">
      <w:start w:val="1"/>
      <w:numFmt w:val="bullet"/>
      <w:lvlText w:val="o"/>
      <w:lvlJc w:val="left"/>
      <w:pPr>
        <w:ind w:left="949" w:hanging="360"/>
      </w:pPr>
      <w:rPr>
        <w:rFonts w:ascii="Courier New" w:hAnsi="Courier New" w:cs="Courier New" w:hint="default"/>
      </w:rPr>
    </w:lvl>
    <w:lvl w:ilvl="2">
      <w:start w:val="1"/>
      <w:numFmt w:val="bullet"/>
      <w:lvlText w:val=""/>
      <w:lvlJc w:val="left"/>
      <w:pPr>
        <w:ind w:left="1669" w:hanging="360"/>
      </w:pPr>
      <w:rPr>
        <w:rFonts w:ascii="Wingdings" w:hAnsi="Wingdings" w:hint="default"/>
      </w:rPr>
    </w:lvl>
    <w:lvl w:ilvl="3">
      <w:start w:val="1"/>
      <w:numFmt w:val="bullet"/>
      <w:lvlText w:val=""/>
      <w:lvlJc w:val="left"/>
      <w:pPr>
        <w:ind w:left="2389" w:hanging="360"/>
      </w:pPr>
      <w:rPr>
        <w:rFonts w:ascii="Symbol" w:hAnsi="Symbol" w:hint="default"/>
      </w:rPr>
    </w:lvl>
    <w:lvl w:ilvl="4">
      <w:start w:val="1"/>
      <w:numFmt w:val="bullet"/>
      <w:lvlText w:val="o"/>
      <w:lvlJc w:val="left"/>
      <w:pPr>
        <w:ind w:left="3109" w:hanging="360"/>
      </w:pPr>
      <w:rPr>
        <w:rFonts w:ascii="Courier New" w:hAnsi="Courier New" w:cs="Courier New" w:hint="default"/>
      </w:rPr>
    </w:lvl>
    <w:lvl w:ilvl="5">
      <w:start w:val="1"/>
      <w:numFmt w:val="bullet"/>
      <w:lvlText w:val=""/>
      <w:lvlJc w:val="left"/>
      <w:pPr>
        <w:ind w:left="3829" w:hanging="360"/>
      </w:pPr>
      <w:rPr>
        <w:rFonts w:ascii="Wingdings" w:hAnsi="Wingdings" w:hint="default"/>
      </w:rPr>
    </w:lvl>
    <w:lvl w:ilvl="6">
      <w:start w:val="1"/>
      <w:numFmt w:val="bullet"/>
      <w:lvlText w:val=""/>
      <w:lvlJc w:val="left"/>
      <w:pPr>
        <w:ind w:left="4549" w:hanging="360"/>
      </w:pPr>
      <w:rPr>
        <w:rFonts w:ascii="Symbol" w:hAnsi="Symbol" w:hint="default"/>
      </w:rPr>
    </w:lvl>
    <w:lvl w:ilvl="7">
      <w:start w:val="1"/>
      <w:numFmt w:val="bullet"/>
      <w:lvlText w:val="o"/>
      <w:lvlJc w:val="left"/>
      <w:pPr>
        <w:ind w:left="5269" w:hanging="360"/>
      </w:pPr>
      <w:rPr>
        <w:rFonts w:ascii="Courier New" w:hAnsi="Courier New" w:cs="Courier New" w:hint="default"/>
      </w:rPr>
    </w:lvl>
    <w:lvl w:ilvl="8">
      <w:start w:val="1"/>
      <w:numFmt w:val="bullet"/>
      <w:lvlText w:val=""/>
      <w:lvlJc w:val="left"/>
      <w:pPr>
        <w:ind w:left="5989" w:hanging="360"/>
      </w:pPr>
      <w:rPr>
        <w:rFonts w:ascii="Wingdings" w:hAnsi="Wingdings" w:hint="default"/>
      </w:rPr>
    </w:lvl>
  </w:abstractNum>
  <w:abstractNum w:abstractNumId="4" w15:restartNumberingAfterBreak="0">
    <w:nsid w:val="02C85F82"/>
    <w:multiLevelType w:val="hybridMultilevel"/>
    <w:tmpl w:val="DA28DFD4"/>
    <w:lvl w:ilvl="0" w:tplc="8CBEF4E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47777F3"/>
    <w:multiLevelType w:val="hybridMultilevel"/>
    <w:tmpl w:val="0B6A2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8F4F3A"/>
    <w:multiLevelType w:val="multilevel"/>
    <w:tmpl w:val="5D18F358"/>
    <w:lvl w:ilvl="0">
      <w:start w:val="1"/>
      <w:numFmt w:val="bullet"/>
      <w:lvlText w:val="-"/>
      <w:lvlJc w:val="left"/>
      <w:pPr>
        <w:ind w:left="92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71595F"/>
    <w:multiLevelType w:val="multilevel"/>
    <w:tmpl w:val="AC5A7BF2"/>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200E0"/>
    <w:multiLevelType w:val="hybridMultilevel"/>
    <w:tmpl w:val="A8A8B67C"/>
    <w:lvl w:ilvl="0" w:tplc="35521AF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3D0FF3"/>
    <w:multiLevelType w:val="hybridMultilevel"/>
    <w:tmpl w:val="00CAC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751AD6"/>
    <w:multiLevelType w:val="hybridMultilevel"/>
    <w:tmpl w:val="7714C84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738D4"/>
    <w:multiLevelType w:val="hybridMultilevel"/>
    <w:tmpl w:val="D100783A"/>
    <w:lvl w:ilvl="0" w:tplc="D22C5F1A">
      <w:start w:val="1"/>
      <w:numFmt w:val="bullet"/>
      <w:lvlText w:val=""/>
      <w:lvlJc w:val="left"/>
      <w:pPr>
        <w:ind w:left="720" w:hanging="360"/>
      </w:pPr>
      <w:rPr>
        <w:rFonts w:ascii="Symbol" w:hAnsi="Symbol"/>
      </w:rPr>
    </w:lvl>
    <w:lvl w:ilvl="1" w:tplc="DB3ADBD8">
      <w:start w:val="1"/>
      <w:numFmt w:val="bullet"/>
      <w:lvlText w:val=""/>
      <w:lvlJc w:val="left"/>
      <w:pPr>
        <w:ind w:left="720" w:hanging="360"/>
      </w:pPr>
      <w:rPr>
        <w:rFonts w:ascii="Symbol" w:hAnsi="Symbol"/>
      </w:rPr>
    </w:lvl>
    <w:lvl w:ilvl="2" w:tplc="71D2FE84">
      <w:start w:val="1"/>
      <w:numFmt w:val="bullet"/>
      <w:lvlText w:val=""/>
      <w:lvlJc w:val="left"/>
      <w:pPr>
        <w:ind w:left="720" w:hanging="360"/>
      </w:pPr>
      <w:rPr>
        <w:rFonts w:ascii="Symbol" w:hAnsi="Symbol"/>
      </w:rPr>
    </w:lvl>
    <w:lvl w:ilvl="3" w:tplc="B9BACE28">
      <w:start w:val="1"/>
      <w:numFmt w:val="bullet"/>
      <w:lvlText w:val=""/>
      <w:lvlJc w:val="left"/>
      <w:pPr>
        <w:ind w:left="720" w:hanging="360"/>
      </w:pPr>
      <w:rPr>
        <w:rFonts w:ascii="Symbol" w:hAnsi="Symbol"/>
      </w:rPr>
    </w:lvl>
    <w:lvl w:ilvl="4" w:tplc="4B02F4B8">
      <w:start w:val="1"/>
      <w:numFmt w:val="bullet"/>
      <w:lvlText w:val=""/>
      <w:lvlJc w:val="left"/>
      <w:pPr>
        <w:ind w:left="720" w:hanging="360"/>
      </w:pPr>
      <w:rPr>
        <w:rFonts w:ascii="Symbol" w:hAnsi="Symbol"/>
      </w:rPr>
    </w:lvl>
    <w:lvl w:ilvl="5" w:tplc="FE0CDF36">
      <w:start w:val="1"/>
      <w:numFmt w:val="bullet"/>
      <w:lvlText w:val=""/>
      <w:lvlJc w:val="left"/>
      <w:pPr>
        <w:ind w:left="720" w:hanging="360"/>
      </w:pPr>
      <w:rPr>
        <w:rFonts w:ascii="Symbol" w:hAnsi="Symbol"/>
      </w:rPr>
    </w:lvl>
    <w:lvl w:ilvl="6" w:tplc="D206D194">
      <w:start w:val="1"/>
      <w:numFmt w:val="bullet"/>
      <w:lvlText w:val=""/>
      <w:lvlJc w:val="left"/>
      <w:pPr>
        <w:ind w:left="720" w:hanging="360"/>
      </w:pPr>
      <w:rPr>
        <w:rFonts w:ascii="Symbol" w:hAnsi="Symbol"/>
      </w:rPr>
    </w:lvl>
    <w:lvl w:ilvl="7" w:tplc="B0D44226">
      <w:start w:val="1"/>
      <w:numFmt w:val="bullet"/>
      <w:lvlText w:val=""/>
      <w:lvlJc w:val="left"/>
      <w:pPr>
        <w:ind w:left="720" w:hanging="360"/>
      </w:pPr>
      <w:rPr>
        <w:rFonts w:ascii="Symbol" w:hAnsi="Symbol"/>
      </w:rPr>
    </w:lvl>
    <w:lvl w:ilvl="8" w:tplc="FF04EED6">
      <w:start w:val="1"/>
      <w:numFmt w:val="bullet"/>
      <w:lvlText w:val=""/>
      <w:lvlJc w:val="left"/>
      <w:pPr>
        <w:ind w:left="720" w:hanging="360"/>
      </w:pPr>
      <w:rPr>
        <w:rFonts w:ascii="Symbol" w:hAnsi="Symbol"/>
      </w:rPr>
    </w:lvl>
  </w:abstractNum>
  <w:abstractNum w:abstractNumId="14" w15:restartNumberingAfterBreak="0">
    <w:nsid w:val="56BB1220"/>
    <w:multiLevelType w:val="hybridMultilevel"/>
    <w:tmpl w:val="38D6D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6311AB"/>
    <w:multiLevelType w:val="hybridMultilevel"/>
    <w:tmpl w:val="BC64C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CFF5A28"/>
    <w:multiLevelType w:val="hybridMultilevel"/>
    <w:tmpl w:val="9924799E"/>
    <w:lvl w:ilvl="0" w:tplc="094E4AD0">
      <w:start w:val="1"/>
      <w:numFmt w:val="bullet"/>
      <w:lvlText w:val=""/>
      <w:lvlJc w:val="left"/>
      <w:pPr>
        <w:ind w:left="720" w:hanging="360"/>
      </w:pPr>
      <w:rPr>
        <w:rFonts w:ascii="Symbol" w:hAnsi="Symbol" w:hint="default"/>
      </w:rPr>
    </w:lvl>
    <w:lvl w:ilvl="1" w:tplc="69323320">
      <w:start w:val="1"/>
      <w:numFmt w:val="bullet"/>
      <w:lvlText w:val="o"/>
      <w:lvlJc w:val="left"/>
      <w:pPr>
        <w:ind w:left="1440" w:hanging="360"/>
      </w:pPr>
      <w:rPr>
        <w:rFonts w:ascii="Courier New" w:hAnsi="Courier New" w:hint="default"/>
      </w:rPr>
    </w:lvl>
    <w:lvl w:ilvl="2" w:tplc="B1C2E57C">
      <w:start w:val="1"/>
      <w:numFmt w:val="bullet"/>
      <w:lvlText w:val=""/>
      <w:lvlJc w:val="left"/>
      <w:pPr>
        <w:ind w:left="2160" w:hanging="360"/>
      </w:pPr>
      <w:rPr>
        <w:rFonts w:ascii="Wingdings" w:hAnsi="Wingdings" w:hint="default"/>
      </w:rPr>
    </w:lvl>
    <w:lvl w:ilvl="3" w:tplc="5D0854C8">
      <w:start w:val="1"/>
      <w:numFmt w:val="bullet"/>
      <w:lvlText w:val=""/>
      <w:lvlJc w:val="left"/>
      <w:pPr>
        <w:ind w:left="2880" w:hanging="360"/>
      </w:pPr>
      <w:rPr>
        <w:rFonts w:ascii="Symbol" w:hAnsi="Symbol" w:hint="default"/>
      </w:rPr>
    </w:lvl>
    <w:lvl w:ilvl="4" w:tplc="F6E43F6C">
      <w:start w:val="1"/>
      <w:numFmt w:val="bullet"/>
      <w:lvlText w:val="o"/>
      <w:lvlJc w:val="left"/>
      <w:pPr>
        <w:ind w:left="3600" w:hanging="360"/>
      </w:pPr>
      <w:rPr>
        <w:rFonts w:ascii="Courier New" w:hAnsi="Courier New" w:hint="default"/>
      </w:rPr>
    </w:lvl>
    <w:lvl w:ilvl="5" w:tplc="909C49EA">
      <w:start w:val="1"/>
      <w:numFmt w:val="bullet"/>
      <w:lvlText w:val=""/>
      <w:lvlJc w:val="left"/>
      <w:pPr>
        <w:ind w:left="4320" w:hanging="360"/>
      </w:pPr>
      <w:rPr>
        <w:rFonts w:ascii="Wingdings" w:hAnsi="Wingdings" w:hint="default"/>
      </w:rPr>
    </w:lvl>
    <w:lvl w:ilvl="6" w:tplc="EE9EE5F4">
      <w:start w:val="1"/>
      <w:numFmt w:val="bullet"/>
      <w:lvlText w:val=""/>
      <w:lvlJc w:val="left"/>
      <w:pPr>
        <w:ind w:left="5040" w:hanging="360"/>
      </w:pPr>
      <w:rPr>
        <w:rFonts w:ascii="Symbol" w:hAnsi="Symbol" w:hint="default"/>
      </w:rPr>
    </w:lvl>
    <w:lvl w:ilvl="7" w:tplc="7C9ABA38">
      <w:start w:val="1"/>
      <w:numFmt w:val="bullet"/>
      <w:lvlText w:val="o"/>
      <w:lvlJc w:val="left"/>
      <w:pPr>
        <w:ind w:left="5760" w:hanging="360"/>
      </w:pPr>
      <w:rPr>
        <w:rFonts w:ascii="Courier New" w:hAnsi="Courier New" w:hint="default"/>
      </w:rPr>
    </w:lvl>
    <w:lvl w:ilvl="8" w:tplc="A5E84506">
      <w:start w:val="1"/>
      <w:numFmt w:val="bullet"/>
      <w:lvlText w:val=""/>
      <w:lvlJc w:val="left"/>
      <w:pPr>
        <w:ind w:left="6480" w:hanging="360"/>
      </w:pPr>
      <w:rPr>
        <w:rFonts w:ascii="Wingdings" w:hAnsi="Wingdings" w:hint="default"/>
      </w:rPr>
    </w:lvl>
  </w:abstractNum>
  <w:abstractNum w:abstractNumId="18" w15:restartNumberingAfterBreak="0">
    <w:nsid w:val="6EBB3D99"/>
    <w:multiLevelType w:val="hybridMultilevel"/>
    <w:tmpl w:val="99003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E73AE6"/>
    <w:multiLevelType w:val="multilevel"/>
    <w:tmpl w:val="59C8D8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5435949">
    <w:abstractNumId w:val="10"/>
  </w:num>
  <w:num w:numId="2" w16cid:durableId="2057118973">
    <w:abstractNumId w:val="7"/>
  </w:num>
  <w:num w:numId="3" w16cid:durableId="318311843">
    <w:abstractNumId w:val="7"/>
  </w:num>
  <w:num w:numId="4" w16cid:durableId="71126138">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268125000">
    <w:abstractNumId w:val="16"/>
  </w:num>
  <w:num w:numId="6" w16cid:durableId="706174012">
    <w:abstractNumId w:val="6"/>
  </w:num>
  <w:num w:numId="7" w16cid:durableId="659307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161760">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860511250">
    <w:abstractNumId w:val="7"/>
  </w:num>
  <w:num w:numId="10" w16cid:durableId="289169526">
    <w:abstractNumId w:val="16"/>
  </w:num>
  <w:num w:numId="11" w16cid:durableId="1321929896">
    <w:abstractNumId w:val="10"/>
  </w:num>
  <w:num w:numId="12" w16cid:durableId="6058874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4635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4642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4849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778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7677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8844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937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039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7039787">
    <w:abstractNumId w:val="14"/>
  </w:num>
  <w:num w:numId="22" w16cid:durableId="1335958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430544">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4" w16cid:durableId="1519390235">
    <w:abstractNumId w:val="1"/>
  </w:num>
  <w:num w:numId="25" w16cid:durableId="371420144">
    <w:abstractNumId w:val="1"/>
  </w:num>
  <w:num w:numId="26" w16cid:durableId="799419316">
    <w:abstractNumId w:val="7"/>
  </w:num>
  <w:num w:numId="27" w16cid:durableId="1307592054">
    <w:abstractNumId w:val="16"/>
  </w:num>
  <w:num w:numId="28" w16cid:durableId="1111046056">
    <w:abstractNumId w:val="0"/>
  </w:num>
  <w:num w:numId="29" w16cid:durableId="780415173">
    <w:abstractNumId w:val="16"/>
  </w:num>
  <w:num w:numId="30" w16cid:durableId="548953727">
    <w:abstractNumId w:val="10"/>
  </w:num>
  <w:num w:numId="31" w16cid:durableId="1384448436">
    <w:abstractNumId w:val="3"/>
  </w:num>
  <w:num w:numId="32" w16cid:durableId="285350891">
    <w:abstractNumId w:val="11"/>
  </w:num>
  <w:num w:numId="33" w16cid:durableId="589239224">
    <w:abstractNumId w:val="2"/>
  </w:num>
  <w:num w:numId="34" w16cid:durableId="755134305">
    <w:abstractNumId w:val="5"/>
  </w:num>
  <w:num w:numId="35" w16cid:durableId="59913881">
    <w:abstractNumId w:val="4"/>
  </w:num>
  <w:num w:numId="36" w16cid:durableId="1239628818">
    <w:abstractNumId w:val="13"/>
  </w:num>
  <w:num w:numId="37" w16cid:durableId="1293752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092048">
    <w:abstractNumId w:val="9"/>
  </w:num>
  <w:num w:numId="39" w16cid:durableId="54742971">
    <w:abstractNumId w:val="18"/>
  </w:num>
  <w:num w:numId="40" w16cid:durableId="1180506048">
    <w:abstractNumId w:val="15"/>
  </w:num>
  <w:num w:numId="41" w16cid:durableId="1692074303">
    <w:abstractNumId w:val="7"/>
  </w:num>
  <w:num w:numId="42" w16cid:durableId="1507474333">
    <w:abstractNumId w:val="17"/>
  </w:num>
  <w:num w:numId="43" w16cid:durableId="1834754490">
    <w:abstractNumId w:val="8"/>
  </w:num>
  <w:num w:numId="44" w16cid:durableId="503127797">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5" w16cid:durableId="1175192213">
    <w:abstractNumId w:val="1"/>
  </w:num>
  <w:num w:numId="46" w16cid:durableId="1135098957">
    <w:abstractNumId w:val="7"/>
  </w:num>
  <w:num w:numId="47" w16cid:durableId="313141293">
    <w:abstractNumId w:val="16"/>
  </w:num>
  <w:num w:numId="48" w16cid:durableId="2064988258">
    <w:abstractNumId w:val="16"/>
  </w:num>
  <w:num w:numId="49" w16cid:durableId="149687423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4A"/>
    <w:rsid w:val="0000051B"/>
    <w:rsid w:val="000007D3"/>
    <w:rsid w:val="000012CE"/>
    <w:rsid w:val="000017D0"/>
    <w:rsid w:val="0000273A"/>
    <w:rsid w:val="00003366"/>
    <w:rsid w:val="000033CB"/>
    <w:rsid w:val="000036A4"/>
    <w:rsid w:val="000107FB"/>
    <w:rsid w:val="00010A2E"/>
    <w:rsid w:val="00013FF2"/>
    <w:rsid w:val="00016A16"/>
    <w:rsid w:val="00016BC3"/>
    <w:rsid w:val="0001729E"/>
    <w:rsid w:val="00024B00"/>
    <w:rsid w:val="000252CB"/>
    <w:rsid w:val="000271F4"/>
    <w:rsid w:val="00034D84"/>
    <w:rsid w:val="000361D7"/>
    <w:rsid w:val="00037877"/>
    <w:rsid w:val="00037C1D"/>
    <w:rsid w:val="000413D8"/>
    <w:rsid w:val="00042CD3"/>
    <w:rsid w:val="000439FB"/>
    <w:rsid w:val="0004465F"/>
    <w:rsid w:val="00045F0D"/>
    <w:rsid w:val="0004750C"/>
    <w:rsid w:val="00047862"/>
    <w:rsid w:val="00050598"/>
    <w:rsid w:val="00050644"/>
    <w:rsid w:val="00052615"/>
    <w:rsid w:val="0005263B"/>
    <w:rsid w:val="00052DD1"/>
    <w:rsid w:val="0005355E"/>
    <w:rsid w:val="00053D13"/>
    <w:rsid w:val="00054D26"/>
    <w:rsid w:val="00057755"/>
    <w:rsid w:val="0006087E"/>
    <w:rsid w:val="00060967"/>
    <w:rsid w:val="00061D5B"/>
    <w:rsid w:val="00066020"/>
    <w:rsid w:val="000706ED"/>
    <w:rsid w:val="00070DBA"/>
    <w:rsid w:val="00074F0F"/>
    <w:rsid w:val="00075B4C"/>
    <w:rsid w:val="00076B3A"/>
    <w:rsid w:val="00080F99"/>
    <w:rsid w:val="0008232D"/>
    <w:rsid w:val="0008237C"/>
    <w:rsid w:val="00082A1C"/>
    <w:rsid w:val="00083A8C"/>
    <w:rsid w:val="00085802"/>
    <w:rsid w:val="00085963"/>
    <w:rsid w:val="0008766A"/>
    <w:rsid w:val="00091674"/>
    <w:rsid w:val="00092276"/>
    <w:rsid w:val="00094702"/>
    <w:rsid w:val="00095172"/>
    <w:rsid w:val="00096986"/>
    <w:rsid w:val="00096D1A"/>
    <w:rsid w:val="00096F03"/>
    <w:rsid w:val="00097C29"/>
    <w:rsid w:val="00097FBA"/>
    <w:rsid w:val="000A3229"/>
    <w:rsid w:val="000A45DB"/>
    <w:rsid w:val="000B04F8"/>
    <w:rsid w:val="000B16D1"/>
    <w:rsid w:val="000B2CEB"/>
    <w:rsid w:val="000B3A80"/>
    <w:rsid w:val="000B4C55"/>
    <w:rsid w:val="000B5273"/>
    <w:rsid w:val="000B599F"/>
    <w:rsid w:val="000B6970"/>
    <w:rsid w:val="000C1B93"/>
    <w:rsid w:val="000C24ED"/>
    <w:rsid w:val="000C4416"/>
    <w:rsid w:val="000C58CD"/>
    <w:rsid w:val="000D11CC"/>
    <w:rsid w:val="000D3148"/>
    <w:rsid w:val="000D3BBE"/>
    <w:rsid w:val="000D5820"/>
    <w:rsid w:val="000D5B7B"/>
    <w:rsid w:val="000D7466"/>
    <w:rsid w:val="000E39C2"/>
    <w:rsid w:val="000E621D"/>
    <w:rsid w:val="000E7AF7"/>
    <w:rsid w:val="000F0141"/>
    <w:rsid w:val="000F0951"/>
    <w:rsid w:val="000F1D4D"/>
    <w:rsid w:val="000F27B9"/>
    <w:rsid w:val="000F5EB8"/>
    <w:rsid w:val="000F6637"/>
    <w:rsid w:val="000F6C0F"/>
    <w:rsid w:val="000F6FEB"/>
    <w:rsid w:val="00100A88"/>
    <w:rsid w:val="00100B62"/>
    <w:rsid w:val="0010149E"/>
    <w:rsid w:val="00105391"/>
    <w:rsid w:val="001100BE"/>
    <w:rsid w:val="001109E7"/>
    <w:rsid w:val="001112F7"/>
    <w:rsid w:val="001114AB"/>
    <w:rsid w:val="00112528"/>
    <w:rsid w:val="001169B2"/>
    <w:rsid w:val="0011758F"/>
    <w:rsid w:val="00120573"/>
    <w:rsid w:val="00122246"/>
    <w:rsid w:val="00124673"/>
    <w:rsid w:val="00125166"/>
    <w:rsid w:val="00125C0A"/>
    <w:rsid w:val="00131600"/>
    <w:rsid w:val="00133892"/>
    <w:rsid w:val="0013588A"/>
    <w:rsid w:val="0013691C"/>
    <w:rsid w:val="00136D57"/>
    <w:rsid w:val="00140F97"/>
    <w:rsid w:val="00141531"/>
    <w:rsid w:val="001424A5"/>
    <w:rsid w:val="0014474D"/>
    <w:rsid w:val="001464EF"/>
    <w:rsid w:val="001479FF"/>
    <w:rsid w:val="00161411"/>
    <w:rsid w:val="001621B1"/>
    <w:rsid w:val="001636FE"/>
    <w:rsid w:val="0016375E"/>
    <w:rsid w:val="00166CD7"/>
    <w:rsid w:val="00172608"/>
    <w:rsid w:val="0017337D"/>
    <w:rsid w:val="001753DA"/>
    <w:rsid w:val="00175B72"/>
    <w:rsid w:val="00175F01"/>
    <w:rsid w:val="001810D9"/>
    <w:rsid w:val="00181654"/>
    <w:rsid w:val="00181970"/>
    <w:rsid w:val="00181B09"/>
    <w:rsid w:val="00183A3D"/>
    <w:rsid w:val="00183DAA"/>
    <w:rsid w:val="0018434C"/>
    <w:rsid w:val="0018546C"/>
    <w:rsid w:val="001868A3"/>
    <w:rsid w:val="00190C6F"/>
    <w:rsid w:val="00193407"/>
    <w:rsid w:val="00194822"/>
    <w:rsid w:val="001A2D64"/>
    <w:rsid w:val="001A3009"/>
    <w:rsid w:val="001A43BA"/>
    <w:rsid w:val="001A4DCA"/>
    <w:rsid w:val="001A4FEA"/>
    <w:rsid w:val="001A5281"/>
    <w:rsid w:val="001A758D"/>
    <w:rsid w:val="001B6379"/>
    <w:rsid w:val="001C01CF"/>
    <w:rsid w:val="001C0E67"/>
    <w:rsid w:val="001C21D0"/>
    <w:rsid w:val="001C35F8"/>
    <w:rsid w:val="001C3DBC"/>
    <w:rsid w:val="001C5758"/>
    <w:rsid w:val="001C5BB9"/>
    <w:rsid w:val="001C7E97"/>
    <w:rsid w:val="001D419C"/>
    <w:rsid w:val="001D42DF"/>
    <w:rsid w:val="001D4B29"/>
    <w:rsid w:val="001D5230"/>
    <w:rsid w:val="001D5751"/>
    <w:rsid w:val="001E0E69"/>
    <w:rsid w:val="001E1175"/>
    <w:rsid w:val="001E2A99"/>
    <w:rsid w:val="001E4CE9"/>
    <w:rsid w:val="001E5C56"/>
    <w:rsid w:val="001E6C88"/>
    <w:rsid w:val="001F0200"/>
    <w:rsid w:val="001F2363"/>
    <w:rsid w:val="001F2D78"/>
    <w:rsid w:val="001F3488"/>
    <w:rsid w:val="001F56E7"/>
    <w:rsid w:val="001F5C5B"/>
    <w:rsid w:val="001F7997"/>
    <w:rsid w:val="002000B2"/>
    <w:rsid w:val="002011F7"/>
    <w:rsid w:val="002105AD"/>
    <w:rsid w:val="0021195D"/>
    <w:rsid w:val="002129ED"/>
    <w:rsid w:val="002134A8"/>
    <w:rsid w:val="002144F4"/>
    <w:rsid w:val="00214879"/>
    <w:rsid w:val="0021790A"/>
    <w:rsid w:val="002207CC"/>
    <w:rsid w:val="00223826"/>
    <w:rsid w:val="002247F0"/>
    <w:rsid w:val="00226D45"/>
    <w:rsid w:val="002273E3"/>
    <w:rsid w:val="002327EB"/>
    <w:rsid w:val="00232FB3"/>
    <w:rsid w:val="00233EB1"/>
    <w:rsid w:val="0024242F"/>
    <w:rsid w:val="0024276D"/>
    <w:rsid w:val="00244E4E"/>
    <w:rsid w:val="00245758"/>
    <w:rsid w:val="00250242"/>
    <w:rsid w:val="002510E4"/>
    <w:rsid w:val="00251695"/>
    <w:rsid w:val="00252066"/>
    <w:rsid w:val="00254A3F"/>
    <w:rsid w:val="00255717"/>
    <w:rsid w:val="0025592F"/>
    <w:rsid w:val="002562FF"/>
    <w:rsid w:val="00260919"/>
    <w:rsid w:val="00260B15"/>
    <w:rsid w:val="002613E9"/>
    <w:rsid w:val="0026548C"/>
    <w:rsid w:val="00265915"/>
    <w:rsid w:val="00265BC7"/>
    <w:rsid w:val="00266207"/>
    <w:rsid w:val="002670B1"/>
    <w:rsid w:val="002703E6"/>
    <w:rsid w:val="0027215B"/>
    <w:rsid w:val="00272B0B"/>
    <w:rsid w:val="0027370C"/>
    <w:rsid w:val="00273946"/>
    <w:rsid w:val="00274B58"/>
    <w:rsid w:val="002751C2"/>
    <w:rsid w:val="00275936"/>
    <w:rsid w:val="00275A1A"/>
    <w:rsid w:val="00276085"/>
    <w:rsid w:val="002765B8"/>
    <w:rsid w:val="0027714C"/>
    <w:rsid w:val="002810B8"/>
    <w:rsid w:val="0028321C"/>
    <w:rsid w:val="00285D87"/>
    <w:rsid w:val="002907D5"/>
    <w:rsid w:val="00290D47"/>
    <w:rsid w:val="00290EBA"/>
    <w:rsid w:val="00292A2D"/>
    <w:rsid w:val="00292B30"/>
    <w:rsid w:val="002A0901"/>
    <w:rsid w:val="002A1B9B"/>
    <w:rsid w:val="002A1DBD"/>
    <w:rsid w:val="002A28B4"/>
    <w:rsid w:val="002A2B8C"/>
    <w:rsid w:val="002A35CF"/>
    <w:rsid w:val="002A475D"/>
    <w:rsid w:val="002A6330"/>
    <w:rsid w:val="002B24AA"/>
    <w:rsid w:val="002B50F2"/>
    <w:rsid w:val="002B5A43"/>
    <w:rsid w:val="002B611F"/>
    <w:rsid w:val="002B7018"/>
    <w:rsid w:val="002B7F12"/>
    <w:rsid w:val="002C1AA7"/>
    <w:rsid w:val="002C5F28"/>
    <w:rsid w:val="002C6253"/>
    <w:rsid w:val="002D05D2"/>
    <w:rsid w:val="002D46D9"/>
    <w:rsid w:val="002D5886"/>
    <w:rsid w:val="002D5B43"/>
    <w:rsid w:val="002D6A86"/>
    <w:rsid w:val="002D6DC7"/>
    <w:rsid w:val="002D7F6B"/>
    <w:rsid w:val="002E1ED5"/>
    <w:rsid w:val="002E4CE7"/>
    <w:rsid w:val="002E5303"/>
    <w:rsid w:val="002E6757"/>
    <w:rsid w:val="002F212E"/>
    <w:rsid w:val="002F78F6"/>
    <w:rsid w:val="002F7CFE"/>
    <w:rsid w:val="0030180B"/>
    <w:rsid w:val="0030196D"/>
    <w:rsid w:val="00303085"/>
    <w:rsid w:val="00306C23"/>
    <w:rsid w:val="00307EF4"/>
    <w:rsid w:val="003103DB"/>
    <w:rsid w:val="003108BB"/>
    <w:rsid w:val="003120A8"/>
    <w:rsid w:val="00312D7D"/>
    <w:rsid w:val="00313314"/>
    <w:rsid w:val="0031589C"/>
    <w:rsid w:val="00320393"/>
    <w:rsid w:val="00320EA1"/>
    <w:rsid w:val="00321E01"/>
    <w:rsid w:val="00322498"/>
    <w:rsid w:val="00324CB0"/>
    <w:rsid w:val="003351E1"/>
    <w:rsid w:val="00335FE4"/>
    <w:rsid w:val="00336381"/>
    <w:rsid w:val="00340DD9"/>
    <w:rsid w:val="00342424"/>
    <w:rsid w:val="00343E0C"/>
    <w:rsid w:val="00343E48"/>
    <w:rsid w:val="00347243"/>
    <w:rsid w:val="003473C8"/>
    <w:rsid w:val="0034790D"/>
    <w:rsid w:val="00347E94"/>
    <w:rsid w:val="0035002F"/>
    <w:rsid w:val="003518D0"/>
    <w:rsid w:val="00352240"/>
    <w:rsid w:val="00353E4D"/>
    <w:rsid w:val="00354410"/>
    <w:rsid w:val="00354C03"/>
    <w:rsid w:val="0035592F"/>
    <w:rsid w:val="00360961"/>
    <w:rsid w:val="00360A2B"/>
    <w:rsid w:val="00360E17"/>
    <w:rsid w:val="0036150A"/>
    <w:rsid w:val="0036209C"/>
    <w:rsid w:val="00362142"/>
    <w:rsid w:val="00362928"/>
    <w:rsid w:val="00362977"/>
    <w:rsid w:val="003643B2"/>
    <w:rsid w:val="00366A97"/>
    <w:rsid w:val="00370B13"/>
    <w:rsid w:val="003719F2"/>
    <w:rsid w:val="00371E95"/>
    <w:rsid w:val="003720C4"/>
    <w:rsid w:val="003720F3"/>
    <w:rsid w:val="00375ADD"/>
    <w:rsid w:val="003801B1"/>
    <w:rsid w:val="0038097A"/>
    <w:rsid w:val="00380A09"/>
    <w:rsid w:val="00381B8B"/>
    <w:rsid w:val="00382286"/>
    <w:rsid w:val="00385DFB"/>
    <w:rsid w:val="003877D8"/>
    <w:rsid w:val="00390839"/>
    <w:rsid w:val="003958F1"/>
    <w:rsid w:val="003A0171"/>
    <w:rsid w:val="003A1A88"/>
    <w:rsid w:val="003A216F"/>
    <w:rsid w:val="003A388D"/>
    <w:rsid w:val="003A5190"/>
    <w:rsid w:val="003A66D2"/>
    <w:rsid w:val="003A6ECD"/>
    <w:rsid w:val="003A7908"/>
    <w:rsid w:val="003B007D"/>
    <w:rsid w:val="003B029D"/>
    <w:rsid w:val="003B240E"/>
    <w:rsid w:val="003B7F02"/>
    <w:rsid w:val="003C19F6"/>
    <w:rsid w:val="003C2B93"/>
    <w:rsid w:val="003C4988"/>
    <w:rsid w:val="003D0817"/>
    <w:rsid w:val="003D0F69"/>
    <w:rsid w:val="003D10FA"/>
    <w:rsid w:val="003D13EF"/>
    <w:rsid w:val="003D2211"/>
    <w:rsid w:val="003D2C14"/>
    <w:rsid w:val="003D4FF0"/>
    <w:rsid w:val="003D5486"/>
    <w:rsid w:val="003D7E4C"/>
    <w:rsid w:val="003E3D56"/>
    <w:rsid w:val="003E405E"/>
    <w:rsid w:val="003E636A"/>
    <w:rsid w:val="003F09AC"/>
    <w:rsid w:val="003F1222"/>
    <w:rsid w:val="003F1F43"/>
    <w:rsid w:val="003F259D"/>
    <w:rsid w:val="004000BF"/>
    <w:rsid w:val="00400922"/>
    <w:rsid w:val="00401084"/>
    <w:rsid w:val="00405327"/>
    <w:rsid w:val="00407EF0"/>
    <w:rsid w:val="00410D9C"/>
    <w:rsid w:val="00412F2B"/>
    <w:rsid w:val="00416D30"/>
    <w:rsid w:val="004178B3"/>
    <w:rsid w:val="004204CF"/>
    <w:rsid w:val="0042091B"/>
    <w:rsid w:val="00420B3F"/>
    <w:rsid w:val="00422B0B"/>
    <w:rsid w:val="004251B5"/>
    <w:rsid w:val="00427649"/>
    <w:rsid w:val="00430804"/>
    <w:rsid w:val="00430F12"/>
    <w:rsid w:val="004328CE"/>
    <w:rsid w:val="00433CA7"/>
    <w:rsid w:val="00434442"/>
    <w:rsid w:val="00434F09"/>
    <w:rsid w:val="00436A2C"/>
    <w:rsid w:val="004401CF"/>
    <w:rsid w:val="00442723"/>
    <w:rsid w:val="00443E58"/>
    <w:rsid w:val="00444AF2"/>
    <w:rsid w:val="00447754"/>
    <w:rsid w:val="00447B6A"/>
    <w:rsid w:val="0045057B"/>
    <w:rsid w:val="00451FE4"/>
    <w:rsid w:val="00452A4F"/>
    <w:rsid w:val="00456418"/>
    <w:rsid w:val="0046055E"/>
    <w:rsid w:val="00460CC2"/>
    <w:rsid w:val="004629BA"/>
    <w:rsid w:val="00462EC4"/>
    <w:rsid w:val="004659ED"/>
    <w:rsid w:val="00465D9D"/>
    <w:rsid w:val="004662AB"/>
    <w:rsid w:val="00467899"/>
    <w:rsid w:val="00467A8A"/>
    <w:rsid w:val="004705DB"/>
    <w:rsid w:val="004736AF"/>
    <w:rsid w:val="004750BF"/>
    <w:rsid w:val="00475CC5"/>
    <w:rsid w:val="004769E2"/>
    <w:rsid w:val="00480185"/>
    <w:rsid w:val="0048024A"/>
    <w:rsid w:val="00482481"/>
    <w:rsid w:val="0048642E"/>
    <w:rsid w:val="00491389"/>
    <w:rsid w:val="004A2749"/>
    <w:rsid w:val="004A591C"/>
    <w:rsid w:val="004A5DBB"/>
    <w:rsid w:val="004B0A9C"/>
    <w:rsid w:val="004B0C3B"/>
    <w:rsid w:val="004B31EF"/>
    <w:rsid w:val="004B484F"/>
    <w:rsid w:val="004B4C18"/>
    <w:rsid w:val="004B4F4E"/>
    <w:rsid w:val="004B7116"/>
    <w:rsid w:val="004C04B5"/>
    <w:rsid w:val="004C11A9"/>
    <w:rsid w:val="004C1568"/>
    <w:rsid w:val="004C340C"/>
    <w:rsid w:val="004C5B3B"/>
    <w:rsid w:val="004C611A"/>
    <w:rsid w:val="004D220A"/>
    <w:rsid w:val="004D2519"/>
    <w:rsid w:val="004D2F33"/>
    <w:rsid w:val="004D7F06"/>
    <w:rsid w:val="004E22C5"/>
    <w:rsid w:val="004F0DA1"/>
    <w:rsid w:val="004F48DD"/>
    <w:rsid w:val="004F566F"/>
    <w:rsid w:val="004F6AF2"/>
    <w:rsid w:val="004F7AF0"/>
    <w:rsid w:val="0050026C"/>
    <w:rsid w:val="00500C8A"/>
    <w:rsid w:val="0050122B"/>
    <w:rsid w:val="00501BF3"/>
    <w:rsid w:val="0050263C"/>
    <w:rsid w:val="00503E6E"/>
    <w:rsid w:val="0051137A"/>
    <w:rsid w:val="005114C3"/>
    <w:rsid w:val="00511863"/>
    <w:rsid w:val="00512AF0"/>
    <w:rsid w:val="00512E52"/>
    <w:rsid w:val="005133F7"/>
    <w:rsid w:val="00514435"/>
    <w:rsid w:val="005165B6"/>
    <w:rsid w:val="00520506"/>
    <w:rsid w:val="00520D1E"/>
    <w:rsid w:val="005216FC"/>
    <w:rsid w:val="00521D10"/>
    <w:rsid w:val="0052296C"/>
    <w:rsid w:val="00526795"/>
    <w:rsid w:val="00527E1C"/>
    <w:rsid w:val="00533C9A"/>
    <w:rsid w:val="00541FBB"/>
    <w:rsid w:val="00544144"/>
    <w:rsid w:val="00544919"/>
    <w:rsid w:val="00544967"/>
    <w:rsid w:val="00544C70"/>
    <w:rsid w:val="00544C87"/>
    <w:rsid w:val="00550A3A"/>
    <w:rsid w:val="00551811"/>
    <w:rsid w:val="00554C3F"/>
    <w:rsid w:val="00556D5E"/>
    <w:rsid w:val="00557738"/>
    <w:rsid w:val="005601A5"/>
    <w:rsid w:val="00560529"/>
    <w:rsid w:val="0056107C"/>
    <w:rsid w:val="00561811"/>
    <w:rsid w:val="0056345D"/>
    <w:rsid w:val="005649D2"/>
    <w:rsid w:val="005653D8"/>
    <w:rsid w:val="00571E54"/>
    <w:rsid w:val="00572C92"/>
    <w:rsid w:val="0057330A"/>
    <w:rsid w:val="00574642"/>
    <w:rsid w:val="00574989"/>
    <w:rsid w:val="00576B9F"/>
    <w:rsid w:val="005775E6"/>
    <w:rsid w:val="0058102D"/>
    <w:rsid w:val="00583731"/>
    <w:rsid w:val="00586F23"/>
    <w:rsid w:val="005911AD"/>
    <w:rsid w:val="005934B4"/>
    <w:rsid w:val="0059503E"/>
    <w:rsid w:val="0059602D"/>
    <w:rsid w:val="00597644"/>
    <w:rsid w:val="005A00D7"/>
    <w:rsid w:val="005A0700"/>
    <w:rsid w:val="005A2CDC"/>
    <w:rsid w:val="005A34D4"/>
    <w:rsid w:val="005A4360"/>
    <w:rsid w:val="005A4E4E"/>
    <w:rsid w:val="005A67CA"/>
    <w:rsid w:val="005A6FCE"/>
    <w:rsid w:val="005B0520"/>
    <w:rsid w:val="005B184F"/>
    <w:rsid w:val="005B3430"/>
    <w:rsid w:val="005B4B41"/>
    <w:rsid w:val="005B5B7D"/>
    <w:rsid w:val="005B7238"/>
    <w:rsid w:val="005B77E0"/>
    <w:rsid w:val="005C11F2"/>
    <w:rsid w:val="005C126A"/>
    <w:rsid w:val="005C1453"/>
    <w:rsid w:val="005C14A7"/>
    <w:rsid w:val="005C308F"/>
    <w:rsid w:val="005C31BA"/>
    <w:rsid w:val="005C323F"/>
    <w:rsid w:val="005C4A93"/>
    <w:rsid w:val="005D0140"/>
    <w:rsid w:val="005D10C8"/>
    <w:rsid w:val="005D2A50"/>
    <w:rsid w:val="005D49FE"/>
    <w:rsid w:val="005D4C91"/>
    <w:rsid w:val="005D5028"/>
    <w:rsid w:val="005D6972"/>
    <w:rsid w:val="005D6FAA"/>
    <w:rsid w:val="005D7319"/>
    <w:rsid w:val="005D756F"/>
    <w:rsid w:val="005E1F63"/>
    <w:rsid w:val="005E3B7D"/>
    <w:rsid w:val="005E5B50"/>
    <w:rsid w:val="005E6059"/>
    <w:rsid w:val="005E6188"/>
    <w:rsid w:val="005E760F"/>
    <w:rsid w:val="005F0127"/>
    <w:rsid w:val="005F5005"/>
    <w:rsid w:val="005F5644"/>
    <w:rsid w:val="005F6E65"/>
    <w:rsid w:val="005F7EA3"/>
    <w:rsid w:val="00601677"/>
    <w:rsid w:val="00602626"/>
    <w:rsid w:val="006029D1"/>
    <w:rsid w:val="00602E71"/>
    <w:rsid w:val="006035F3"/>
    <w:rsid w:val="00605AD6"/>
    <w:rsid w:val="006137B4"/>
    <w:rsid w:val="0061548C"/>
    <w:rsid w:val="006178B9"/>
    <w:rsid w:val="006179B5"/>
    <w:rsid w:val="00620E85"/>
    <w:rsid w:val="006226EA"/>
    <w:rsid w:val="006229E3"/>
    <w:rsid w:val="00622EE0"/>
    <w:rsid w:val="00623F9D"/>
    <w:rsid w:val="00626AA9"/>
    <w:rsid w:val="00626BBF"/>
    <w:rsid w:val="00630CD7"/>
    <w:rsid w:val="0063149A"/>
    <w:rsid w:val="00631D44"/>
    <w:rsid w:val="00635D2E"/>
    <w:rsid w:val="0063666B"/>
    <w:rsid w:val="006416F6"/>
    <w:rsid w:val="00641837"/>
    <w:rsid w:val="0064273E"/>
    <w:rsid w:val="00643CC4"/>
    <w:rsid w:val="006534A2"/>
    <w:rsid w:val="00653842"/>
    <w:rsid w:val="006539E7"/>
    <w:rsid w:val="006556ED"/>
    <w:rsid w:val="00656A4F"/>
    <w:rsid w:val="00657884"/>
    <w:rsid w:val="0066226C"/>
    <w:rsid w:val="006627C0"/>
    <w:rsid w:val="00664230"/>
    <w:rsid w:val="00664BAA"/>
    <w:rsid w:val="00667217"/>
    <w:rsid w:val="00667D64"/>
    <w:rsid w:val="006719E8"/>
    <w:rsid w:val="00674918"/>
    <w:rsid w:val="006759AF"/>
    <w:rsid w:val="00676CB4"/>
    <w:rsid w:val="00677018"/>
    <w:rsid w:val="0067715F"/>
    <w:rsid w:val="0067766E"/>
    <w:rsid w:val="00677835"/>
    <w:rsid w:val="00680388"/>
    <w:rsid w:val="0068061E"/>
    <w:rsid w:val="00682536"/>
    <w:rsid w:val="0068254C"/>
    <w:rsid w:val="00682E95"/>
    <w:rsid w:val="00683249"/>
    <w:rsid w:val="006843DC"/>
    <w:rsid w:val="00685DA9"/>
    <w:rsid w:val="006924DE"/>
    <w:rsid w:val="00693879"/>
    <w:rsid w:val="00696410"/>
    <w:rsid w:val="00697C7D"/>
    <w:rsid w:val="006A3884"/>
    <w:rsid w:val="006A3945"/>
    <w:rsid w:val="006A3CF7"/>
    <w:rsid w:val="006A3F31"/>
    <w:rsid w:val="006A4FBB"/>
    <w:rsid w:val="006B0A7C"/>
    <w:rsid w:val="006B0B68"/>
    <w:rsid w:val="006B2B65"/>
    <w:rsid w:val="006B3488"/>
    <w:rsid w:val="006B51CD"/>
    <w:rsid w:val="006B5DB1"/>
    <w:rsid w:val="006C1984"/>
    <w:rsid w:val="006C2EEF"/>
    <w:rsid w:val="006C46D6"/>
    <w:rsid w:val="006D0066"/>
    <w:rsid w:val="006D00B0"/>
    <w:rsid w:val="006D04E1"/>
    <w:rsid w:val="006D0FF1"/>
    <w:rsid w:val="006D1CF3"/>
    <w:rsid w:val="006D1D56"/>
    <w:rsid w:val="006D2460"/>
    <w:rsid w:val="006D3368"/>
    <w:rsid w:val="006D33CE"/>
    <w:rsid w:val="006D6290"/>
    <w:rsid w:val="006E0784"/>
    <w:rsid w:val="006E4C5F"/>
    <w:rsid w:val="006E54D3"/>
    <w:rsid w:val="006E5698"/>
    <w:rsid w:val="006E5A7B"/>
    <w:rsid w:val="006E6B26"/>
    <w:rsid w:val="006F02D6"/>
    <w:rsid w:val="006F05F6"/>
    <w:rsid w:val="006F28A3"/>
    <w:rsid w:val="006F64BC"/>
    <w:rsid w:val="00700440"/>
    <w:rsid w:val="00700C1E"/>
    <w:rsid w:val="00702212"/>
    <w:rsid w:val="00702B90"/>
    <w:rsid w:val="00704832"/>
    <w:rsid w:val="00705950"/>
    <w:rsid w:val="007066D9"/>
    <w:rsid w:val="007133AC"/>
    <w:rsid w:val="00717237"/>
    <w:rsid w:val="00720434"/>
    <w:rsid w:val="00721137"/>
    <w:rsid w:val="00722D11"/>
    <w:rsid w:val="0072413F"/>
    <w:rsid w:val="00724507"/>
    <w:rsid w:val="0073084E"/>
    <w:rsid w:val="00730B34"/>
    <w:rsid w:val="00730B53"/>
    <w:rsid w:val="00735249"/>
    <w:rsid w:val="00736269"/>
    <w:rsid w:val="00737B24"/>
    <w:rsid w:val="00740545"/>
    <w:rsid w:val="007408C3"/>
    <w:rsid w:val="0074144B"/>
    <w:rsid w:val="0074207C"/>
    <w:rsid w:val="00743136"/>
    <w:rsid w:val="00743767"/>
    <w:rsid w:val="0074377C"/>
    <w:rsid w:val="00743AF9"/>
    <w:rsid w:val="0074755B"/>
    <w:rsid w:val="00750A0B"/>
    <w:rsid w:val="00755190"/>
    <w:rsid w:val="007564F8"/>
    <w:rsid w:val="0075788E"/>
    <w:rsid w:val="00761F3D"/>
    <w:rsid w:val="0076514F"/>
    <w:rsid w:val="007664AA"/>
    <w:rsid w:val="00766D19"/>
    <w:rsid w:val="00767411"/>
    <w:rsid w:val="00767CA4"/>
    <w:rsid w:val="00770BC1"/>
    <w:rsid w:val="00770E6A"/>
    <w:rsid w:val="0077582C"/>
    <w:rsid w:val="00776D93"/>
    <w:rsid w:val="0077703A"/>
    <w:rsid w:val="00777FA7"/>
    <w:rsid w:val="0078088E"/>
    <w:rsid w:val="00781D55"/>
    <w:rsid w:val="007829C9"/>
    <w:rsid w:val="00783348"/>
    <w:rsid w:val="0078637F"/>
    <w:rsid w:val="00786530"/>
    <w:rsid w:val="00795D72"/>
    <w:rsid w:val="0079695D"/>
    <w:rsid w:val="007A0494"/>
    <w:rsid w:val="007A0F95"/>
    <w:rsid w:val="007A3281"/>
    <w:rsid w:val="007A3447"/>
    <w:rsid w:val="007B020C"/>
    <w:rsid w:val="007B0985"/>
    <w:rsid w:val="007B20D6"/>
    <w:rsid w:val="007B39FD"/>
    <w:rsid w:val="007B3EDD"/>
    <w:rsid w:val="007B4FCE"/>
    <w:rsid w:val="007B523A"/>
    <w:rsid w:val="007B5D8A"/>
    <w:rsid w:val="007B5F82"/>
    <w:rsid w:val="007C0B05"/>
    <w:rsid w:val="007C48AF"/>
    <w:rsid w:val="007C61E6"/>
    <w:rsid w:val="007D2680"/>
    <w:rsid w:val="007D28AA"/>
    <w:rsid w:val="007D43B1"/>
    <w:rsid w:val="007E0F83"/>
    <w:rsid w:val="007E143E"/>
    <w:rsid w:val="007E502E"/>
    <w:rsid w:val="007E5C6D"/>
    <w:rsid w:val="007E6116"/>
    <w:rsid w:val="007E7290"/>
    <w:rsid w:val="007E7C1F"/>
    <w:rsid w:val="007F066A"/>
    <w:rsid w:val="007F1278"/>
    <w:rsid w:val="007F211E"/>
    <w:rsid w:val="007F6BE6"/>
    <w:rsid w:val="0080004A"/>
    <w:rsid w:val="008016D9"/>
    <w:rsid w:val="00802392"/>
    <w:rsid w:val="0080248A"/>
    <w:rsid w:val="00803EA0"/>
    <w:rsid w:val="00804F58"/>
    <w:rsid w:val="0080515D"/>
    <w:rsid w:val="00806BAD"/>
    <w:rsid w:val="008073B1"/>
    <w:rsid w:val="00807E7B"/>
    <w:rsid w:val="00813CB2"/>
    <w:rsid w:val="00815680"/>
    <w:rsid w:val="0081580E"/>
    <w:rsid w:val="008160E6"/>
    <w:rsid w:val="00820E53"/>
    <w:rsid w:val="008258A7"/>
    <w:rsid w:val="008260FD"/>
    <w:rsid w:val="008263BF"/>
    <w:rsid w:val="00827890"/>
    <w:rsid w:val="00827900"/>
    <w:rsid w:val="00832297"/>
    <w:rsid w:val="0083358C"/>
    <w:rsid w:val="00835FC6"/>
    <w:rsid w:val="00836AC9"/>
    <w:rsid w:val="00837F04"/>
    <w:rsid w:val="00841FCC"/>
    <w:rsid w:val="008420C1"/>
    <w:rsid w:val="0084301A"/>
    <w:rsid w:val="008465EE"/>
    <w:rsid w:val="0085396B"/>
    <w:rsid w:val="00855732"/>
    <w:rsid w:val="008559F3"/>
    <w:rsid w:val="00856CA3"/>
    <w:rsid w:val="008602D0"/>
    <w:rsid w:val="00862035"/>
    <w:rsid w:val="008621A7"/>
    <w:rsid w:val="0086267F"/>
    <w:rsid w:val="00862E36"/>
    <w:rsid w:val="00865BC1"/>
    <w:rsid w:val="00870A9F"/>
    <w:rsid w:val="00870E69"/>
    <w:rsid w:val="008733B2"/>
    <w:rsid w:val="0087496A"/>
    <w:rsid w:val="00874F2B"/>
    <w:rsid w:val="00881974"/>
    <w:rsid w:val="008849E4"/>
    <w:rsid w:val="00885DE7"/>
    <w:rsid w:val="00886A12"/>
    <w:rsid w:val="00890695"/>
    <w:rsid w:val="008907C8"/>
    <w:rsid w:val="00890EEE"/>
    <w:rsid w:val="00890F47"/>
    <w:rsid w:val="0089164A"/>
    <w:rsid w:val="008929D6"/>
    <w:rsid w:val="0089316E"/>
    <w:rsid w:val="008967C1"/>
    <w:rsid w:val="008968FD"/>
    <w:rsid w:val="00897005"/>
    <w:rsid w:val="008A07F3"/>
    <w:rsid w:val="008A235C"/>
    <w:rsid w:val="008A4CF6"/>
    <w:rsid w:val="008A7551"/>
    <w:rsid w:val="008B0DBF"/>
    <w:rsid w:val="008B0E65"/>
    <w:rsid w:val="008B329B"/>
    <w:rsid w:val="008B3A7D"/>
    <w:rsid w:val="008B3CC3"/>
    <w:rsid w:val="008B3DE4"/>
    <w:rsid w:val="008B57BE"/>
    <w:rsid w:val="008B6E25"/>
    <w:rsid w:val="008C0E68"/>
    <w:rsid w:val="008C6A73"/>
    <w:rsid w:val="008D0BDC"/>
    <w:rsid w:val="008D1218"/>
    <w:rsid w:val="008D5372"/>
    <w:rsid w:val="008D539B"/>
    <w:rsid w:val="008D71B4"/>
    <w:rsid w:val="008D7639"/>
    <w:rsid w:val="008E0211"/>
    <w:rsid w:val="008E13AB"/>
    <w:rsid w:val="008E316B"/>
    <w:rsid w:val="008E3918"/>
    <w:rsid w:val="008E3D22"/>
    <w:rsid w:val="008E3DE9"/>
    <w:rsid w:val="008E41A2"/>
    <w:rsid w:val="008E4DDC"/>
    <w:rsid w:val="008E7923"/>
    <w:rsid w:val="008F0AD0"/>
    <w:rsid w:val="008F718C"/>
    <w:rsid w:val="00900B2C"/>
    <w:rsid w:val="0090106E"/>
    <w:rsid w:val="00905B5E"/>
    <w:rsid w:val="0090751F"/>
    <w:rsid w:val="009107ED"/>
    <w:rsid w:val="00910AD1"/>
    <w:rsid w:val="0091294D"/>
    <w:rsid w:val="009136B8"/>
    <w:rsid w:val="009138BF"/>
    <w:rsid w:val="00930855"/>
    <w:rsid w:val="00931094"/>
    <w:rsid w:val="00932DFD"/>
    <w:rsid w:val="0093365E"/>
    <w:rsid w:val="00933BE1"/>
    <w:rsid w:val="0093529A"/>
    <w:rsid w:val="0093679E"/>
    <w:rsid w:val="00937C3E"/>
    <w:rsid w:val="00941FDD"/>
    <w:rsid w:val="0094511B"/>
    <w:rsid w:val="0094582F"/>
    <w:rsid w:val="00947884"/>
    <w:rsid w:val="00950C1A"/>
    <w:rsid w:val="00951DB9"/>
    <w:rsid w:val="0095305C"/>
    <w:rsid w:val="00954720"/>
    <w:rsid w:val="009549DF"/>
    <w:rsid w:val="00956943"/>
    <w:rsid w:val="00960697"/>
    <w:rsid w:val="00961C5F"/>
    <w:rsid w:val="00965207"/>
    <w:rsid w:val="00965498"/>
    <w:rsid w:val="009668A6"/>
    <w:rsid w:val="00970554"/>
    <w:rsid w:val="0097185F"/>
    <w:rsid w:val="009739C8"/>
    <w:rsid w:val="00980998"/>
    <w:rsid w:val="009809FA"/>
    <w:rsid w:val="00982157"/>
    <w:rsid w:val="00984DC4"/>
    <w:rsid w:val="00985115"/>
    <w:rsid w:val="009858B9"/>
    <w:rsid w:val="00986FD3"/>
    <w:rsid w:val="0098768F"/>
    <w:rsid w:val="0099295B"/>
    <w:rsid w:val="009944F7"/>
    <w:rsid w:val="00994B91"/>
    <w:rsid w:val="009A0AA4"/>
    <w:rsid w:val="009A579C"/>
    <w:rsid w:val="009A5B00"/>
    <w:rsid w:val="009A62DC"/>
    <w:rsid w:val="009A78E9"/>
    <w:rsid w:val="009A7E34"/>
    <w:rsid w:val="009B0BD8"/>
    <w:rsid w:val="009B1280"/>
    <w:rsid w:val="009B46DC"/>
    <w:rsid w:val="009B6C0C"/>
    <w:rsid w:val="009C2DB5"/>
    <w:rsid w:val="009C3FAC"/>
    <w:rsid w:val="009C4BA3"/>
    <w:rsid w:val="009C5B0E"/>
    <w:rsid w:val="009D0EAE"/>
    <w:rsid w:val="009D0FA6"/>
    <w:rsid w:val="009D5021"/>
    <w:rsid w:val="009E0D25"/>
    <w:rsid w:val="009E284D"/>
    <w:rsid w:val="009E2858"/>
    <w:rsid w:val="009E2B0A"/>
    <w:rsid w:val="009E34A7"/>
    <w:rsid w:val="009E4EF0"/>
    <w:rsid w:val="009E5243"/>
    <w:rsid w:val="009E540C"/>
    <w:rsid w:val="009E6FBE"/>
    <w:rsid w:val="009E74BA"/>
    <w:rsid w:val="009E79C5"/>
    <w:rsid w:val="009F007C"/>
    <w:rsid w:val="009F2E68"/>
    <w:rsid w:val="009F34D7"/>
    <w:rsid w:val="009F359B"/>
    <w:rsid w:val="009F6033"/>
    <w:rsid w:val="009F651C"/>
    <w:rsid w:val="00A01247"/>
    <w:rsid w:val="00A01878"/>
    <w:rsid w:val="00A04EE8"/>
    <w:rsid w:val="00A04EF4"/>
    <w:rsid w:val="00A05563"/>
    <w:rsid w:val="00A05A8A"/>
    <w:rsid w:val="00A05CCA"/>
    <w:rsid w:val="00A05EF5"/>
    <w:rsid w:val="00A10C02"/>
    <w:rsid w:val="00A119B4"/>
    <w:rsid w:val="00A11E7D"/>
    <w:rsid w:val="00A12D53"/>
    <w:rsid w:val="00A137A0"/>
    <w:rsid w:val="00A14688"/>
    <w:rsid w:val="00A14A40"/>
    <w:rsid w:val="00A170A2"/>
    <w:rsid w:val="00A170EA"/>
    <w:rsid w:val="00A171DA"/>
    <w:rsid w:val="00A220CE"/>
    <w:rsid w:val="00A235F1"/>
    <w:rsid w:val="00A33981"/>
    <w:rsid w:val="00A34403"/>
    <w:rsid w:val="00A419CB"/>
    <w:rsid w:val="00A512FC"/>
    <w:rsid w:val="00A527DB"/>
    <w:rsid w:val="00A534B8"/>
    <w:rsid w:val="00A54063"/>
    <w:rsid w:val="00A5409F"/>
    <w:rsid w:val="00A55025"/>
    <w:rsid w:val="00A55E52"/>
    <w:rsid w:val="00A57460"/>
    <w:rsid w:val="00A57B4E"/>
    <w:rsid w:val="00A61B32"/>
    <w:rsid w:val="00A6279B"/>
    <w:rsid w:val="00A62C4D"/>
    <w:rsid w:val="00A63054"/>
    <w:rsid w:val="00A64D3A"/>
    <w:rsid w:val="00A65905"/>
    <w:rsid w:val="00A7048E"/>
    <w:rsid w:val="00A73E00"/>
    <w:rsid w:val="00A74FDE"/>
    <w:rsid w:val="00A750D2"/>
    <w:rsid w:val="00A77B48"/>
    <w:rsid w:val="00A80F37"/>
    <w:rsid w:val="00A81517"/>
    <w:rsid w:val="00A85CA4"/>
    <w:rsid w:val="00A85FC5"/>
    <w:rsid w:val="00A916D5"/>
    <w:rsid w:val="00A91F7E"/>
    <w:rsid w:val="00A91FCD"/>
    <w:rsid w:val="00A9205C"/>
    <w:rsid w:val="00A93B83"/>
    <w:rsid w:val="00A955F6"/>
    <w:rsid w:val="00A96348"/>
    <w:rsid w:val="00A973A6"/>
    <w:rsid w:val="00A976D6"/>
    <w:rsid w:val="00AA0112"/>
    <w:rsid w:val="00AA02E2"/>
    <w:rsid w:val="00AA0EDA"/>
    <w:rsid w:val="00AA137C"/>
    <w:rsid w:val="00AA5AD2"/>
    <w:rsid w:val="00AB0550"/>
    <w:rsid w:val="00AB099B"/>
    <w:rsid w:val="00AB28D1"/>
    <w:rsid w:val="00AB416B"/>
    <w:rsid w:val="00AB6698"/>
    <w:rsid w:val="00AB7186"/>
    <w:rsid w:val="00AB7BA2"/>
    <w:rsid w:val="00AC2F39"/>
    <w:rsid w:val="00AC4BAE"/>
    <w:rsid w:val="00AD13A3"/>
    <w:rsid w:val="00AD14AF"/>
    <w:rsid w:val="00AD18B4"/>
    <w:rsid w:val="00AD2115"/>
    <w:rsid w:val="00AD6754"/>
    <w:rsid w:val="00AD7523"/>
    <w:rsid w:val="00AD762C"/>
    <w:rsid w:val="00AD7C0B"/>
    <w:rsid w:val="00AE0150"/>
    <w:rsid w:val="00AE4760"/>
    <w:rsid w:val="00AF20BD"/>
    <w:rsid w:val="00AF225D"/>
    <w:rsid w:val="00AF4ABC"/>
    <w:rsid w:val="00AF564B"/>
    <w:rsid w:val="00AF57B1"/>
    <w:rsid w:val="00B006CC"/>
    <w:rsid w:val="00B00BE2"/>
    <w:rsid w:val="00B01204"/>
    <w:rsid w:val="00B03C00"/>
    <w:rsid w:val="00B04D1A"/>
    <w:rsid w:val="00B07396"/>
    <w:rsid w:val="00B07419"/>
    <w:rsid w:val="00B11044"/>
    <w:rsid w:val="00B11CDE"/>
    <w:rsid w:val="00B12CDA"/>
    <w:rsid w:val="00B134D3"/>
    <w:rsid w:val="00B1613A"/>
    <w:rsid w:val="00B1667D"/>
    <w:rsid w:val="00B17192"/>
    <w:rsid w:val="00B2036D"/>
    <w:rsid w:val="00B21CBB"/>
    <w:rsid w:val="00B22B46"/>
    <w:rsid w:val="00B26238"/>
    <w:rsid w:val="00B26C50"/>
    <w:rsid w:val="00B27A6F"/>
    <w:rsid w:val="00B300EB"/>
    <w:rsid w:val="00B304DD"/>
    <w:rsid w:val="00B3085E"/>
    <w:rsid w:val="00B3142E"/>
    <w:rsid w:val="00B37D57"/>
    <w:rsid w:val="00B40DCE"/>
    <w:rsid w:val="00B40E43"/>
    <w:rsid w:val="00B41729"/>
    <w:rsid w:val="00B42D13"/>
    <w:rsid w:val="00B46033"/>
    <w:rsid w:val="00B470C2"/>
    <w:rsid w:val="00B50948"/>
    <w:rsid w:val="00B5258E"/>
    <w:rsid w:val="00B53FCE"/>
    <w:rsid w:val="00B55597"/>
    <w:rsid w:val="00B56266"/>
    <w:rsid w:val="00B57AB2"/>
    <w:rsid w:val="00B57D97"/>
    <w:rsid w:val="00B65452"/>
    <w:rsid w:val="00B70949"/>
    <w:rsid w:val="00B70E2C"/>
    <w:rsid w:val="00B72931"/>
    <w:rsid w:val="00B754CB"/>
    <w:rsid w:val="00B80AAD"/>
    <w:rsid w:val="00B80ADE"/>
    <w:rsid w:val="00B80F59"/>
    <w:rsid w:val="00B81AB0"/>
    <w:rsid w:val="00B82383"/>
    <w:rsid w:val="00B83CD0"/>
    <w:rsid w:val="00B86018"/>
    <w:rsid w:val="00B915D5"/>
    <w:rsid w:val="00B952CD"/>
    <w:rsid w:val="00B95AB6"/>
    <w:rsid w:val="00BA04F4"/>
    <w:rsid w:val="00BA266B"/>
    <w:rsid w:val="00BA7230"/>
    <w:rsid w:val="00BA7531"/>
    <w:rsid w:val="00BA7630"/>
    <w:rsid w:val="00BA7AAB"/>
    <w:rsid w:val="00BA7BBF"/>
    <w:rsid w:val="00BB4DCF"/>
    <w:rsid w:val="00BC21FD"/>
    <w:rsid w:val="00BC2B02"/>
    <w:rsid w:val="00BC72BB"/>
    <w:rsid w:val="00BD0098"/>
    <w:rsid w:val="00BD214B"/>
    <w:rsid w:val="00BD2C5F"/>
    <w:rsid w:val="00BD4189"/>
    <w:rsid w:val="00BD421B"/>
    <w:rsid w:val="00BD456F"/>
    <w:rsid w:val="00BD523A"/>
    <w:rsid w:val="00BE30D3"/>
    <w:rsid w:val="00BE734A"/>
    <w:rsid w:val="00BF03A4"/>
    <w:rsid w:val="00BF1DDE"/>
    <w:rsid w:val="00BF1F56"/>
    <w:rsid w:val="00BF35D4"/>
    <w:rsid w:val="00BF43A9"/>
    <w:rsid w:val="00BF46B9"/>
    <w:rsid w:val="00BF53A4"/>
    <w:rsid w:val="00BF7151"/>
    <w:rsid w:val="00BF732E"/>
    <w:rsid w:val="00BF7543"/>
    <w:rsid w:val="00C00D0A"/>
    <w:rsid w:val="00C00E40"/>
    <w:rsid w:val="00C02F82"/>
    <w:rsid w:val="00C038A6"/>
    <w:rsid w:val="00C055B7"/>
    <w:rsid w:val="00C05AE5"/>
    <w:rsid w:val="00C06917"/>
    <w:rsid w:val="00C109B3"/>
    <w:rsid w:val="00C11461"/>
    <w:rsid w:val="00C114D3"/>
    <w:rsid w:val="00C11E70"/>
    <w:rsid w:val="00C125D9"/>
    <w:rsid w:val="00C130AF"/>
    <w:rsid w:val="00C13D32"/>
    <w:rsid w:val="00C14605"/>
    <w:rsid w:val="00C15161"/>
    <w:rsid w:val="00C21DCA"/>
    <w:rsid w:val="00C22DFB"/>
    <w:rsid w:val="00C236E2"/>
    <w:rsid w:val="00C237CC"/>
    <w:rsid w:val="00C24B10"/>
    <w:rsid w:val="00C24B9A"/>
    <w:rsid w:val="00C26069"/>
    <w:rsid w:val="00C269E6"/>
    <w:rsid w:val="00C2767B"/>
    <w:rsid w:val="00C313E0"/>
    <w:rsid w:val="00C31709"/>
    <w:rsid w:val="00C318EE"/>
    <w:rsid w:val="00C320FC"/>
    <w:rsid w:val="00C34BF7"/>
    <w:rsid w:val="00C3584F"/>
    <w:rsid w:val="00C42011"/>
    <w:rsid w:val="00C436AB"/>
    <w:rsid w:val="00C43E71"/>
    <w:rsid w:val="00C45825"/>
    <w:rsid w:val="00C47F8E"/>
    <w:rsid w:val="00C55079"/>
    <w:rsid w:val="00C56519"/>
    <w:rsid w:val="00C57609"/>
    <w:rsid w:val="00C602DA"/>
    <w:rsid w:val="00C60952"/>
    <w:rsid w:val="00C62B00"/>
    <w:rsid w:val="00C62B29"/>
    <w:rsid w:val="00C6522F"/>
    <w:rsid w:val="00C65E5B"/>
    <w:rsid w:val="00C65EB7"/>
    <w:rsid w:val="00C664FC"/>
    <w:rsid w:val="00C66A5D"/>
    <w:rsid w:val="00C67F40"/>
    <w:rsid w:val="00C70C44"/>
    <w:rsid w:val="00C7541F"/>
    <w:rsid w:val="00C77A59"/>
    <w:rsid w:val="00C81100"/>
    <w:rsid w:val="00C81B8A"/>
    <w:rsid w:val="00C82D25"/>
    <w:rsid w:val="00C866C6"/>
    <w:rsid w:val="00C86795"/>
    <w:rsid w:val="00C87366"/>
    <w:rsid w:val="00C87E13"/>
    <w:rsid w:val="00C90207"/>
    <w:rsid w:val="00C90DAA"/>
    <w:rsid w:val="00C911C3"/>
    <w:rsid w:val="00C918F0"/>
    <w:rsid w:val="00C926C5"/>
    <w:rsid w:val="00C96194"/>
    <w:rsid w:val="00C96835"/>
    <w:rsid w:val="00C9722F"/>
    <w:rsid w:val="00C974CB"/>
    <w:rsid w:val="00C97D30"/>
    <w:rsid w:val="00CA0226"/>
    <w:rsid w:val="00CA31E7"/>
    <w:rsid w:val="00CA70DE"/>
    <w:rsid w:val="00CB09E6"/>
    <w:rsid w:val="00CB2145"/>
    <w:rsid w:val="00CB266E"/>
    <w:rsid w:val="00CB4847"/>
    <w:rsid w:val="00CB66B0"/>
    <w:rsid w:val="00CB6839"/>
    <w:rsid w:val="00CC0357"/>
    <w:rsid w:val="00CC0679"/>
    <w:rsid w:val="00CC0C63"/>
    <w:rsid w:val="00CC1878"/>
    <w:rsid w:val="00CC193A"/>
    <w:rsid w:val="00CC2E13"/>
    <w:rsid w:val="00CC3B0F"/>
    <w:rsid w:val="00CC47B5"/>
    <w:rsid w:val="00CC61E8"/>
    <w:rsid w:val="00CC6506"/>
    <w:rsid w:val="00CC6F2E"/>
    <w:rsid w:val="00CC71BF"/>
    <w:rsid w:val="00CD1D14"/>
    <w:rsid w:val="00CD1DE2"/>
    <w:rsid w:val="00CD306F"/>
    <w:rsid w:val="00CD4BA6"/>
    <w:rsid w:val="00CD501D"/>
    <w:rsid w:val="00CD5F86"/>
    <w:rsid w:val="00CD6723"/>
    <w:rsid w:val="00CE07F7"/>
    <w:rsid w:val="00CE125D"/>
    <w:rsid w:val="00CE2B28"/>
    <w:rsid w:val="00CE5951"/>
    <w:rsid w:val="00CE6CCE"/>
    <w:rsid w:val="00CF4618"/>
    <w:rsid w:val="00CF73E9"/>
    <w:rsid w:val="00CF748A"/>
    <w:rsid w:val="00D01C5D"/>
    <w:rsid w:val="00D02068"/>
    <w:rsid w:val="00D0505D"/>
    <w:rsid w:val="00D05CFD"/>
    <w:rsid w:val="00D0724A"/>
    <w:rsid w:val="00D11277"/>
    <w:rsid w:val="00D1364D"/>
    <w:rsid w:val="00D136E3"/>
    <w:rsid w:val="00D13A03"/>
    <w:rsid w:val="00D15A52"/>
    <w:rsid w:val="00D201CD"/>
    <w:rsid w:val="00D20582"/>
    <w:rsid w:val="00D2376A"/>
    <w:rsid w:val="00D24BDC"/>
    <w:rsid w:val="00D25004"/>
    <w:rsid w:val="00D25748"/>
    <w:rsid w:val="00D25FF4"/>
    <w:rsid w:val="00D27576"/>
    <w:rsid w:val="00D31E35"/>
    <w:rsid w:val="00D33B40"/>
    <w:rsid w:val="00D348B7"/>
    <w:rsid w:val="00D35CFD"/>
    <w:rsid w:val="00D40C8C"/>
    <w:rsid w:val="00D42331"/>
    <w:rsid w:val="00D427DB"/>
    <w:rsid w:val="00D45A6E"/>
    <w:rsid w:val="00D45AE4"/>
    <w:rsid w:val="00D503FE"/>
    <w:rsid w:val="00D507E2"/>
    <w:rsid w:val="00D51782"/>
    <w:rsid w:val="00D52404"/>
    <w:rsid w:val="00D52645"/>
    <w:rsid w:val="00D534B3"/>
    <w:rsid w:val="00D5465A"/>
    <w:rsid w:val="00D557C9"/>
    <w:rsid w:val="00D61239"/>
    <w:rsid w:val="00D61CE0"/>
    <w:rsid w:val="00D630E2"/>
    <w:rsid w:val="00D678DB"/>
    <w:rsid w:val="00D6794B"/>
    <w:rsid w:val="00D706AB"/>
    <w:rsid w:val="00D7487A"/>
    <w:rsid w:val="00D82642"/>
    <w:rsid w:val="00D83BDB"/>
    <w:rsid w:val="00D86875"/>
    <w:rsid w:val="00D8702C"/>
    <w:rsid w:val="00D87969"/>
    <w:rsid w:val="00D95CDD"/>
    <w:rsid w:val="00D97EE8"/>
    <w:rsid w:val="00DA0F16"/>
    <w:rsid w:val="00DA2476"/>
    <w:rsid w:val="00DA271E"/>
    <w:rsid w:val="00DA49F3"/>
    <w:rsid w:val="00DA5DFA"/>
    <w:rsid w:val="00DA650D"/>
    <w:rsid w:val="00DB14EC"/>
    <w:rsid w:val="00DB166A"/>
    <w:rsid w:val="00DB1AF1"/>
    <w:rsid w:val="00DB4E9D"/>
    <w:rsid w:val="00DC049C"/>
    <w:rsid w:val="00DC6815"/>
    <w:rsid w:val="00DC74E1"/>
    <w:rsid w:val="00DD2F4E"/>
    <w:rsid w:val="00DD3C44"/>
    <w:rsid w:val="00DD5830"/>
    <w:rsid w:val="00DD658D"/>
    <w:rsid w:val="00DE07A5"/>
    <w:rsid w:val="00DE2CE3"/>
    <w:rsid w:val="00DE4A15"/>
    <w:rsid w:val="00DE588F"/>
    <w:rsid w:val="00DE631A"/>
    <w:rsid w:val="00DE6719"/>
    <w:rsid w:val="00DE695E"/>
    <w:rsid w:val="00E00287"/>
    <w:rsid w:val="00E024CC"/>
    <w:rsid w:val="00E0360F"/>
    <w:rsid w:val="00E049A6"/>
    <w:rsid w:val="00E04DAF"/>
    <w:rsid w:val="00E04DED"/>
    <w:rsid w:val="00E0610F"/>
    <w:rsid w:val="00E07068"/>
    <w:rsid w:val="00E112C7"/>
    <w:rsid w:val="00E134B0"/>
    <w:rsid w:val="00E15A46"/>
    <w:rsid w:val="00E15E9A"/>
    <w:rsid w:val="00E2155B"/>
    <w:rsid w:val="00E22F6B"/>
    <w:rsid w:val="00E24C3F"/>
    <w:rsid w:val="00E278EB"/>
    <w:rsid w:val="00E27EB5"/>
    <w:rsid w:val="00E31705"/>
    <w:rsid w:val="00E32A05"/>
    <w:rsid w:val="00E35297"/>
    <w:rsid w:val="00E358CB"/>
    <w:rsid w:val="00E37CB1"/>
    <w:rsid w:val="00E4272D"/>
    <w:rsid w:val="00E43455"/>
    <w:rsid w:val="00E45491"/>
    <w:rsid w:val="00E454B7"/>
    <w:rsid w:val="00E5058E"/>
    <w:rsid w:val="00E51733"/>
    <w:rsid w:val="00E54647"/>
    <w:rsid w:val="00E555BE"/>
    <w:rsid w:val="00E56264"/>
    <w:rsid w:val="00E600B6"/>
    <w:rsid w:val="00E604B6"/>
    <w:rsid w:val="00E6330F"/>
    <w:rsid w:val="00E645E7"/>
    <w:rsid w:val="00E66CA0"/>
    <w:rsid w:val="00E70330"/>
    <w:rsid w:val="00E71ABB"/>
    <w:rsid w:val="00E836F5"/>
    <w:rsid w:val="00E84A6C"/>
    <w:rsid w:val="00E906FB"/>
    <w:rsid w:val="00E91B57"/>
    <w:rsid w:val="00E9220C"/>
    <w:rsid w:val="00E94029"/>
    <w:rsid w:val="00E94558"/>
    <w:rsid w:val="00E9507A"/>
    <w:rsid w:val="00E9711D"/>
    <w:rsid w:val="00EA00DB"/>
    <w:rsid w:val="00EA41B8"/>
    <w:rsid w:val="00EA4BB4"/>
    <w:rsid w:val="00EA525B"/>
    <w:rsid w:val="00EA6949"/>
    <w:rsid w:val="00EA7CB2"/>
    <w:rsid w:val="00EB2236"/>
    <w:rsid w:val="00EB2EAB"/>
    <w:rsid w:val="00EB580A"/>
    <w:rsid w:val="00EB58D8"/>
    <w:rsid w:val="00EB5BB9"/>
    <w:rsid w:val="00EB6A69"/>
    <w:rsid w:val="00EC1E66"/>
    <w:rsid w:val="00EC5F56"/>
    <w:rsid w:val="00EC6B46"/>
    <w:rsid w:val="00ED05AE"/>
    <w:rsid w:val="00ED06D1"/>
    <w:rsid w:val="00ED4B45"/>
    <w:rsid w:val="00ED5959"/>
    <w:rsid w:val="00ED6A62"/>
    <w:rsid w:val="00ED6FC6"/>
    <w:rsid w:val="00EE0EF8"/>
    <w:rsid w:val="00EE6C39"/>
    <w:rsid w:val="00EF0FC5"/>
    <w:rsid w:val="00F01677"/>
    <w:rsid w:val="00F01E5E"/>
    <w:rsid w:val="00F101FA"/>
    <w:rsid w:val="00F11A0D"/>
    <w:rsid w:val="00F148B0"/>
    <w:rsid w:val="00F14D7F"/>
    <w:rsid w:val="00F1506C"/>
    <w:rsid w:val="00F20AC8"/>
    <w:rsid w:val="00F236DD"/>
    <w:rsid w:val="00F24350"/>
    <w:rsid w:val="00F24F9C"/>
    <w:rsid w:val="00F2512B"/>
    <w:rsid w:val="00F27A8B"/>
    <w:rsid w:val="00F27D4B"/>
    <w:rsid w:val="00F27FE9"/>
    <w:rsid w:val="00F30EDC"/>
    <w:rsid w:val="00F3454B"/>
    <w:rsid w:val="00F37030"/>
    <w:rsid w:val="00F3756D"/>
    <w:rsid w:val="00F40D7F"/>
    <w:rsid w:val="00F41A40"/>
    <w:rsid w:val="00F41E71"/>
    <w:rsid w:val="00F426CB"/>
    <w:rsid w:val="00F42B79"/>
    <w:rsid w:val="00F460DF"/>
    <w:rsid w:val="00F5040A"/>
    <w:rsid w:val="00F50552"/>
    <w:rsid w:val="00F51807"/>
    <w:rsid w:val="00F522E3"/>
    <w:rsid w:val="00F544C1"/>
    <w:rsid w:val="00F54AE3"/>
    <w:rsid w:val="00F54DE1"/>
    <w:rsid w:val="00F54DED"/>
    <w:rsid w:val="00F54F06"/>
    <w:rsid w:val="00F55DD5"/>
    <w:rsid w:val="00F565E0"/>
    <w:rsid w:val="00F57ACE"/>
    <w:rsid w:val="00F63365"/>
    <w:rsid w:val="00F637A1"/>
    <w:rsid w:val="00F6549C"/>
    <w:rsid w:val="00F66145"/>
    <w:rsid w:val="00F67134"/>
    <w:rsid w:val="00F67719"/>
    <w:rsid w:val="00F67B85"/>
    <w:rsid w:val="00F71942"/>
    <w:rsid w:val="00F756BE"/>
    <w:rsid w:val="00F81980"/>
    <w:rsid w:val="00F83193"/>
    <w:rsid w:val="00F85D1A"/>
    <w:rsid w:val="00F86481"/>
    <w:rsid w:val="00F90C7C"/>
    <w:rsid w:val="00F91C7B"/>
    <w:rsid w:val="00F92C37"/>
    <w:rsid w:val="00F95D8F"/>
    <w:rsid w:val="00FA1C7D"/>
    <w:rsid w:val="00FA23A4"/>
    <w:rsid w:val="00FA3555"/>
    <w:rsid w:val="00FA638D"/>
    <w:rsid w:val="00FA7438"/>
    <w:rsid w:val="00FB07DD"/>
    <w:rsid w:val="00FB1CB7"/>
    <w:rsid w:val="00FB4440"/>
    <w:rsid w:val="00FB53EA"/>
    <w:rsid w:val="00FC0E4A"/>
    <w:rsid w:val="00FC1AFC"/>
    <w:rsid w:val="00FC21F8"/>
    <w:rsid w:val="00FC3B31"/>
    <w:rsid w:val="00FC7411"/>
    <w:rsid w:val="00FD04E9"/>
    <w:rsid w:val="00FD0A93"/>
    <w:rsid w:val="00FD517B"/>
    <w:rsid w:val="00FE01FF"/>
    <w:rsid w:val="00FE15C6"/>
    <w:rsid w:val="00FE19B1"/>
    <w:rsid w:val="00FE2A79"/>
    <w:rsid w:val="00FE404C"/>
    <w:rsid w:val="00FE5E0D"/>
    <w:rsid w:val="00FF1463"/>
    <w:rsid w:val="00FF1AE6"/>
    <w:rsid w:val="00FF1AF3"/>
    <w:rsid w:val="00FF5F2B"/>
    <w:rsid w:val="00FF6282"/>
    <w:rsid w:val="00FF6B83"/>
    <w:rsid w:val="00FF6BD5"/>
    <w:rsid w:val="00FF6C2D"/>
    <w:rsid w:val="00FF7197"/>
    <w:rsid w:val="1171513D"/>
    <w:rsid w:val="1B3FF9FD"/>
    <w:rsid w:val="2CBBE0D6"/>
    <w:rsid w:val="35A8B0EC"/>
    <w:rsid w:val="731E711B"/>
    <w:rsid w:val="7E6394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F3383"/>
  <w15:chartTrackingRefBased/>
  <w15:docId w15:val="{D5EEE631-3F79-4FF4-BE2F-BC218E94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qFormat="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659E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10AD1"/>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659E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659E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659E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659E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4659ED"/>
    <w:pPr>
      <w:keepNext/>
      <w:spacing w:after="200" w:line="240" w:lineRule="auto"/>
    </w:pPr>
    <w:rPr>
      <w:iCs/>
      <w:color w:val="002664"/>
      <w:sz w:val="18"/>
      <w:szCs w:val="18"/>
    </w:rPr>
  </w:style>
  <w:style w:type="table" w:customStyle="1" w:styleId="Tableheader">
    <w:name w:val="ŠTable header"/>
    <w:basedOn w:val="TableNormal"/>
    <w:uiPriority w:val="99"/>
    <w:rsid w:val="004659E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46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4659ED"/>
    <w:pPr>
      <w:numPr>
        <w:numId w:val="49"/>
      </w:numPr>
    </w:pPr>
  </w:style>
  <w:style w:type="paragraph" w:styleId="ListNumber2">
    <w:name w:val="List Number 2"/>
    <w:aliases w:val="ŠList Number 2"/>
    <w:basedOn w:val="Normal"/>
    <w:uiPriority w:val="8"/>
    <w:qFormat/>
    <w:rsid w:val="004659ED"/>
    <w:pPr>
      <w:numPr>
        <w:numId w:val="48"/>
      </w:numPr>
    </w:pPr>
  </w:style>
  <w:style w:type="paragraph" w:styleId="ListBullet">
    <w:name w:val="List Bullet"/>
    <w:aliases w:val="ŠList Bullet"/>
    <w:basedOn w:val="Normal"/>
    <w:uiPriority w:val="9"/>
    <w:qFormat/>
    <w:rsid w:val="004659ED"/>
    <w:pPr>
      <w:numPr>
        <w:numId w:val="46"/>
      </w:numPr>
    </w:pPr>
  </w:style>
  <w:style w:type="paragraph" w:styleId="ListBullet2">
    <w:name w:val="List Bullet 2"/>
    <w:aliases w:val="ŠList Bullet 2"/>
    <w:basedOn w:val="Normal"/>
    <w:uiPriority w:val="10"/>
    <w:qFormat/>
    <w:rsid w:val="004659ED"/>
    <w:pPr>
      <w:numPr>
        <w:numId w:val="44"/>
      </w:numPr>
    </w:pPr>
  </w:style>
  <w:style w:type="character" w:styleId="SubtleReference">
    <w:name w:val="Subtle Reference"/>
    <w:aliases w:val="ŠSubtle Reference,Š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2B7018"/>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4659ED"/>
    <w:rPr>
      <w:b/>
      <w:bCs/>
    </w:rPr>
  </w:style>
  <w:style w:type="character" w:customStyle="1" w:styleId="QuoteChar">
    <w:name w:val="Quote Char"/>
    <w:aliases w:val="ŠQuote Char"/>
    <w:basedOn w:val="DefaultParagraphFont"/>
    <w:link w:val="Quote"/>
    <w:uiPriority w:val="19"/>
    <w:rsid w:val="002B7018"/>
    <w:rPr>
      <w:rFonts w:ascii="Arial" w:hAnsi="Arial" w:cs="Arial"/>
      <w:sz w:val="24"/>
      <w:szCs w:val="24"/>
    </w:rPr>
  </w:style>
  <w:style w:type="paragraph" w:customStyle="1" w:styleId="FeatureBox2">
    <w:name w:val="ŠFeature Box 2"/>
    <w:basedOn w:val="Normal"/>
    <w:next w:val="Normal"/>
    <w:uiPriority w:val="12"/>
    <w:qFormat/>
    <w:rsid w:val="004659E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4659E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4659E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659E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4659ED"/>
    <w:rPr>
      <w:color w:val="2F5496" w:themeColor="accent1" w:themeShade="BF"/>
      <w:u w:val="single"/>
    </w:rPr>
  </w:style>
  <w:style w:type="paragraph" w:customStyle="1" w:styleId="Logo">
    <w:name w:val="ŠLogo"/>
    <w:basedOn w:val="Normal"/>
    <w:uiPriority w:val="18"/>
    <w:qFormat/>
    <w:rsid w:val="004659E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4659ED"/>
    <w:pPr>
      <w:tabs>
        <w:tab w:val="right" w:leader="dot" w:pos="14570"/>
      </w:tabs>
      <w:spacing w:before="0"/>
    </w:pPr>
    <w:rPr>
      <w:b/>
      <w:noProof/>
    </w:rPr>
  </w:style>
  <w:style w:type="paragraph" w:styleId="TOC2">
    <w:name w:val="toc 2"/>
    <w:aliases w:val="ŠTOC 2"/>
    <w:basedOn w:val="Normal"/>
    <w:next w:val="Normal"/>
    <w:uiPriority w:val="39"/>
    <w:unhideWhenUsed/>
    <w:rsid w:val="004659ED"/>
    <w:pPr>
      <w:tabs>
        <w:tab w:val="right" w:leader="dot" w:pos="14570"/>
      </w:tabs>
      <w:spacing w:before="0"/>
    </w:pPr>
    <w:rPr>
      <w:noProof/>
    </w:rPr>
  </w:style>
  <w:style w:type="paragraph" w:styleId="TOC3">
    <w:name w:val="toc 3"/>
    <w:aliases w:val="ŠTOC 3"/>
    <w:basedOn w:val="Normal"/>
    <w:next w:val="Normal"/>
    <w:uiPriority w:val="39"/>
    <w:unhideWhenUsed/>
    <w:rsid w:val="004659ED"/>
    <w:pPr>
      <w:spacing w:before="0"/>
      <w:ind w:left="244"/>
    </w:pPr>
  </w:style>
  <w:style w:type="paragraph" w:styleId="Title">
    <w:name w:val="Title"/>
    <w:aliases w:val="ŠTitle"/>
    <w:basedOn w:val="Normal"/>
    <w:next w:val="Normal"/>
    <w:link w:val="TitleChar"/>
    <w:uiPriority w:val="1"/>
    <w:rsid w:val="004659E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659ED"/>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10AD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4659E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4659ED"/>
    <w:pPr>
      <w:spacing w:after="240"/>
      <w:outlineLvl w:val="9"/>
    </w:pPr>
    <w:rPr>
      <w:szCs w:val="40"/>
    </w:rPr>
  </w:style>
  <w:style w:type="paragraph" w:styleId="Footer">
    <w:name w:val="footer"/>
    <w:aliases w:val="ŠFooter"/>
    <w:basedOn w:val="Normal"/>
    <w:link w:val="FooterChar"/>
    <w:uiPriority w:val="19"/>
    <w:rsid w:val="004659E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659ED"/>
    <w:rPr>
      <w:rFonts w:ascii="Arial" w:hAnsi="Arial" w:cs="Arial"/>
      <w:sz w:val="18"/>
      <w:szCs w:val="18"/>
    </w:rPr>
  </w:style>
  <w:style w:type="paragraph" w:styleId="Header">
    <w:name w:val="header"/>
    <w:aliases w:val="ŠHeader"/>
    <w:basedOn w:val="Normal"/>
    <w:link w:val="HeaderChar"/>
    <w:uiPriority w:val="16"/>
    <w:rsid w:val="004659ED"/>
    <w:rPr>
      <w:noProof/>
      <w:color w:val="002664"/>
      <w:sz w:val="28"/>
      <w:szCs w:val="28"/>
    </w:rPr>
  </w:style>
  <w:style w:type="character" w:customStyle="1" w:styleId="HeaderChar">
    <w:name w:val="Header Char"/>
    <w:aliases w:val="ŠHeader Char"/>
    <w:basedOn w:val="DefaultParagraphFont"/>
    <w:link w:val="Header"/>
    <w:uiPriority w:val="16"/>
    <w:rsid w:val="004659E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4659E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4659E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4659ED"/>
    <w:rPr>
      <w:rFonts w:ascii="Arial" w:hAnsi="Arial" w:cs="Arial"/>
      <w:b/>
      <w:szCs w:val="32"/>
    </w:rPr>
  </w:style>
  <w:style w:type="character" w:styleId="UnresolvedMention">
    <w:name w:val="Unresolved Mention"/>
    <w:basedOn w:val="DefaultParagraphFont"/>
    <w:uiPriority w:val="99"/>
    <w:semiHidden/>
    <w:unhideWhenUsed/>
    <w:rsid w:val="004659ED"/>
    <w:rPr>
      <w:color w:val="605E5C"/>
      <w:shd w:val="clear" w:color="auto" w:fill="E1DFDD"/>
    </w:rPr>
  </w:style>
  <w:style w:type="character" w:styleId="Emphasis">
    <w:name w:val="Emphasis"/>
    <w:aliases w:val="ŠEmphasis,Italic"/>
    <w:qFormat/>
    <w:rsid w:val="004659ED"/>
    <w:rPr>
      <w:i/>
      <w:iCs/>
    </w:rPr>
  </w:style>
  <w:style w:type="character" w:styleId="SubtleEmphasis">
    <w:name w:val="Subtle Emphasis"/>
    <w:basedOn w:val="DefaultParagraphFont"/>
    <w:uiPriority w:val="19"/>
    <w:semiHidden/>
    <w:qFormat/>
    <w:rsid w:val="004659ED"/>
    <w:rPr>
      <w:i/>
      <w:iCs/>
      <w:color w:val="404040" w:themeColor="text1" w:themeTint="BF"/>
    </w:rPr>
  </w:style>
  <w:style w:type="paragraph" w:styleId="TOC4">
    <w:name w:val="toc 4"/>
    <w:aliases w:val="ŠTOC 4"/>
    <w:basedOn w:val="Normal"/>
    <w:next w:val="Normal"/>
    <w:autoRedefine/>
    <w:uiPriority w:val="39"/>
    <w:unhideWhenUsed/>
    <w:rsid w:val="004659ED"/>
    <w:pPr>
      <w:spacing w:before="0"/>
      <w:ind w:left="488"/>
    </w:pPr>
  </w:style>
  <w:style w:type="character" w:styleId="CommentReference">
    <w:name w:val="annotation reference"/>
    <w:basedOn w:val="DefaultParagraphFont"/>
    <w:uiPriority w:val="99"/>
    <w:semiHidden/>
    <w:unhideWhenUsed/>
    <w:rsid w:val="004659ED"/>
    <w:rPr>
      <w:sz w:val="16"/>
      <w:szCs w:val="16"/>
    </w:rPr>
  </w:style>
  <w:style w:type="paragraph" w:styleId="CommentText">
    <w:name w:val="annotation text"/>
    <w:basedOn w:val="Normal"/>
    <w:link w:val="CommentTextChar"/>
    <w:uiPriority w:val="99"/>
    <w:unhideWhenUsed/>
    <w:rsid w:val="004659ED"/>
    <w:pPr>
      <w:spacing w:line="240" w:lineRule="auto"/>
    </w:pPr>
    <w:rPr>
      <w:sz w:val="20"/>
      <w:szCs w:val="20"/>
    </w:rPr>
  </w:style>
  <w:style w:type="character" w:customStyle="1" w:styleId="CommentTextChar">
    <w:name w:val="Comment Text Char"/>
    <w:basedOn w:val="DefaultParagraphFont"/>
    <w:link w:val="CommentText"/>
    <w:uiPriority w:val="99"/>
    <w:rsid w:val="004659E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659ED"/>
    <w:rPr>
      <w:b/>
      <w:bCs/>
    </w:rPr>
  </w:style>
  <w:style w:type="character" w:customStyle="1" w:styleId="CommentSubjectChar">
    <w:name w:val="Comment Subject Char"/>
    <w:basedOn w:val="CommentTextChar"/>
    <w:link w:val="CommentSubject"/>
    <w:uiPriority w:val="99"/>
    <w:semiHidden/>
    <w:rsid w:val="004659ED"/>
    <w:rPr>
      <w:rFonts w:ascii="Arial" w:hAnsi="Arial" w:cs="Arial"/>
      <w:b/>
      <w:bCs/>
      <w:sz w:val="20"/>
      <w:szCs w:val="20"/>
    </w:rPr>
  </w:style>
  <w:style w:type="character" w:styleId="FollowedHyperlink">
    <w:name w:val="FollowedHyperlink"/>
    <w:basedOn w:val="DefaultParagraphFont"/>
    <w:uiPriority w:val="99"/>
    <w:semiHidden/>
    <w:unhideWhenUsed/>
    <w:rsid w:val="004659ED"/>
    <w:rPr>
      <w:color w:val="954F72" w:themeColor="followedHyperlink"/>
      <w:u w:val="single"/>
    </w:rPr>
  </w:style>
  <w:style w:type="table" w:customStyle="1" w:styleId="Tableheader3">
    <w:name w:val="ŠTable header3"/>
    <w:basedOn w:val="TableNormal"/>
    <w:uiPriority w:val="99"/>
    <w:rsid w:val="0077703A"/>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customStyle="1" w:styleId="Documentname">
    <w:name w:val="ŠDocument name"/>
    <w:basedOn w:val="Normal"/>
    <w:next w:val="Normal"/>
    <w:uiPriority w:val="17"/>
    <w:qFormat/>
    <w:rsid w:val="004659ED"/>
    <w:pPr>
      <w:pBdr>
        <w:bottom w:val="single" w:sz="8" w:space="10" w:color="D0CECE" w:themeColor="background2" w:themeShade="E6"/>
      </w:pBdr>
      <w:spacing w:before="0" w:after="240" w:line="276" w:lineRule="auto"/>
      <w:jc w:val="right"/>
    </w:pPr>
    <w:rPr>
      <w:bCs/>
      <w:sz w:val="18"/>
      <w:szCs w:val="18"/>
    </w:rPr>
  </w:style>
  <w:style w:type="paragraph" w:styleId="Revision">
    <w:name w:val="Revision"/>
    <w:hidden/>
    <w:uiPriority w:val="99"/>
    <w:semiHidden/>
    <w:rsid w:val="004328CE"/>
    <w:pPr>
      <w:spacing w:after="0" w:line="240" w:lineRule="auto"/>
    </w:pPr>
    <w:rPr>
      <w:rFonts w:ascii="Arial" w:hAnsi="Arial" w:cs="Arial"/>
      <w:sz w:val="24"/>
      <w:szCs w:val="24"/>
    </w:rPr>
  </w:style>
  <w:style w:type="paragraph" w:customStyle="1" w:styleId="FeatureBox3">
    <w:name w:val="ŠFeature Box 3"/>
    <w:basedOn w:val="Normal"/>
    <w:next w:val="Normal"/>
    <w:uiPriority w:val="13"/>
    <w:qFormat/>
    <w:rsid w:val="004659E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659E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4659ED"/>
    <w:pPr>
      <w:spacing w:after="0"/>
    </w:pPr>
    <w:rPr>
      <w:sz w:val="18"/>
      <w:szCs w:val="18"/>
    </w:rPr>
  </w:style>
  <w:style w:type="paragraph" w:styleId="ListBullet3">
    <w:name w:val="List Bullet 3"/>
    <w:aliases w:val="ŠList Bullet 3"/>
    <w:basedOn w:val="Normal"/>
    <w:uiPriority w:val="10"/>
    <w:rsid w:val="004659ED"/>
    <w:pPr>
      <w:numPr>
        <w:numId w:val="45"/>
      </w:numPr>
    </w:pPr>
  </w:style>
  <w:style w:type="paragraph" w:styleId="ListNumber3">
    <w:name w:val="List Number 3"/>
    <w:aliases w:val="ŠList Number 3"/>
    <w:basedOn w:val="ListBullet3"/>
    <w:uiPriority w:val="8"/>
    <w:rsid w:val="004659ED"/>
    <w:pPr>
      <w:numPr>
        <w:ilvl w:val="2"/>
        <w:numId w:val="48"/>
      </w:numPr>
    </w:pPr>
  </w:style>
  <w:style w:type="paragraph" w:styleId="ListParagraph">
    <w:name w:val="List Paragraph"/>
    <w:aliases w:val="ŠList Paragraph"/>
    <w:basedOn w:val="Normal"/>
    <w:link w:val="ListParagraphChar"/>
    <w:uiPriority w:val="34"/>
    <w:unhideWhenUsed/>
    <w:qFormat/>
    <w:rsid w:val="004659ED"/>
    <w:pPr>
      <w:ind w:left="567"/>
    </w:pPr>
  </w:style>
  <w:style w:type="character" w:styleId="PlaceholderText">
    <w:name w:val="Placeholder Text"/>
    <w:basedOn w:val="DefaultParagraphFont"/>
    <w:uiPriority w:val="99"/>
    <w:semiHidden/>
    <w:rsid w:val="004659ED"/>
    <w:rPr>
      <w:color w:val="808080"/>
    </w:rPr>
  </w:style>
  <w:style w:type="character" w:customStyle="1" w:styleId="BoldItalic">
    <w:name w:val="ŠBold Italic"/>
    <w:basedOn w:val="DefaultParagraphFont"/>
    <w:uiPriority w:val="1"/>
    <w:qFormat/>
    <w:rsid w:val="004659ED"/>
    <w:rPr>
      <w:b/>
      <w:i/>
      <w:iCs/>
    </w:rPr>
  </w:style>
  <w:style w:type="paragraph" w:customStyle="1" w:styleId="Pulloutquote">
    <w:name w:val="ŠPull out quote"/>
    <w:basedOn w:val="Normal"/>
    <w:next w:val="Normal"/>
    <w:uiPriority w:val="20"/>
    <w:qFormat/>
    <w:rsid w:val="004659ED"/>
    <w:pPr>
      <w:keepNext/>
      <w:ind w:left="567" w:right="57"/>
    </w:pPr>
    <w:rPr>
      <w:szCs w:val="22"/>
    </w:rPr>
  </w:style>
  <w:style w:type="paragraph" w:customStyle="1" w:styleId="Subtitle0">
    <w:name w:val="ŠSubtitle"/>
    <w:basedOn w:val="Normal"/>
    <w:link w:val="SubtitleChar0"/>
    <w:uiPriority w:val="2"/>
    <w:qFormat/>
    <w:rsid w:val="004659ED"/>
    <w:pPr>
      <w:spacing w:before="360"/>
    </w:pPr>
    <w:rPr>
      <w:color w:val="002664"/>
      <w:sz w:val="44"/>
      <w:szCs w:val="48"/>
    </w:rPr>
  </w:style>
  <w:style w:type="character" w:customStyle="1" w:styleId="SubtitleChar0">
    <w:name w:val="ŠSubtitle Char"/>
    <w:basedOn w:val="DefaultParagraphFont"/>
    <w:link w:val="Subtitle0"/>
    <w:uiPriority w:val="2"/>
    <w:rsid w:val="004659ED"/>
    <w:rPr>
      <w:rFonts w:ascii="Arial" w:hAnsi="Arial" w:cs="Arial"/>
      <w:color w:val="002664"/>
      <w:sz w:val="44"/>
      <w:szCs w:val="48"/>
    </w:rPr>
  </w:style>
  <w:style w:type="character" w:customStyle="1" w:styleId="ListParagraphChar">
    <w:name w:val="List Paragraph Char"/>
    <w:aliases w:val="ŠList Paragraph Char"/>
    <w:basedOn w:val="DefaultParagraphFont"/>
    <w:link w:val="ListParagraph"/>
    <w:uiPriority w:val="34"/>
    <w:rsid w:val="003A66D2"/>
    <w:rPr>
      <w:rFonts w:ascii="Arial" w:hAnsi="Arial" w:cs="Arial"/>
      <w:szCs w:val="24"/>
    </w:rPr>
  </w:style>
  <w:style w:type="paragraph" w:styleId="NormalWeb">
    <w:name w:val="Normal (Web)"/>
    <w:basedOn w:val="Normal"/>
    <w:uiPriority w:val="99"/>
    <w:semiHidden/>
    <w:unhideWhenUsed/>
    <w:rsid w:val="00366A97"/>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3328">
      <w:bodyDiv w:val="1"/>
      <w:marLeft w:val="0"/>
      <w:marRight w:val="0"/>
      <w:marTop w:val="0"/>
      <w:marBottom w:val="0"/>
      <w:divBdr>
        <w:top w:val="none" w:sz="0" w:space="0" w:color="auto"/>
        <w:left w:val="none" w:sz="0" w:space="0" w:color="auto"/>
        <w:bottom w:val="none" w:sz="0" w:space="0" w:color="auto"/>
        <w:right w:val="none" w:sz="0" w:space="0" w:color="auto"/>
      </w:divBdr>
    </w:div>
    <w:div w:id="225190605">
      <w:bodyDiv w:val="1"/>
      <w:marLeft w:val="0"/>
      <w:marRight w:val="0"/>
      <w:marTop w:val="0"/>
      <w:marBottom w:val="0"/>
      <w:divBdr>
        <w:top w:val="none" w:sz="0" w:space="0" w:color="auto"/>
        <w:left w:val="none" w:sz="0" w:space="0" w:color="auto"/>
        <w:bottom w:val="none" w:sz="0" w:space="0" w:color="auto"/>
        <w:right w:val="none" w:sz="0" w:space="0" w:color="auto"/>
      </w:divBdr>
    </w:div>
    <w:div w:id="374161536">
      <w:bodyDiv w:val="1"/>
      <w:marLeft w:val="0"/>
      <w:marRight w:val="0"/>
      <w:marTop w:val="0"/>
      <w:marBottom w:val="0"/>
      <w:divBdr>
        <w:top w:val="none" w:sz="0" w:space="0" w:color="auto"/>
        <w:left w:val="none" w:sz="0" w:space="0" w:color="auto"/>
        <w:bottom w:val="none" w:sz="0" w:space="0" w:color="auto"/>
        <w:right w:val="none" w:sz="0" w:space="0" w:color="auto"/>
      </w:divBdr>
    </w:div>
    <w:div w:id="406808386">
      <w:bodyDiv w:val="1"/>
      <w:marLeft w:val="0"/>
      <w:marRight w:val="0"/>
      <w:marTop w:val="0"/>
      <w:marBottom w:val="0"/>
      <w:divBdr>
        <w:top w:val="none" w:sz="0" w:space="0" w:color="auto"/>
        <w:left w:val="none" w:sz="0" w:space="0" w:color="auto"/>
        <w:bottom w:val="none" w:sz="0" w:space="0" w:color="auto"/>
        <w:right w:val="none" w:sz="0" w:space="0" w:color="auto"/>
      </w:divBdr>
    </w:div>
    <w:div w:id="868449038">
      <w:bodyDiv w:val="1"/>
      <w:marLeft w:val="0"/>
      <w:marRight w:val="0"/>
      <w:marTop w:val="0"/>
      <w:marBottom w:val="0"/>
      <w:divBdr>
        <w:top w:val="none" w:sz="0" w:space="0" w:color="auto"/>
        <w:left w:val="none" w:sz="0" w:space="0" w:color="auto"/>
        <w:bottom w:val="none" w:sz="0" w:space="0" w:color="auto"/>
        <w:right w:val="none" w:sz="0" w:space="0" w:color="auto"/>
      </w:divBdr>
    </w:div>
    <w:div w:id="1097674307">
      <w:bodyDiv w:val="1"/>
      <w:marLeft w:val="0"/>
      <w:marRight w:val="0"/>
      <w:marTop w:val="0"/>
      <w:marBottom w:val="0"/>
      <w:divBdr>
        <w:top w:val="none" w:sz="0" w:space="0" w:color="auto"/>
        <w:left w:val="none" w:sz="0" w:space="0" w:color="auto"/>
        <w:bottom w:val="none" w:sz="0" w:space="0" w:color="auto"/>
        <w:right w:val="none" w:sz="0" w:space="0" w:color="auto"/>
      </w:divBdr>
    </w:div>
    <w:div w:id="1168014459">
      <w:bodyDiv w:val="1"/>
      <w:marLeft w:val="0"/>
      <w:marRight w:val="0"/>
      <w:marTop w:val="0"/>
      <w:marBottom w:val="0"/>
      <w:divBdr>
        <w:top w:val="none" w:sz="0" w:space="0" w:color="auto"/>
        <w:left w:val="none" w:sz="0" w:space="0" w:color="auto"/>
        <w:bottom w:val="none" w:sz="0" w:space="0" w:color="auto"/>
        <w:right w:val="none" w:sz="0" w:space="0" w:color="auto"/>
      </w:divBdr>
    </w:div>
    <w:div w:id="1620524938">
      <w:bodyDiv w:val="1"/>
      <w:marLeft w:val="0"/>
      <w:marRight w:val="0"/>
      <w:marTop w:val="0"/>
      <w:marBottom w:val="0"/>
      <w:divBdr>
        <w:top w:val="none" w:sz="0" w:space="0" w:color="auto"/>
        <w:left w:val="none" w:sz="0" w:space="0" w:color="auto"/>
        <w:bottom w:val="none" w:sz="0" w:space="0" w:color="auto"/>
        <w:right w:val="none" w:sz="0" w:space="0" w:color="auto"/>
      </w:divBdr>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 w:id="20830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choose-health-be-active-a-physical-guide-for-older-australians" TargetMode="External"/><Relationship Id="rId21" Type="http://schemas.openxmlformats.org/officeDocument/2006/relationships/hyperlink" Target="https://www.who.int/news-room/fact-sheets/detail/ageing-and-health" TargetMode="External"/><Relationship Id="rId34" Type="http://schemas.openxmlformats.org/officeDocument/2006/relationships/hyperlink" Target="https://www.melvillecity.com.au/our-community/age-friendly-melville" TargetMode="External"/><Relationship Id="rId42" Type="http://schemas.openxmlformats.org/officeDocument/2006/relationships/hyperlink" Target="https://education.nsw.gov.au/teaching-and-learning/curriculum/planning-programming-and-assessing-k-12/planning-programming-and-assessing-7-12" TargetMode="External"/><Relationship Id="rId47" Type="http://schemas.openxmlformats.org/officeDocument/2006/relationships/hyperlink" Target="https://education.nsw.gov.au/inside-the-department/directory-a-z/strategic-school-improvement/school-excellence-framework" TargetMode="External"/><Relationship Id="rId50" Type="http://schemas.openxmlformats.org/officeDocument/2006/relationships/hyperlink" Target="https://teams.microsoft.com/l/team/19%3a93bb42a54e4b4779b28ab5b737b9e642%40thread.tacv2/conversations?groupId=d759a943-a680-4d0b-bdfe-88a8998f709e&amp;tenantId=05a0e69a-418a-47c1-9c25-9387261bf991" TargetMode="External"/><Relationship Id="rId55" Type="http://schemas.openxmlformats.org/officeDocument/2006/relationships/header" Target="header1.xm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ealth.gov.au/resources/collections/senior-australian-of-the-year-award-videos?language=en" TargetMode="External"/><Relationship Id="rId29" Type="http://schemas.openxmlformats.org/officeDocument/2006/relationships/hyperlink" Target="https://www.eatforhealth.gov.au/eating-well/healthy-eating-throughout-all-life/healthy-eating-when-you%27re-older" TargetMode="External"/><Relationship Id="rId11" Type="http://schemas.openxmlformats.org/officeDocument/2006/relationships/hyperlink" Target="https://www.youtube.com/watch?v=ywjP4PDssWk" TargetMode="External"/><Relationship Id="rId24" Type="http://schemas.openxmlformats.org/officeDocument/2006/relationships/hyperlink" Target="https://sdgs.un.org/goals" TargetMode="External"/><Relationship Id="rId32" Type="http://schemas.openxmlformats.org/officeDocument/2006/relationships/hyperlink" Target="https://activeageing.org.au/" TargetMode="External"/><Relationship Id="rId37" Type="http://schemas.openxmlformats.org/officeDocument/2006/relationships/hyperlink" Target="https://app.education.nsw.gov.au/digital-learning-selector/LearningTool/Card/70?clearCache=c89993e9-20c9-2474-f8d9-544de09ba854" TargetMode="External"/><Relationship Id="rId40" Type="http://schemas.openxmlformats.org/officeDocument/2006/relationships/hyperlink" Target="https://education.nsw.gov.au/teaching-and-learning/curriculum/planning-programming-and-assessing-k-12/planning-programming-and-assessing-7-12" TargetMode="External"/><Relationship Id="rId45" Type="http://schemas.openxmlformats.org/officeDocument/2006/relationships/hyperlink" Target="https://education.nsw.gov.au/policy-library/policies/pd-2016-0468" TargetMode="External"/><Relationship Id="rId53" Type="http://schemas.openxmlformats.org/officeDocument/2006/relationships/hyperlink" Target="https://curriculum.nsw.edu.au/"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png"/><Relationship Id="rId19" Type="http://schemas.openxmlformats.org/officeDocument/2006/relationships/hyperlink" Target="https://humanrights.gov.au/our-work/education/face-facts-older-australians" TargetMode="External"/><Relationship Id="rId14" Type="http://schemas.openxmlformats.org/officeDocument/2006/relationships/hyperlink" Target="https://www.activeandhealthy.nsw.gov.au/be-inspired/" TargetMode="External"/><Relationship Id="rId22" Type="http://schemas.openxmlformats.org/officeDocument/2006/relationships/hyperlink" Target="https://app.education.nsw.gov.au/digital-learning-selector/LearningActivity/Card/645?clearCache=99efbd3e-4a96-809d-f51b-207a73387e0%22" TargetMode="External"/><Relationship Id="rId27" Type="http://schemas.openxmlformats.org/officeDocument/2006/relationships/hyperlink" Target="https://www.health.gov.au/topics/physical-activity-and-exercise/physical-activity-and-exercise-guidelines-for-all-australians/for-older-australians-65-years-and-over" TargetMode="External"/><Relationship Id="rId30" Type="http://schemas.openxmlformats.org/officeDocument/2006/relationships/hyperlink" Target="https://www.liveup.org.au/" TargetMode="External"/><Relationship Id="rId35" Type="http://schemas.openxmlformats.org/officeDocument/2006/relationships/hyperlink" Target="https://swsphn.com.au/primary-care-resources/live-well-healthy-ageing-program/" TargetMode="External"/><Relationship Id="rId43" Type="http://schemas.openxmlformats.org/officeDocument/2006/relationships/hyperlink" Target="https://education.nsw.gov.au/teaching-and-learning/curriculum/explicit-teaching" TargetMode="External"/><Relationship Id="rId48" Type="http://schemas.openxmlformats.org/officeDocument/2006/relationships/hyperlink" Target="https://educationstandards.nsw.edu.au/wps/portal/nesa/teacher-accreditation/meeting-requirements/the-standards/proficient-teacher" TargetMode="External"/><Relationship Id="rId56" Type="http://schemas.openxmlformats.org/officeDocument/2006/relationships/footer" Target="footer1.xml"/><Relationship Id="rId64" Type="http://schemas.openxmlformats.org/officeDocument/2006/relationships/fontTable" Target="fontTable.xml"/><Relationship Id="rId8" Type="http://schemas.openxmlformats.org/officeDocument/2006/relationships/hyperlink" Target="https://curriculum.nsw.edu.au/learning-areas/pdhpe/health-and-movement-science-11-12-2023/overview" TargetMode="External"/><Relationship Id="rId51" Type="http://schemas.openxmlformats.org/officeDocument/2006/relationships/hyperlink" Target="https://educationstandards.nsw.edu.au/wps/portal/nesa/mini-footer/copyright" TargetMode="External"/><Relationship Id="rId3" Type="http://schemas.openxmlformats.org/officeDocument/2006/relationships/styles" Target="styles.xml"/><Relationship Id="rId12" Type="http://schemas.openxmlformats.org/officeDocument/2006/relationships/hyperlink" Target="https://www.youtube.com/watch?v=Bi-yEtZ6eqA" TargetMode="External"/><Relationship Id="rId17" Type="http://schemas.openxmlformats.org/officeDocument/2006/relationships/hyperlink" Target="https://app.education.nsw.gov.au/digital-learning-selector/LearningActivity/Card/645?clearCache=655e1d41-b7e7-fc2b-568c-23f21e42b46f" TargetMode="External"/><Relationship Id="rId25" Type="http://schemas.openxmlformats.org/officeDocument/2006/relationships/hyperlink" Target="https://www.health.gov.au/topics/positive-ageing" TargetMode="External"/><Relationship Id="rId33" Type="http://schemas.openxmlformats.org/officeDocument/2006/relationships/hyperlink" Target="https://www.activeandhealthy.nsw.gov.au/" TargetMode="External"/><Relationship Id="rId38" Type="http://schemas.openxmlformats.org/officeDocument/2006/relationships/hyperlink" Target="https://app.education.nsw.gov.au/digital-learning-selector/LearningTool/Card/116?clearCache=29878160-6d80-553d-5153-7e06637391f6" TargetMode="External"/><Relationship Id="rId46" Type="http://schemas.openxmlformats.org/officeDocument/2006/relationships/hyperlink" Target="https://education.nsw.gov.au/about-us/strategies-and-reports/plan-for-nsw-public-education" TargetMode="External"/><Relationship Id="rId59" Type="http://schemas.openxmlformats.org/officeDocument/2006/relationships/footer" Target="footer3.xml"/><Relationship Id="rId20" Type="http://schemas.openxmlformats.org/officeDocument/2006/relationships/hyperlink" Target="https://www.health.gov.au/topics/physical-activity-and-exercise/physical-activity-and-exercise-guidelines-for-all-australians/for-older-australians-65-years-and-over" TargetMode="External"/><Relationship Id="rId41" Type="http://schemas.openxmlformats.org/officeDocument/2006/relationships/hyperlink" Target="https://education.nsw.gov.au/teaching-and-learning/curriculum/planning-programming-and-assessing-k-12/planning-programming-and-assessing-7-12/inclusion-and-differentiation-advice-7-10" TargetMode="External"/><Relationship Id="rId54" Type="http://schemas.openxmlformats.org/officeDocument/2006/relationships/hyperlink" Target="https://curriculum.nsw.edu.au/learning-areas/pdhpe/health-and-movement-science-11-12-2023/overview"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mQ0RVmY3e6U" TargetMode="External"/><Relationship Id="rId23" Type="http://schemas.openxmlformats.org/officeDocument/2006/relationships/hyperlink" Target="https://www.youtube.com/watch?v=5_hLuEui6ww" TargetMode="External"/><Relationship Id="rId28" Type="http://schemas.openxmlformats.org/officeDocument/2006/relationships/hyperlink" Target="https://www.health.gov.au/resources/publications/chsp-manual" TargetMode="External"/><Relationship Id="rId36" Type="http://schemas.openxmlformats.org/officeDocument/2006/relationships/hyperlink" Target="https://humanrights.gov.au/our-work/age-discrimination/projects/positive-ageing" TargetMode="External"/><Relationship Id="rId49" Type="http://schemas.openxmlformats.org/officeDocument/2006/relationships/hyperlink" Target="https://education.nsw.gov.au/teaching-and-learning/curriculum/pdhpe/planning-programming-and-assessing-pdhpe-k-12/planning-programming-and-assessing-pdhpe-11-12" TargetMode="External"/><Relationship Id="rId57" Type="http://schemas.openxmlformats.org/officeDocument/2006/relationships/footer" Target="footer2.xml"/><Relationship Id="rId10" Type="http://schemas.openxmlformats.org/officeDocument/2006/relationships/hyperlink" Target="https://www.youtube.com/watch?v=Cznlj9z6MFY&amp;list=PLaEI06Attd-xYSDz45zEUD9-x-uLxwvpY&amp;t=90s" TargetMode="External"/><Relationship Id="rId31" Type="http://schemas.openxmlformats.org/officeDocument/2006/relationships/hyperlink" Target="https://www.uniting.org/services/senior-health-hub" TargetMode="External"/><Relationship Id="rId44" Type="http://schemas.openxmlformats.org/officeDocument/2006/relationships/hyperlink" Target="https://education.nsw.gov.au/about-us/education-data-and-research/cese/publications/research-reports/what-works-best-2020-update/explicit-teaching-driving-learning-and-engagement" TargetMode="External"/><Relationship Id="rId52" Type="http://schemas.openxmlformats.org/officeDocument/2006/relationships/hyperlink" Target="https://educationstandards.nsw.edu.au/" TargetMode="External"/><Relationship Id="rId60" Type="http://schemas.openxmlformats.org/officeDocument/2006/relationships/hyperlink" Target="https://creativecommons.org/licenses/by/4.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education.nsw.gov.au/digital-learning-selector/LearningActivity/Card/599?clearCache=2aa57b44-fa06-c956-f2b6-8fb17fa06539" TargetMode="External"/><Relationship Id="rId13" Type="http://schemas.openxmlformats.org/officeDocument/2006/relationships/hyperlink" Target="https://www.youtube.com/watch?v=aQ3xopTXT4Q" TargetMode="External"/><Relationship Id="rId18" Type="http://schemas.openxmlformats.org/officeDocument/2006/relationships/hyperlink" Target="https://www.aihw.gov.au/reports/older-people/older-australians/contents/health/health-status-and-functioning" TargetMode="External"/><Relationship Id="rId39" Type="http://schemas.openxmlformats.org/officeDocument/2006/relationships/hyperlink" Target="mailto:PDHPEcurriculum@det.nsw.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F85A-73B4-48D0-B70B-D144137C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21</Pages>
  <Words>5147</Words>
  <Characters>29341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Health and movement science Stage 6 (Year 11) – biomechanics – sample learning program</vt:lpstr>
    </vt:vector>
  </TitlesOfParts>
  <Company/>
  <LinksUpToDate>false</LinksUpToDate>
  <CharactersWithSpaces>34420</CharactersWithSpaces>
  <SharedDoc>false</SharedDoc>
  <HLinks>
    <vt:vector size="408" baseType="variant">
      <vt:variant>
        <vt:i4>5308424</vt:i4>
      </vt:variant>
      <vt:variant>
        <vt:i4>258</vt:i4>
      </vt:variant>
      <vt:variant>
        <vt:i4>0</vt:i4>
      </vt:variant>
      <vt:variant>
        <vt:i4>5</vt:i4>
      </vt:variant>
      <vt:variant>
        <vt:lpwstr>https://creativecommons.org/licenses/by/4.0/</vt:lpwstr>
      </vt:variant>
      <vt:variant>
        <vt:lpwstr/>
      </vt:variant>
      <vt:variant>
        <vt:i4>2228349</vt:i4>
      </vt:variant>
      <vt:variant>
        <vt:i4>255</vt:i4>
      </vt:variant>
      <vt:variant>
        <vt:i4>0</vt:i4>
      </vt:variant>
      <vt:variant>
        <vt:i4>5</vt:i4>
      </vt:variant>
      <vt:variant>
        <vt:lpwstr>https://curriculum.nsw.edu.au/learning-areas/pdhpe/health-and-movement-science-11-12-2023/overview</vt:lpwstr>
      </vt:variant>
      <vt:variant>
        <vt:lpwstr/>
      </vt:variant>
      <vt:variant>
        <vt:i4>3342452</vt:i4>
      </vt:variant>
      <vt:variant>
        <vt:i4>252</vt:i4>
      </vt:variant>
      <vt:variant>
        <vt:i4>0</vt:i4>
      </vt:variant>
      <vt:variant>
        <vt:i4>5</vt:i4>
      </vt:variant>
      <vt:variant>
        <vt:lpwstr>https://curriculum.nsw.edu.au/</vt:lpwstr>
      </vt:variant>
      <vt:variant>
        <vt:lpwstr/>
      </vt:variant>
      <vt:variant>
        <vt:i4>3997797</vt:i4>
      </vt:variant>
      <vt:variant>
        <vt:i4>249</vt:i4>
      </vt:variant>
      <vt:variant>
        <vt:i4>0</vt:i4>
      </vt:variant>
      <vt:variant>
        <vt:i4>5</vt:i4>
      </vt:variant>
      <vt:variant>
        <vt:lpwstr>https://educationstandards.nsw.edu.au/</vt:lpwstr>
      </vt:variant>
      <vt:variant>
        <vt:lpwstr/>
      </vt:variant>
      <vt:variant>
        <vt:i4>7536744</vt:i4>
      </vt:variant>
      <vt:variant>
        <vt:i4>246</vt:i4>
      </vt:variant>
      <vt:variant>
        <vt:i4>0</vt:i4>
      </vt:variant>
      <vt:variant>
        <vt:i4>5</vt:i4>
      </vt:variant>
      <vt:variant>
        <vt:lpwstr>https://educationstandards.nsw.edu.au/wps/portal/nesa/mini-footer/copyright</vt:lpwstr>
      </vt:variant>
      <vt:variant>
        <vt:lpwstr/>
      </vt:variant>
      <vt:variant>
        <vt:i4>5963789</vt:i4>
      </vt:variant>
      <vt:variant>
        <vt:i4>243</vt:i4>
      </vt:variant>
      <vt:variant>
        <vt:i4>0</vt:i4>
      </vt:variant>
      <vt:variant>
        <vt:i4>5</vt:i4>
      </vt:variant>
      <vt:variant>
        <vt:lpwstr>https://teams.microsoft.com/l/team/19%3a93bb42a54e4b4779b28ab5b737b9e642%40thread.tacv2/conversations?groupId=d759a943-a680-4d0b-bdfe-88a8998f709e&amp;tenantId=05a0e69a-418a-47c1-9c25-9387261bf991</vt:lpwstr>
      </vt:variant>
      <vt:variant>
        <vt:lpwstr/>
      </vt:variant>
      <vt:variant>
        <vt:i4>3080306</vt:i4>
      </vt:variant>
      <vt:variant>
        <vt:i4>240</vt:i4>
      </vt:variant>
      <vt:variant>
        <vt:i4>0</vt:i4>
      </vt:variant>
      <vt:variant>
        <vt:i4>5</vt:i4>
      </vt:variant>
      <vt:variant>
        <vt:lpwstr>https://hschub.nsw.edu.au/</vt:lpwstr>
      </vt:variant>
      <vt:variant>
        <vt:lpwstr/>
      </vt:variant>
      <vt:variant>
        <vt:i4>1638488</vt:i4>
      </vt:variant>
      <vt:variant>
        <vt:i4>237</vt:i4>
      </vt:variant>
      <vt:variant>
        <vt:i4>0</vt:i4>
      </vt:variant>
      <vt:variant>
        <vt:i4>5</vt:i4>
      </vt:variant>
      <vt:variant>
        <vt:lpwstr>https://education.nsw.gov.au/teaching-and-learning/curriculum/pdhpe/planning-programming-and-assessing-pdhpe-k-12/planning-programming-and-assessing-pdhpe-11-12</vt:lpwstr>
      </vt:variant>
      <vt:variant>
        <vt:lpwstr/>
      </vt:variant>
      <vt:variant>
        <vt:i4>4522007</vt:i4>
      </vt:variant>
      <vt:variant>
        <vt:i4>234</vt:i4>
      </vt:variant>
      <vt:variant>
        <vt:i4>0</vt:i4>
      </vt:variant>
      <vt:variant>
        <vt:i4>5</vt:i4>
      </vt:variant>
      <vt:variant>
        <vt:lpwstr>https://educationstandards.nsw.edu.au/wps/portal/nesa/teacher-accreditation/meeting-requirements/the-standards/proficient-teacher</vt:lpwstr>
      </vt:variant>
      <vt:variant>
        <vt:lpwstr/>
      </vt:variant>
      <vt:variant>
        <vt:i4>1245204</vt:i4>
      </vt:variant>
      <vt:variant>
        <vt:i4>231</vt:i4>
      </vt:variant>
      <vt:variant>
        <vt:i4>0</vt:i4>
      </vt:variant>
      <vt:variant>
        <vt:i4>5</vt:i4>
      </vt:variant>
      <vt:variant>
        <vt:lpwstr>https://education.nsw.gov.au/inside-the-department/directory-a-z/strategic-school-improvement/school-excellence-framework</vt:lpwstr>
      </vt:variant>
      <vt:variant>
        <vt:lpwstr/>
      </vt:variant>
      <vt:variant>
        <vt:i4>2752564</vt:i4>
      </vt:variant>
      <vt:variant>
        <vt:i4>228</vt:i4>
      </vt:variant>
      <vt:variant>
        <vt:i4>0</vt:i4>
      </vt:variant>
      <vt:variant>
        <vt:i4>5</vt:i4>
      </vt:variant>
      <vt:variant>
        <vt:lpwstr>https://education.nsw.gov.au/about-us/strategies-and-reports/plan-for-nsw-public-education</vt:lpwstr>
      </vt:variant>
      <vt:variant>
        <vt:lpwstr/>
      </vt:variant>
      <vt:variant>
        <vt:i4>2031698</vt:i4>
      </vt:variant>
      <vt:variant>
        <vt:i4>225</vt:i4>
      </vt:variant>
      <vt:variant>
        <vt:i4>0</vt:i4>
      </vt:variant>
      <vt:variant>
        <vt:i4>5</vt:i4>
      </vt:variant>
      <vt:variant>
        <vt:lpwstr>https://education.nsw.gov.au/policy-library/policies/pd-2016-0468</vt:lpwstr>
      </vt:variant>
      <vt:variant>
        <vt:lpwstr/>
      </vt:variant>
      <vt:variant>
        <vt:i4>2621541</vt:i4>
      </vt:variant>
      <vt:variant>
        <vt:i4>222</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219</vt:i4>
      </vt:variant>
      <vt:variant>
        <vt:i4>0</vt:i4>
      </vt:variant>
      <vt:variant>
        <vt:i4>5</vt:i4>
      </vt:variant>
      <vt:variant>
        <vt:lpwstr>https://education.nsw.gov.au/teaching-and-learning/curriculum/explicit-teaching</vt:lpwstr>
      </vt:variant>
      <vt:variant>
        <vt:lpwstr/>
      </vt:variant>
      <vt:variant>
        <vt:i4>1376267</vt:i4>
      </vt:variant>
      <vt:variant>
        <vt:i4>216</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213</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210</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207</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204</vt:i4>
      </vt:variant>
      <vt:variant>
        <vt:i4>0</vt:i4>
      </vt:variant>
      <vt:variant>
        <vt:i4>5</vt:i4>
      </vt:variant>
      <vt:variant>
        <vt:lpwstr>https://education.nsw.gov.au/teaching-and-learning/curriculum/planning-programming-and-assessing-k-12/planning-programming-and-assessing-7-12</vt:lpwstr>
      </vt:variant>
      <vt:variant>
        <vt:lpwstr/>
      </vt:variant>
      <vt:variant>
        <vt:i4>131130</vt:i4>
      </vt:variant>
      <vt:variant>
        <vt:i4>201</vt:i4>
      </vt:variant>
      <vt:variant>
        <vt:i4>0</vt:i4>
      </vt:variant>
      <vt:variant>
        <vt:i4>5</vt:i4>
      </vt:variant>
      <vt:variant>
        <vt:lpwstr>mailto:PDHPEcurriculum@det.nsw.edu.au</vt:lpwstr>
      </vt:variant>
      <vt:variant>
        <vt:lpwstr/>
      </vt:variant>
      <vt:variant>
        <vt:i4>3014694</vt:i4>
      </vt:variant>
      <vt:variant>
        <vt:i4>198</vt:i4>
      </vt:variant>
      <vt:variant>
        <vt:i4>0</vt:i4>
      </vt:variant>
      <vt:variant>
        <vt:i4>5</vt:i4>
      </vt:variant>
      <vt:variant>
        <vt:lpwstr>https://humanrights.gov.au/our-work/age-discrimination/projects/positive-ageing</vt:lpwstr>
      </vt:variant>
      <vt:variant>
        <vt:lpwstr/>
      </vt:variant>
      <vt:variant>
        <vt:i4>4063266</vt:i4>
      </vt:variant>
      <vt:variant>
        <vt:i4>195</vt:i4>
      </vt:variant>
      <vt:variant>
        <vt:i4>0</vt:i4>
      </vt:variant>
      <vt:variant>
        <vt:i4>5</vt:i4>
      </vt:variant>
      <vt:variant>
        <vt:lpwstr>https://swsphn.com.au/primary-care-resources/live-well-healthy-ageing-program/</vt:lpwstr>
      </vt:variant>
      <vt:variant>
        <vt:lpwstr/>
      </vt:variant>
      <vt:variant>
        <vt:i4>2687076</vt:i4>
      </vt:variant>
      <vt:variant>
        <vt:i4>192</vt:i4>
      </vt:variant>
      <vt:variant>
        <vt:i4>0</vt:i4>
      </vt:variant>
      <vt:variant>
        <vt:i4>5</vt:i4>
      </vt:variant>
      <vt:variant>
        <vt:lpwstr>https://www.melvillecity.com.au/our-community/age-friendly-melville</vt:lpwstr>
      </vt:variant>
      <vt:variant>
        <vt:lpwstr/>
      </vt:variant>
      <vt:variant>
        <vt:i4>720896</vt:i4>
      </vt:variant>
      <vt:variant>
        <vt:i4>189</vt:i4>
      </vt:variant>
      <vt:variant>
        <vt:i4>0</vt:i4>
      </vt:variant>
      <vt:variant>
        <vt:i4>5</vt:i4>
      </vt:variant>
      <vt:variant>
        <vt:lpwstr>https://www.activeandhealthy.nsw.gov.au/</vt:lpwstr>
      </vt:variant>
      <vt:variant>
        <vt:lpwstr/>
      </vt:variant>
      <vt:variant>
        <vt:i4>5308494</vt:i4>
      </vt:variant>
      <vt:variant>
        <vt:i4>186</vt:i4>
      </vt:variant>
      <vt:variant>
        <vt:i4>0</vt:i4>
      </vt:variant>
      <vt:variant>
        <vt:i4>5</vt:i4>
      </vt:variant>
      <vt:variant>
        <vt:lpwstr>https://activeageing.org.au/</vt:lpwstr>
      </vt:variant>
      <vt:variant>
        <vt:lpwstr/>
      </vt:variant>
      <vt:variant>
        <vt:i4>7864355</vt:i4>
      </vt:variant>
      <vt:variant>
        <vt:i4>183</vt:i4>
      </vt:variant>
      <vt:variant>
        <vt:i4>0</vt:i4>
      </vt:variant>
      <vt:variant>
        <vt:i4>5</vt:i4>
      </vt:variant>
      <vt:variant>
        <vt:lpwstr>https://www.uniting.org/services/senior-health-hub</vt:lpwstr>
      </vt:variant>
      <vt:variant>
        <vt:lpwstr/>
      </vt:variant>
      <vt:variant>
        <vt:i4>7471144</vt:i4>
      </vt:variant>
      <vt:variant>
        <vt:i4>180</vt:i4>
      </vt:variant>
      <vt:variant>
        <vt:i4>0</vt:i4>
      </vt:variant>
      <vt:variant>
        <vt:i4>5</vt:i4>
      </vt:variant>
      <vt:variant>
        <vt:lpwstr>https://www.liveup.org.au/</vt:lpwstr>
      </vt:variant>
      <vt:variant>
        <vt:lpwstr/>
      </vt:variant>
      <vt:variant>
        <vt:i4>8323133</vt:i4>
      </vt:variant>
      <vt:variant>
        <vt:i4>177</vt:i4>
      </vt:variant>
      <vt:variant>
        <vt:i4>0</vt:i4>
      </vt:variant>
      <vt:variant>
        <vt:i4>5</vt:i4>
      </vt:variant>
      <vt:variant>
        <vt:lpwstr>https://www.eatforhealth.gov.au/eating-well/healthy-eating-throughout-all-life/healthy-eating-when-you're-older</vt:lpwstr>
      </vt:variant>
      <vt:variant>
        <vt:lpwstr/>
      </vt:variant>
      <vt:variant>
        <vt:i4>1245195</vt:i4>
      </vt:variant>
      <vt:variant>
        <vt:i4>174</vt:i4>
      </vt:variant>
      <vt:variant>
        <vt:i4>0</vt:i4>
      </vt:variant>
      <vt:variant>
        <vt:i4>5</vt:i4>
      </vt:variant>
      <vt:variant>
        <vt:lpwstr>https://www.health.gov.au/resources/publications/chsp-manual</vt:lpwstr>
      </vt:variant>
      <vt:variant>
        <vt:lpwstr/>
      </vt:variant>
      <vt:variant>
        <vt:i4>1572874</vt:i4>
      </vt:variant>
      <vt:variant>
        <vt:i4>171</vt:i4>
      </vt:variant>
      <vt:variant>
        <vt:i4>0</vt:i4>
      </vt:variant>
      <vt:variant>
        <vt:i4>5</vt:i4>
      </vt:variant>
      <vt:variant>
        <vt:lpwstr>https://www.health.gov.au/topics/physical-activity-and-exercise/physical-activity-and-exercise-guidelines-for-all-australians/for-older-australians-65-years-and-over</vt:lpwstr>
      </vt:variant>
      <vt:variant>
        <vt:lpwstr/>
      </vt:variant>
      <vt:variant>
        <vt:i4>3473466</vt:i4>
      </vt:variant>
      <vt:variant>
        <vt:i4>168</vt:i4>
      </vt:variant>
      <vt:variant>
        <vt:i4>0</vt:i4>
      </vt:variant>
      <vt:variant>
        <vt:i4>5</vt:i4>
      </vt:variant>
      <vt:variant>
        <vt:lpwstr>https://www.health.gov.au/resources/publications/choose-health-be-active-a-physical-guide-for-older-australians</vt:lpwstr>
      </vt:variant>
      <vt:variant>
        <vt:lpwstr/>
      </vt:variant>
      <vt:variant>
        <vt:i4>4587535</vt:i4>
      </vt:variant>
      <vt:variant>
        <vt:i4>165</vt:i4>
      </vt:variant>
      <vt:variant>
        <vt:i4>0</vt:i4>
      </vt:variant>
      <vt:variant>
        <vt:i4>5</vt:i4>
      </vt:variant>
      <vt:variant>
        <vt:lpwstr>https://www.health.gov.au/topics/positive-ageing</vt:lpwstr>
      </vt:variant>
      <vt:variant>
        <vt:lpwstr/>
      </vt:variant>
      <vt:variant>
        <vt:i4>196634</vt:i4>
      </vt:variant>
      <vt:variant>
        <vt:i4>162</vt:i4>
      </vt:variant>
      <vt:variant>
        <vt:i4>0</vt:i4>
      </vt:variant>
      <vt:variant>
        <vt:i4>5</vt:i4>
      </vt:variant>
      <vt:variant>
        <vt:lpwstr>https://sdgs.un.org/goals</vt:lpwstr>
      </vt:variant>
      <vt:variant>
        <vt:lpwstr/>
      </vt:variant>
      <vt:variant>
        <vt:i4>1507364</vt:i4>
      </vt:variant>
      <vt:variant>
        <vt:i4>159</vt:i4>
      </vt:variant>
      <vt:variant>
        <vt:i4>0</vt:i4>
      </vt:variant>
      <vt:variant>
        <vt:i4>5</vt:i4>
      </vt:variant>
      <vt:variant>
        <vt:lpwstr>https://www.youtube.com/watch?v=5_hLuEui6ww</vt:lpwstr>
      </vt:variant>
      <vt:variant>
        <vt:lpwstr/>
      </vt:variant>
      <vt:variant>
        <vt:i4>2228334</vt:i4>
      </vt:variant>
      <vt:variant>
        <vt:i4>156</vt:i4>
      </vt:variant>
      <vt:variant>
        <vt:i4>0</vt:i4>
      </vt:variant>
      <vt:variant>
        <vt:i4>5</vt:i4>
      </vt:variant>
      <vt:variant>
        <vt:lpwstr>https://app.education.nsw.gov.au/digital-learning-selector/LearningActivity/Card/645?clearCache=99efbd3e-4a96-809d-f51b-207a73387e0%22</vt:lpwstr>
      </vt:variant>
      <vt:variant>
        <vt:lpwstr/>
      </vt:variant>
      <vt:variant>
        <vt:i4>4063330</vt:i4>
      </vt:variant>
      <vt:variant>
        <vt:i4>153</vt:i4>
      </vt:variant>
      <vt:variant>
        <vt:i4>0</vt:i4>
      </vt:variant>
      <vt:variant>
        <vt:i4>5</vt:i4>
      </vt:variant>
      <vt:variant>
        <vt:lpwstr>https://www.who.int/news-room/fact-sheets/detail/ageing-and-health</vt:lpwstr>
      </vt:variant>
      <vt:variant>
        <vt:lpwstr/>
      </vt:variant>
      <vt:variant>
        <vt:i4>1572874</vt:i4>
      </vt:variant>
      <vt:variant>
        <vt:i4>150</vt:i4>
      </vt:variant>
      <vt:variant>
        <vt:i4>0</vt:i4>
      </vt:variant>
      <vt:variant>
        <vt:i4>5</vt:i4>
      </vt:variant>
      <vt:variant>
        <vt:lpwstr>https://www.health.gov.au/topics/physical-activity-and-exercise/physical-activity-and-exercise-guidelines-for-all-australians/for-older-australians-65-years-and-over</vt:lpwstr>
      </vt:variant>
      <vt:variant>
        <vt:lpwstr/>
      </vt:variant>
      <vt:variant>
        <vt:i4>7274623</vt:i4>
      </vt:variant>
      <vt:variant>
        <vt:i4>147</vt:i4>
      </vt:variant>
      <vt:variant>
        <vt:i4>0</vt:i4>
      </vt:variant>
      <vt:variant>
        <vt:i4>5</vt:i4>
      </vt:variant>
      <vt:variant>
        <vt:lpwstr>https://humanrights.gov.au/our-work/education/face-facts-older-australians</vt:lpwstr>
      </vt:variant>
      <vt:variant>
        <vt:lpwstr/>
      </vt:variant>
      <vt:variant>
        <vt:i4>131162</vt:i4>
      </vt:variant>
      <vt:variant>
        <vt:i4>144</vt:i4>
      </vt:variant>
      <vt:variant>
        <vt:i4>0</vt:i4>
      </vt:variant>
      <vt:variant>
        <vt:i4>5</vt:i4>
      </vt:variant>
      <vt:variant>
        <vt:lpwstr>https://www.aihw.gov.au/reports/older-people/older-australians/contents/health/health-status-and-functioning</vt:lpwstr>
      </vt:variant>
      <vt:variant>
        <vt:lpwstr/>
      </vt:variant>
      <vt:variant>
        <vt:i4>1376359</vt:i4>
      </vt:variant>
      <vt:variant>
        <vt:i4>141</vt:i4>
      </vt:variant>
      <vt:variant>
        <vt:i4>0</vt:i4>
      </vt:variant>
      <vt:variant>
        <vt:i4>5</vt:i4>
      </vt:variant>
      <vt:variant>
        <vt:lpwstr>https://app.education.nsw.gov.au/digital-learning-selector/LearningActivity/Browser?cache_id=22bc4</vt:lpwstr>
      </vt:variant>
      <vt:variant>
        <vt:lpwstr/>
      </vt:variant>
      <vt:variant>
        <vt:i4>4587535</vt:i4>
      </vt:variant>
      <vt:variant>
        <vt:i4>138</vt:i4>
      </vt:variant>
      <vt:variant>
        <vt:i4>0</vt:i4>
      </vt:variant>
      <vt:variant>
        <vt:i4>5</vt:i4>
      </vt:variant>
      <vt:variant>
        <vt:lpwstr>https://www.health.gov.au/topics/positive-ageing</vt:lpwstr>
      </vt:variant>
      <vt:variant>
        <vt:lpwstr/>
      </vt:variant>
      <vt:variant>
        <vt:i4>3407992</vt:i4>
      </vt:variant>
      <vt:variant>
        <vt:i4>135</vt:i4>
      </vt:variant>
      <vt:variant>
        <vt:i4>0</vt:i4>
      </vt:variant>
      <vt:variant>
        <vt:i4>5</vt:i4>
      </vt:variant>
      <vt:variant>
        <vt:lpwstr>https://www.youtube.com/watch?v=mQ0RVmY3e6U</vt:lpwstr>
      </vt:variant>
      <vt:variant>
        <vt:lpwstr/>
      </vt:variant>
      <vt:variant>
        <vt:i4>5701703</vt:i4>
      </vt:variant>
      <vt:variant>
        <vt:i4>132</vt:i4>
      </vt:variant>
      <vt:variant>
        <vt:i4>0</vt:i4>
      </vt:variant>
      <vt:variant>
        <vt:i4>5</vt:i4>
      </vt:variant>
      <vt:variant>
        <vt:lpwstr>https://www.activeandhealthy.nsw.gov.au/be-inspired/</vt:lpwstr>
      </vt:variant>
      <vt:variant>
        <vt:lpwstr/>
      </vt:variant>
      <vt:variant>
        <vt:i4>6946930</vt:i4>
      </vt:variant>
      <vt:variant>
        <vt:i4>129</vt:i4>
      </vt:variant>
      <vt:variant>
        <vt:i4>0</vt:i4>
      </vt:variant>
      <vt:variant>
        <vt:i4>5</vt:i4>
      </vt:variant>
      <vt:variant>
        <vt:lpwstr>https://www.youtube.com/watch?v=aQ3xopTXT4Q</vt:lpwstr>
      </vt:variant>
      <vt:variant>
        <vt:lpwstr/>
      </vt:variant>
      <vt:variant>
        <vt:i4>8126586</vt:i4>
      </vt:variant>
      <vt:variant>
        <vt:i4>126</vt:i4>
      </vt:variant>
      <vt:variant>
        <vt:i4>0</vt:i4>
      </vt:variant>
      <vt:variant>
        <vt:i4>5</vt:i4>
      </vt:variant>
      <vt:variant>
        <vt:lpwstr>https://www.youtube.com/watch?v=Bi-yEtZ6eqA</vt:lpwstr>
      </vt:variant>
      <vt:variant>
        <vt:lpwstr/>
      </vt:variant>
      <vt:variant>
        <vt:i4>2883711</vt:i4>
      </vt:variant>
      <vt:variant>
        <vt:i4>123</vt:i4>
      </vt:variant>
      <vt:variant>
        <vt:i4>0</vt:i4>
      </vt:variant>
      <vt:variant>
        <vt:i4>5</vt:i4>
      </vt:variant>
      <vt:variant>
        <vt:lpwstr>https://www.youtube.com/watch?v=ywjP4PDssWk</vt:lpwstr>
      </vt:variant>
      <vt:variant>
        <vt:lpwstr/>
      </vt:variant>
      <vt:variant>
        <vt:i4>7864436</vt:i4>
      </vt:variant>
      <vt:variant>
        <vt:i4>120</vt:i4>
      </vt:variant>
      <vt:variant>
        <vt:i4>0</vt:i4>
      </vt:variant>
      <vt:variant>
        <vt:i4>5</vt:i4>
      </vt:variant>
      <vt:variant>
        <vt:lpwstr>https://app.education.nsw.gov.au/digital-learning-selector/LearningActivity/Browser?clearCache=915071ba-6820-7f3c-c329-757f2d75900a</vt:lpwstr>
      </vt:variant>
      <vt:variant>
        <vt:lpwstr/>
      </vt:variant>
      <vt:variant>
        <vt:i4>2228349</vt:i4>
      </vt:variant>
      <vt:variant>
        <vt:i4>117</vt:i4>
      </vt:variant>
      <vt:variant>
        <vt:i4>0</vt:i4>
      </vt:variant>
      <vt:variant>
        <vt:i4>5</vt:i4>
      </vt:variant>
      <vt:variant>
        <vt:lpwstr>https://curriculum.nsw.edu.au/learning-areas/pdhpe/health-and-movement-science-11-12-2023/overview</vt:lpwstr>
      </vt:variant>
      <vt:variant>
        <vt:lpwstr/>
      </vt:variant>
      <vt:variant>
        <vt:i4>1114175</vt:i4>
      </vt:variant>
      <vt:variant>
        <vt:i4>110</vt:i4>
      </vt:variant>
      <vt:variant>
        <vt:i4>0</vt:i4>
      </vt:variant>
      <vt:variant>
        <vt:i4>5</vt:i4>
      </vt:variant>
      <vt:variant>
        <vt:lpwstr/>
      </vt:variant>
      <vt:variant>
        <vt:lpwstr>_Toc173142920</vt:lpwstr>
      </vt:variant>
      <vt:variant>
        <vt:i4>1179711</vt:i4>
      </vt:variant>
      <vt:variant>
        <vt:i4>104</vt:i4>
      </vt:variant>
      <vt:variant>
        <vt:i4>0</vt:i4>
      </vt:variant>
      <vt:variant>
        <vt:i4>5</vt:i4>
      </vt:variant>
      <vt:variant>
        <vt:lpwstr/>
      </vt:variant>
      <vt:variant>
        <vt:lpwstr>_Toc173142919</vt:lpwstr>
      </vt:variant>
      <vt:variant>
        <vt:i4>1179711</vt:i4>
      </vt:variant>
      <vt:variant>
        <vt:i4>98</vt:i4>
      </vt:variant>
      <vt:variant>
        <vt:i4>0</vt:i4>
      </vt:variant>
      <vt:variant>
        <vt:i4>5</vt:i4>
      </vt:variant>
      <vt:variant>
        <vt:lpwstr/>
      </vt:variant>
      <vt:variant>
        <vt:lpwstr>_Toc173142918</vt:lpwstr>
      </vt:variant>
      <vt:variant>
        <vt:i4>1179711</vt:i4>
      </vt:variant>
      <vt:variant>
        <vt:i4>92</vt:i4>
      </vt:variant>
      <vt:variant>
        <vt:i4>0</vt:i4>
      </vt:variant>
      <vt:variant>
        <vt:i4>5</vt:i4>
      </vt:variant>
      <vt:variant>
        <vt:lpwstr/>
      </vt:variant>
      <vt:variant>
        <vt:lpwstr>_Toc173142917</vt:lpwstr>
      </vt:variant>
      <vt:variant>
        <vt:i4>1179711</vt:i4>
      </vt:variant>
      <vt:variant>
        <vt:i4>86</vt:i4>
      </vt:variant>
      <vt:variant>
        <vt:i4>0</vt:i4>
      </vt:variant>
      <vt:variant>
        <vt:i4>5</vt:i4>
      </vt:variant>
      <vt:variant>
        <vt:lpwstr/>
      </vt:variant>
      <vt:variant>
        <vt:lpwstr>_Toc173142916</vt:lpwstr>
      </vt:variant>
      <vt:variant>
        <vt:i4>1179711</vt:i4>
      </vt:variant>
      <vt:variant>
        <vt:i4>80</vt:i4>
      </vt:variant>
      <vt:variant>
        <vt:i4>0</vt:i4>
      </vt:variant>
      <vt:variant>
        <vt:i4>5</vt:i4>
      </vt:variant>
      <vt:variant>
        <vt:lpwstr/>
      </vt:variant>
      <vt:variant>
        <vt:lpwstr>_Toc173142915</vt:lpwstr>
      </vt:variant>
      <vt:variant>
        <vt:i4>1179711</vt:i4>
      </vt:variant>
      <vt:variant>
        <vt:i4>74</vt:i4>
      </vt:variant>
      <vt:variant>
        <vt:i4>0</vt:i4>
      </vt:variant>
      <vt:variant>
        <vt:i4>5</vt:i4>
      </vt:variant>
      <vt:variant>
        <vt:lpwstr/>
      </vt:variant>
      <vt:variant>
        <vt:lpwstr>_Toc173142914</vt:lpwstr>
      </vt:variant>
      <vt:variant>
        <vt:i4>1179711</vt:i4>
      </vt:variant>
      <vt:variant>
        <vt:i4>68</vt:i4>
      </vt:variant>
      <vt:variant>
        <vt:i4>0</vt:i4>
      </vt:variant>
      <vt:variant>
        <vt:i4>5</vt:i4>
      </vt:variant>
      <vt:variant>
        <vt:lpwstr/>
      </vt:variant>
      <vt:variant>
        <vt:lpwstr>_Toc173142913</vt:lpwstr>
      </vt:variant>
      <vt:variant>
        <vt:i4>1179711</vt:i4>
      </vt:variant>
      <vt:variant>
        <vt:i4>62</vt:i4>
      </vt:variant>
      <vt:variant>
        <vt:i4>0</vt:i4>
      </vt:variant>
      <vt:variant>
        <vt:i4>5</vt:i4>
      </vt:variant>
      <vt:variant>
        <vt:lpwstr/>
      </vt:variant>
      <vt:variant>
        <vt:lpwstr>_Toc173142912</vt:lpwstr>
      </vt:variant>
      <vt:variant>
        <vt:i4>1179711</vt:i4>
      </vt:variant>
      <vt:variant>
        <vt:i4>56</vt:i4>
      </vt:variant>
      <vt:variant>
        <vt:i4>0</vt:i4>
      </vt:variant>
      <vt:variant>
        <vt:i4>5</vt:i4>
      </vt:variant>
      <vt:variant>
        <vt:lpwstr/>
      </vt:variant>
      <vt:variant>
        <vt:lpwstr>_Toc173142911</vt:lpwstr>
      </vt:variant>
      <vt:variant>
        <vt:i4>1179711</vt:i4>
      </vt:variant>
      <vt:variant>
        <vt:i4>50</vt:i4>
      </vt:variant>
      <vt:variant>
        <vt:i4>0</vt:i4>
      </vt:variant>
      <vt:variant>
        <vt:i4>5</vt:i4>
      </vt:variant>
      <vt:variant>
        <vt:lpwstr/>
      </vt:variant>
      <vt:variant>
        <vt:lpwstr>_Toc173142910</vt:lpwstr>
      </vt:variant>
      <vt:variant>
        <vt:i4>1245247</vt:i4>
      </vt:variant>
      <vt:variant>
        <vt:i4>44</vt:i4>
      </vt:variant>
      <vt:variant>
        <vt:i4>0</vt:i4>
      </vt:variant>
      <vt:variant>
        <vt:i4>5</vt:i4>
      </vt:variant>
      <vt:variant>
        <vt:lpwstr/>
      </vt:variant>
      <vt:variant>
        <vt:lpwstr>_Toc173142909</vt:lpwstr>
      </vt:variant>
      <vt:variant>
        <vt:i4>1245247</vt:i4>
      </vt:variant>
      <vt:variant>
        <vt:i4>38</vt:i4>
      </vt:variant>
      <vt:variant>
        <vt:i4>0</vt:i4>
      </vt:variant>
      <vt:variant>
        <vt:i4>5</vt:i4>
      </vt:variant>
      <vt:variant>
        <vt:lpwstr/>
      </vt:variant>
      <vt:variant>
        <vt:lpwstr>_Toc173142908</vt:lpwstr>
      </vt:variant>
      <vt:variant>
        <vt:i4>1245247</vt:i4>
      </vt:variant>
      <vt:variant>
        <vt:i4>32</vt:i4>
      </vt:variant>
      <vt:variant>
        <vt:i4>0</vt:i4>
      </vt:variant>
      <vt:variant>
        <vt:i4>5</vt:i4>
      </vt:variant>
      <vt:variant>
        <vt:lpwstr/>
      </vt:variant>
      <vt:variant>
        <vt:lpwstr>_Toc173142907</vt:lpwstr>
      </vt:variant>
      <vt:variant>
        <vt:i4>1245247</vt:i4>
      </vt:variant>
      <vt:variant>
        <vt:i4>26</vt:i4>
      </vt:variant>
      <vt:variant>
        <vt:i4>0</vt:i4>
      </vt:variant>
      <vt:variant>
        <vt:i4>5</vt:i4>
      </vt:variant>
      <vt:variant>
        <vt:lpwstr/>
      </vt:variant>
      <vt:variant>
        <vt:lpwstr>_Toc173142906</vt:lpwstr>
      </vt:variant>
      <vt:variant>
        <vt:i4>1245247</vt:i4>
      </vt:variant>
      <vt:variant>
        <vt:i4>20</vt:i4>
      </vt:variant>
      <vt:variant>
        <vt:i4>0</vt:i4>
      </vt:variant>
      <vt:variant>
        <vt:i4>5</vt:i4>
      </vt:variant>
      <vt:variant>
        <vt:lpwstr/>
      </vt:variant>
      <vt:variant>
        <vt:lpwstr>_Toc173142905</vt:lpwstr>
      </vt:variant>
      <vt:variant>
        <vt:i4>1245247</vt:i4>
      </vt:variant>
      <vt:variant>
        <vt:i4>14</vt:i4>
      </vt:variant>
      <vt:variant>
        <vt:i4>0</vt:i4>
      </vt:variant>
      <vt:variant>
        <vt:i4>5</vt:i4>
      </vt:variant>
      <vt:variant>
        <vt:lpwstr/>
      </vt:variant>
      <vt:variant>
        <vt:lpwstr>_Toc173142904</vt:lpwstr>
      </vt:variant>
      <vt:variant>
        <vt:i4>1245247</vt:i4>
      </vt:variant>
      <vt:variant>
        <vt:i4>8</vt:i4>
      </vt:variant>
      <vt:variant>
        <vt:i4>0</vt:i4>
      </vt:variant>
      <vt:variant>
        <vt:i4>5</vt:i4>
      </vt:variant>
      <vt:variant>
        <vt:lpwstr/>
      </vt:variant>
      <vt:variant>
        <vt:lpwstr>_Toc173142903</vt:lpwstr>
      </vt:variant>
      <vt:variant>
        <vt:i4>1245247</vt:i4>
      </vt:variant>
      <vt:variant>
        <vt:i4>2</vt:i4>
      </vt:variant>
      <vt:variant>
        <vt:i4>0</vt:i4>
      </vt:variant>
      <vt:variant>
        <vt:i4>5</vt:i4>
      </vt:variant>
      <vt:variant>
        <vt:lpwstr/>
      </vt:variant>
      <vt:variant>
        <vt:lpwstr>_Toc173142902</vt:lpwstr>
      </vt:variant>
      <vt:variant>
        <vt:i4>6946857</vt:i4>
      </vt:variant>
      <vt:variant>
        <vt:i4>0</vt:i4>
      </vt:variant>
      <vt:variant>
        <vt:i4>0</vt:i4>
      </vt:variant>
      <vt:variant>
        <vt:i4>5</vt:i4>
      </vt:variant>
      <vt:variant>
        <vt:lpwstr>https://www.health.gov.au/resources/videos/2024-senior-australian-of-the-year-recipients-positive-ageing-3-minute-video?language=en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learning program – healthy ageing – HMS Year 12</dc:title>
  <dc:subject/>
  <dc:creator>NSW Department of Education</dc:creator>
  <cp:keywords/>
  <dc:description/>
  <cp:lastPrinted>2024-07-26T14:08:00Z</cp:lastPrinted>
  <dcterms:created xsi:type="dcterms:W3CDTF">2023-10-28T12:15:00Z</dcterms:created>
  <dcterms:modified xsi:type="dcterms:W3CDTF">2024-08-13T01:12:00Z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Order">
    <vt:r8>42800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2023-08-14T11:14:35Z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c264e4c0-bcfc-499b-9176-dc04f63eaef5</vt:lpwstr>
  </property>
  <property fmtid="{D5CDD505-2E9C-101B-9397-08002B2CF9AE}" pid="17" name="MSIP_Label_b603dfd7-d93a-4381-a340-2995d8282205_ContentBits">
    <vt:lpwstr>0</vt:lpwstr>
  </property>
</Properties>
</file>