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92A0A" w14:textId="2BDF1E31" w:rsidR="00B53FCE" w:rsidRDefault="001D28B7" w:rsidP="00684CDB">
      <w:pPr>
        <w:pStyle w:val="Title"/>
      </w:pPr>
      <w:bookmarkStart w:id="0" w:name="_Hlk207870964"/>
      <w:bookmarkStart w:id="1" w:name="_Hlk207962194"/>
      <w:r>
        <w:t>Child Studies (</w:t>
      </w:r>
      <w:r w:rsidR="00093C7E">
        <w:t>Years 7</w:t>
      </w:r>
      <w:r w:rsidR="00B2174D">
        <w:t>–</w:t>
      </w:r>
      <w:r w:rsidR="00093C7E">
        <w:t>10</w:t>
      </w:r>
      <w:r>
        <w:t xml:space="preserve">) </w:t>
      </w:r>
      <w:bookmarkEnd w:id="0"/>
      <w:bookmarkEnd w:id="1"/>
      <w:r w:rsidR="00367F27">
        <w:t xml:space="preserve">– </w:t>
      </w:r>
      <w:r w:rsidR="00ED0929">
        <w:t>s</w:t>
      </w:r>
      <w:r w:rsidR="00962DCD" w:rsidRPr="00962DCD">
        <w:t>ample scope and sequence</w:t>
      </w:r>
    </w:p>
    <w:p w14:paraId="496A3C5D" w14:textId="2996117F" w:rsidR="00BC2871" w:rsidRPr="00E1389A" w:rsidRDefault="005F2729" w:rsidP="00603A3A">
      <w:pPr>
        <w:pStyle w:val="Subtitle0"/>
      </w:pPr>
      <w:r>
        <w:t>1</w:t>
      </w:r>
      <w:r w:rsidR="001D28B7">
        <w:t>00</w:t>
      </w:r>
      <w:r w:rsidR="00B2174D">
        <w:t>-</w:t>
      </w:r>
      <w:r w:rsidR="001D28B7">
        <w:t xml:space="preserve">hour </w:t>
      </w:r>
      <w:r w:rsidR="00605D76">
        <w:t xml:space="preserve">– </w:t>
      </w:r>
      <w:r w:rsidR="00153C05">
        <w:t>option A</w:t>
      </w:r>
      <w:r w:rsidR="00BC2871">
        <w:br w:type="page"/>
      </w:r>
    </w:p>
    <w:sdt>
      <w:sdtPr>
        <w:rPr>
          <w:rFonts w:eastAsiaTheme="minorHAnsi"/>
          <w:b/>
          <w:bCs w:val="0"/>
          <w:color w:val="auto"/>
          <w:sz w:val="24"/>
          <w:szCs w:val="24"/>
        </w:rPr>
        <w:id w:val="-666639042"/>
        <w:docPartObj>
          <w:docPartGallery w:val="Table of Contents"/>
          <w:docPartUnique/>
        </w:docPartObj>
      </w:sdtPr>
      <w:sdtEndPr>
        <w:rPr>
          <w:b w:val="0"/>
          <w:noProof/>
          <w:sz w:val="22"/>
        </w:rPr>
      </w:sdtEndPr>
      <w:sdtContent>
        <w:p w14:paraId="7F2489F9" w14:textId="431DDFDE" w:rsidR="00953037" w:rsidRDefault="00953037" w:rsidP="00603A3A">
          <w:pPr>
            <w:pStyle w:val="TOCHeading"/>
          </w:pPr>
          <w:r>
            <w:t>Contents</w:t>
          </w:r>
        </w:p>
        <w:p w14:paraId="014CC6C4" w14:textId="4DE28F24" w:rsidR="00BA387A" w:rsidRDefault="00603A3A">
          <w:pPr>
            <w:pStyle w:val="TOC1"/>
            <w:rPr>
              <w:rFonts w:asciiTheme="minorHAnsi" w:eastAsia="Batang"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09161629" w:history="1">
            <w:r w:rsidR="00BA387A" w:rsidRPr="00D05F40">
              <w:rPr>
                <w:rStyle w:val="Hyperlink"/>
              </w:rPr>
              <w:t>Rationale</w:t>
            </w:r>
            <w:r w:rsidR="00BA387A">
              <w:rPr>
                <w:webHidden/>
              </w:rPr>
              <w:tab/>
            </w:r>
            <w:r w:rsidR="00BA387A">
              <w:rPr>
                <w:webHidden/>
              </w:rPr>
              <w:fldChar w:fldCharType="begin"/>
            </w:r>
            <w:r w:rsidR="00BA387A">
              <w:rPr>
                <w:webHidden/>
              </w:rPr>
              <w:instrText xml:space="preserve"> PAGEREF _Toc209161629 \h </w:instrText>
            </w:r>
            <w:r w:rsidR="00BA387A">
              <w:rPr>
                <w:webHidden/>
              </w:rPr>
            </w:r>
            <w:r w:rsidR="00BA387A">
              <w:rPr>
                <w:webHidden/>
              </w:rPr>
              <w:fldChar w:fldCharType="separate"/>
            </w:r>
            <w:r w:rsidR="00BA387A">
              <w:rPr>
                <w:webHidden/>
              </w:rPr>
              <w:t>2</w:t>
            </w:r>
            <w:r w:rsidR="00BA387A">
              <w:rPr>
                <w:webHidden/>
              </w:rPr>
              <w:fldChar w:fldCharType="end"/>
            </w:r>
          </w:hyperlink>
        </w:p>
        <w:p w14:paraId="7971F8CF" w14:textId="40630296" w:rsidR="00BA387A" w:rsidRDefault="00BA387A">
          <w:pPr>
            <w:pStyle w:val="TOC1"/>
            <w:rPr>
              <w:rFonts w:asciiTheme="minorHAnsi" w:eastAsia="Batang" w:hAnsiTheme="minorHAnsi" w:cstheme="minorBidi"/>
              <w:b w:val="0"/>
              <w:kern w:val="2"/>
              <w:sz w:val="24"/>
              <w:lang w:eastAsia="ja-JP"/>
              <w14:ligatures w14:val="standardContextual"/>
            </w:rPr>
          </w:pPr>
          <w:hyperlink w:anchor="_Toc209161630" w:history="1">
            <w:r w:rsidRPr="00D05F40">
              <w:rPr>
                <w:rStyle w:val="Hyperlink"/>
              </w:rPr>
              <w:t>Child Studies (Years 7–10) – 100-hour annual overview</w:t>
            </w:r>
            <w:r>
              <w:rPr>
                <w:webHidden/>
              </w:rPr>
              <w:tab/>
            </w:r>
            <w:r>
              <w:rPr>
                <w:webHidden/>
              </w:rPr>
              <w:fldChar w:fldCharType="begin"/>
            </w:r>
            <w:r>
              <w:rPr>
                <w:webHidden/>
              </w:rPr>
              <w:instrText xml:space="preserve"> PAGEREF _Toc209161630 \h </w:instrText>
            </w:r>
            <w:r>
              <w:rPr>
                <w:webHidden/>
              </w:rPr>
            </w:r>
            <w:r>
              <w:rPr>
                <w:webHidden/>
              </w:rPr>
              <w:fldChar w:fldCharType="separate"/>
            </w:r>
            <w:r>
              <w:rPr>
                <w:webHidden/>
              </w:rPr>
              <w:t>3</w:t>
            </w:r>
            <w:r>
              <w:rPr>
                <w:webHidden/>
              </w:rPr>
              <w:fldChar w:fldCharType="end"/>
            </w:r>
          </w:hyperlink>
        </w:p>
        <w:p w14:paraId="24631277" w14:textId="5BF66985" w:rsidR="00BA387A" w:rsidRDefault="00BA387A">
          <w:pPr>
            <w:pStyle w:val="TOC1"/>
            <w:rPr>
              <w:rFonts w:asciiTheme="minorHAnsi" w:eastAsia="Batang" w:hAnsiTheme="minorHAnsi" w:cstheme="minorBidi"/>
              <w:b w:val="0"/>
              <w:kern w:val="2"/>
              <w:sz w:val="24"/>
              <w:lang w:eastAsia="ja-JP"/>
              <w14:ligatures w14:val="standardContextual"/>
            </w:rPr>
          </w:pPr>
          <w:hyperlink w:anchor="_Toc209161631" w:history="1">
            <w:r w:rsidRPr="00D05F40">
              <w:rPr>
                <w:rStyle w:val="Hyperlink"/>
              </w:rPr>
              <w:t>Child Studies (Years 7–10) – 100-hour scope and sequence – option A</w:t>
            </w:r>
            <w:r>
              <w:rPr>
                <w:webHidden/>
              </w:rPr>
              <w:tab/>
            </w:r>
            <w:r>
              <w:rPr>
                <w:webHidden/>
              </w:rPr>
              <w:fldChar w:fldCharType="begin"/>
            </w:r>
            <w:r>
              <w:rPr>
                <w:webHidden/>
              </w:rPr>
              <w:instrText xml:space="preserve"> PAGEREF _Toc209161631 \h </w:instrText>
            </w:r>
            <w:r>
              <w:rPr>
                <w:webHidden/>
              </w:rPr>
            </w:r>
            <w:r>
              <w:rPr>
                <w:webHidden/>
              </w:rPr>
              <w:fldChar w:fldCharType="separate"/>
            </w:r>
            <w:r>
              <w:rPr>
                <w:webHidden/>
              </w:rPr>
              <w:t>4</w:t>
            </w:r>
            <w:r>
              <w:rPr>
                <w:webHidden/>
              </w:rPr>
              <w:fldChar w:fldCharType="end"/>
            </w:r>
          </w:hyperlink>
        </w:p>
        <w:p w14:paraId="07C82897" w14:textId="4DBF65A3" w:rsidR="00BA387A" w:rsidRDefault="00BA387A">
          <w:pPr>
            <w:pStyle w:val="TOC2"/>
            <w:rPr>
              <w:rFonts w:asciiTheme="minorHAnsi" w:eastAsia="Batang" w:hAnsiTheme="minorHAnsi" w:cstheme="minorBidi"/>
              <w:kern w:val="2"/>
              <w:sz w:val="24"/>
              <w:lang w:eastAsia="ja-JP"/>
              <w14:ligatures w14:val="standardContextual"/>
            </w:rPr>
          </w:pPr>
          <w:hyperlink w:anchor="_Toc209161632" w:history="1">
            <w:r w:rsidRPr="00D05F40">
              <w:rPr>
                <w:rStyle w:val="Hyperlink"/>
              </w:rPr>
              <w:t>Option A – nurturing healthy children worldwide</w:t>
            </w:r>
            <w:r>
              <w:rPr>
                <w:webHidden/>
              </w:rPr>
              <w:tab/>
            </w:r>
            <w:r>
              <w:rPr>
                <w:webHidden/>
              </w:rPr>
              <w:fldChar w:fldCharType="begin"/>
            </w:r>
            <w:r>
              <w:rPr>
                <w:webHidden/>
              </w:rPr>
              <w:instrText xml:space="preserve"> PAGEREF _Toc209161632 \h </w:instrText>
            </w:r>
            <w:r>
              <w:rPr>
                <w:webHidden/>
              </w:rPr>
            </w:r>
            <w:r>
              <w:rPr>
                <w:webHidden/>
              </w:rPr>
              <w:fldChar w:fldCharType="separate"/>
            </w:r>
            <w:r>
              <w:rPr>
                <w:webHidden/>
              </w:rPr>
              <w:t>4</w:t>
            </w:r>
            <w:r>
              <w:rPr>
                <w:webHidden/>
              </w:rPr>
              <w:fldChar w:fldCharType="end"/>
            </w:r>
          </w:hyperlink>
        </w:p>
        <w:p w14:paraId="24C9D5AA" w14:textId="368D4525" w:rsidR="00BA387A" w:rsidRDefault="00BA387A">
          <w:pPr>
            <w:pStyle w:val="TOC1"/>
            <w:rPr>
              <w:rFonts w:asciiTheme="minorHAnsi" w:eastAsia="Batang" w:hAnsiTheme="minorHAnsi" w:cstheme="minorBidi"/>
              <w:b w:val="0"/>
              <w:kern w:val="2"/>
              <w:sz w:val="24"/>
              <w:lang w:eastAsia="ja-JP"/>
              <w14:ligatures w14:val="standardContextual"/>
            </w:rPr>
          </w:pPr>
          <w:hyperlink w:anchor="_Toc209161633" w:history="1">
            <w:r w:rsidRPr="00D05F40">
              <w:rPr>
                <w:rStyle w:val="Hyperlink"/>
              </w:rPr>
              <w:t>Support and alignment</w:t>
            </w:r>
            <w:r>
              <w:rPr>
                <w:webHidden/>
              </w:rPr>
              <w:tab/>
            </w:r>
            <w:r>
              <w:rPr>
                <w:webHidden/>
              </w:rPr>
              <w:fldChar w:fldCharType="begin"/>
            </w:r>
            <w:r>
              <w:rPr>
                <w:webHidden/>
              </w:rPr>
              <w:instrText xml:space="preserve"> PAGEREF _Toc209161633 \h </w:instrText>
            </w:r>
            <w:r>
              <w:rPr>
                <w:webHidden/>
              </w:rPr>
            </w:r>
            <w:r>
              <w:rPr>
                <w:webHidden/>
              </w:rPr>
              <w:fldChar w:fldCharType="separate"/>
            </w:r>
            <w:r>
              <w:rPr>
                <w:webHidden/>
              </w:rPr>
              <w:t>8</w:t>
            </w:r>
            <w:r>
              <w:rPr>
                <w:webHidden/>
              </w:rPr>
              <w:fldChar w:fldCharType="end"/>
            </w:r>
          </w:hyperlink>
        </w:p>
        <w:p w14:paraId="6E16A60F" w14:textId="441CC24F" w:rsidR="00BA387A" w:rsidRDefault="00BA387A">
          <w:pPr>
            <w:pStyle w:val="TOC1"/>
            <w:rPr>
              <w:rFonts w:asciiTheme="minorHAnsi" w:eastAsia="Batang" w:hAnsiTheme="minorHAnsi" w:cstheme="minorBidi"/>
              <w:b w:val="0"/>
              <w:kern w:val="2"/>
              <w:sz w:val="24"/>
              <w:lang w:eastAsia="ja-JP"/>
              <w14:ligatures w14:val="standardContextual"/>
            </w:rPr>
          </w:pPr>
          <w:hyperlink w:anchor="_Toc209161634" w:history="1">
            <w:r w:rsidRPr="00D05F40">
              <w:rPr>
                <w:rStyle w:val="Hyperlink"/>
              </w:rPr>
              <w:t>References</w:t>
            </w:r>
            <w:r>
              <w:rPr>
                <w:webHidden/>
              </w:rPr>
              <w:tab/>
            </w:r>
            <w:r>
              <w:rPr>
                <w:webHidden/>
              </w:rPr>
              <w:fldChar w:fldCharType="begin"/>
            </w:r>
            <w:r>
              <w:rPr>
                <w:webHidden/>
              </w:rPr>
              <w:instrText xml:space="preserve"> PAGEREF _Toc209161634 \h </w:instrText>
            </w:r>
            <w:r>
              <w:rPr>
                <w:webHidden/>
              </w:rPr>
            </w:r>
            <w:r>
              <w:rPr>
                <w:webHidden/>
              </w:rPr>
              <w:fldChar w:fldCharType="separate"/>
            </w:r>
            <w:r>
              <w:rPr>
                <w:webHidden/>
              </w:rPr>
              <w:t>9</w:t>
            </w:r>
            <w:r>
              <w:rPr>
                <w:webHidden/>
              </w:rPr>
              <w:fldChar w:fldCharType="end"/>
            </w:r>
          </w:hyperlink>
        </w:p>
        <w:p w14:paraId="52C102C9" w14:textId="75ED7C57" w:rsidR="00953037" w:rsidRDefault="00603A3A" w:rsidP="00247C1F">
          <w:pPr>
            <w:rPr>
              <w:b/>
              <w:bCs/>
              <w:noProof/>
            </w:rPr>
          </w:pPr>
          <w:r>
            <w:rPr>
              <w:b/>
              <w:noProof/>
            </w:rPr>
            <w:fldChar w:fldCharType="end"/>
          </w:r>
        </w:p>
      </w:sdtContent>
    </w:sdt>
    <w:p w14:paraId="22F9496E" w14:textId="4251AF5B" w:rsidR="00953037" w:rsidRDefault="00953037" w:rsidP="00247C1F">
      <w:r>
        <w:br w:type="page"/>
      </w:r>
    </w:p>
    <w:p w14:paraId="3E777773" w14:textId="7CBC1217" w:rsidR="00962DCD" w:rsidRDefault="00962DCD" w:rsidP="00603A3A">
      <w:pPr>
        <w:pStyle w:val="Heading1"/>
      </w:pPr>
      <w:bookmarkStart w:id="2" w:name="_Toc147483512"/>
      <w:bookmarkStart w:id="3" w:name="_Toc209161629"/>
      <w:r w:rsidRPr="00603A3A">
        <w:lastRenderedPageBreak/>
        <w:t>Rationale</w:t>
      </w:r>
      <w:bookmarkEnd w:id="2"/>
      <w:bookmarkEnd w:id="3"/>
    </w:p>
    <w:p w14:paraId="1BE8C93F" w14:textId="77777777" w:rsidR="004E5E9A" w:rsidRPr="00B25D14" w:rsidRDefault="004E5E9A" w:rsidP="004E5E9A">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t xml:space="preserve"> (NSW</w:t>
      </w:r>
      <w:r w:rsidRPr="00B25D14">
        <w:t>) and the NSW Education Standards Authority (NESA) syllabuses and credentialing requirements.</w:t>
      </w:r>
    </w:p>
    <w:p w14:paraId="4C7D2BFC" w14:textId="77777777" w:rsidR="004E5E9A" w:rsidRPr="00B25D14" w:rsidRDefault="004E5E9A" w:rsidP="004E5E9A">
      <w:r w:rsidRPr="00B25D14">
        <w:t>Scope and sequences form part of the ongoing documentation or evidence schools maintain to comply with the department’s policy, policy standards and registration requirements.</w:t>
      </w:r>
    </w:p>
    <w:p w14:paraId="790D41ED" w14:textId="77777777" w:rsidR="004E5E9A" w:rsidRPr="00B25D14" w:rsidRDefault="004E5E9A" w:rsidP="004E5E9A">
      <w:r w:rsidRPr="00B25D14">
        <w:t>Developing a robust scope and sequence has many benefits and may help teachers and schools to:</w:t>
      </w:r>
    </w:p>
    <w:p w14:paraId="0CA72A12" w14:textId="77777777" w:rsidR="004E5E9A" w:rsidRPr="007D5255" w:rsidRDefault="004E5E9A" w:rsidP="004E5E9A">
      <w:pPr>
        <w:pStyle w:val="ListBullet"/>
        <w:numPr>
          <w:ilvl w:val="0"/>
          <w:numId w:val="1"/>
        </w:numPr>
      </w:pPr>
      <w:r w:rsidRPr="007D5255">
        <w:t>promote high expectations for student learning</w:t>
      </w:r>
    </w:p>
    <w:p w14:paraId="0405A984" w14:textId="77777777" w:rsidR="004E5E9A" w:rsidRPr="007D5255" w:rsidRDefault="004E5E9A" w:rsidP="004E5E9A">
      <w:pPr>
        <w:pStyle w:val="ListBullet"/>
        <w:numPr>
          <w:ilvl w:val="0"/>
          <w:numId w:val="1"/>
        </w:numPr>
      </w:pPr>
      <w:r w:rsidRPr="007D5255">
        <w:t>identify opportunities for explicit teaching</w:t>
      </w:r>
    </w:p>
    <w:p w14:paraId="6844F089" w14:textId="77777777" w:rsidR="004E5E9A" w:rsidRPr="007D5255" w:rsidRDefault="004E5E9A" w:rsidP="004E5E9A">
      <w:pPr>
        <w:pStyle w:val="ListBullet"/>
        <w:numPr>
          <w:ilvl w:val="0"/>
          <w:numId w:val="1"/>
        </w:numPr>
      </w:pPr>
      <w:r w:rsidRPr="007D5255">
        <w:t>create opportunities for students to receive feedback on their learning</w:t>
      </w:r>
    </w:p>
    <w:p w14:paraId="37CCB1D4" w14:textId="77777777" w:rsidR="004E5E9A" w:rsidRPr="007D5255" w:rsidRDefault="004E5E9A" w:rsidP="004E5E9A">
      <w:pPr>
        <w:pStyle w:val="ListBullet"/>
        <w:numPr>
          <w:ilvl w:val="0"/>
          <w:numId w:val="1"/>
        </w:numPr>
      </w:pPr>
      <w:r w:rsidRPr="007D5255">
        <w:t>systematically plan for and undertake assessment</w:t>
      </w:r>
    </w:p>
    <w:p w14:paraId="42CEE7BC" w14:textId="77777777" w:rsidR="004E5E9A" w:rsidRPr="007D5255" w:rsidRDefault="004E5E9A" w:rsidP="004E5E9A">
      <w:pPr>
        <w:pStyle w:val="ListBullet"/>
        <w:numPr>
          <w:ilvl w:val="0"/>
          <w:numId w:val="1"/>
        </w:numPr>
      </w:pPr>
      <w:r w:rsidRPr="007D5255">
        <w:t>differentiate curriculum delivery to meet the needs of students at different levels of achievement</w:t>
      </w:r>
    </w:p>
    <w:p w14:paraId="169CE959" w14:textId="77777777" w:rsidR="004E5E9A" w:rsidRPr="00B25D14" w:rsidRDefault="004E5E9A" w:rsidP="004E5E9A">
      <w:pPr>
        <w:pStyle w:val="ListBullet"/>
        <w:numPr>
          <w:ilvl w:val="0"/>
          <w:numId w:val="1"/>
        </w:numPr>
      </w:pPr>
      <w:r w:rsidRPr="007D5255">
        <w:t>collaborate</w:t>
      </w:r>
      <w:r w:rsidRPr="00B25D14">
        <w:t xml:space="preserve"> with other teachers to plan for quality teaching and learning.</w:t>
      </w:r>
    </w:p>
    <w:p w14:paraId="1CB0AAD7" w14:textId="77777777" w:rsidR="004E5E9A" w:rsidRDefault="004E5E9A" w:rsidP="004E5E9A">
      <w:r w:rsidRPr="00AC4E02">
        <w:t>This resource has been developed to assist teachers in NSW Department of Education schools to create learning that is contextualised to their classroom. It can be used as a basis for the teacher’s own program, assessment</w:t>
      </w:r>
      <w:r>
        <w:t>,</w:t>
      </w:r>
      <w:r w:rsidRPr="00AC4E02">
        <w:t xml:space="preserve"> or scope and sequence</w:t>
      </w:r>
      <w:r>
        <w:t>,</w:t>
      </w:r>
      <w:r w:rsidRPr="00AC4E02">
        <w:t xml:space="preserve"> or be used as an example of how the new curriculum could be implemented. The resource has suggested timeframes that may need to be adjusted by the teacher to meet the needs of their students</w:t>
      </w:r>
      <w:r>
        <w:t>.</w:t>
      </w:r>
      <w:r>
        <w:br w:type="page"/>
      </w:r>
    </w:p>
    <w:p w14:paraId="0ED7765E" w14:textId="1637DDAA" w:rsidR="00352385" w:rsidRDefault="0015624C" w:rsidP="0043193E">
      <w:pPr>
        <w:pStyle w:val="Heading1"/>
      </w:pPr>
      <w:bookmarkStart w:id="4" w:name="_Toc209161630"/>
      <w:r w:rsidRPr="0015624C">
        <w:lastRenderedPageBreak/>
        <w:t>Child Studies (Years 7</w:t>
      </w:r>
      <w:r w:rsidR="0043193E">
        <w:t>–</w:t>
      </w:r>
      <w:r w:rsidRPr="0015624C">
        <w:t xml:space="preserve">10) </w:t>
      </w:r>
      <w:r w:rsidR="00804ECA" w:rsidRPr="00404F94">
        <w:t>–</w:t>
      </w:r>
      <w:r w:rsidR="00804ECA">
        <w:t xml:space="preserve"> </w:t>
      </w:r>
      <w:r w:rsidR="00FC1B88">
        <w:t>1</w:t>
      </w:r>
      <w:r w:rsidR="00404F94">
        <w:t>00</w:t>
      </w:r>
      <w:r w:rsidR="0043193E">
        <w:t>-</w:t>
      </w:r>
      <w:r w:rsidR="00404F94">
        <w:t>h</w:t>
      </w:r>
      <w:r w:rsidR="0043193E">
        <w:t>ou</w:t>
      </w:r>
      <w:r w:rsidR="00404F94">
        <w:t>r</w:t>
      </w:r>
      <w:r w:rsidR="00404F94" w:rsidRPr="00404F94">
        <w:t xml:space="preserve"> annual overview</w:t>
      </w:r>
      <w:bookmarkEnd w:id="4"/>
    </w:p>
    <w:p w14:paraId="2D76769E" w14:textId="0FBB230C" w:rsidR="00702EA1" w:rsidRDefault="00702EA1" w:rsidP="00702EA1">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 </w:t>
      </w:r>
      <w:r w:rsidR="00E80610">
        <w:t>nurturing healthy children worldwide –</w:t>
      </w:r>
      <w:r w:rsidRPr="007550E0">
        <w:t xml:space="preserve"> option A </w:t>
      </w:r>
      <w:r w:rsidR="00E80610">
        <w:t xml:space="preserve">– </w:t>
      </w:r>
      <w:r w:rsidRPr="007550E0">
        <w:t>annual overview</w:t>
      </w:r>
    </w:p>
    <w:p w14:paraId="338C8539" w14:textId="1E7D2AF0" w:rsidR="00702EA1" w:rsidRDefault="00702EA1" w:rsidP="00702EA1">
      <w:r w:rsidRPr="00702EA1">
        <w:rPr>
          <w:noProof/>
        </w:rPr>
        <w:drawing>
          <wp:inline distT="0" distB="0" distL="0" distR="0" wp14:anchorId="42E50D1B" wp14:editId="2C2CA9B4">
            <wp:extent cx="9251950" cy="2653030"/>
            <wp:effectExtent l="0" t="0" r="6350" b="0"/>
            <wp:docPr id="554913633" name="Picture 1" descr="Annual overview for 100-hour option A theme – nurturing healthy children worldwide. Three topics are covered in the year. Growth, development and care (core) is held over 14 weeks (Term 1 Week 1 to Term 2 Week 4). Promoting growth and development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13633" name="Picture 1" descr="Annual overview for 100-hour option A theme – nurturing healthy children worldwide. Three topics are covered in the year. Growth, development and care (core) is held over 14 weeks (Term 1 Week 1 to Term 2 Week 4). Promoting growth and development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pic:cNvPicPr/>
                  </pic:nvPicPr>
                  <pic:blipFill>
                    <a:blip r:embed="rId8"/>
                    <a:stretch>
                      <a:fillRect/>
                    </a:stretch>
                  </pic:blipFill>
                  <pic:spPr>
                    <a:xfrm>
                      <a:off x="0" y="0"/>
                      <a:ext cx="9251950" cy="2653030"/>
                    </a:xfrm>
                    <a:prstGeom prst="rect">
                      <a:avLst/>
                    </a:prstGeom>
                  </pic:spPr>
                </pic:pic>
              </a:graphicData>
            </a:graphic>
          </wp:inline>
        </w:drawing>
      </w:r>
    </w:p>
    <w:bookmarkStart w:id="5" w:name="_Toc147483513"/>
    <w:bookmarkStart w:id="6" w:name="_Hlk207872622"/>
    <w:p w14:paraId="6F221C79" w14:textId="77777777" w:rsidR="00330AD6" w:rsidRDefault="00330AD6" w:rsidP="00330AD6">
      <w:pPr>
        <w:pStyle w:val="Imageattributioncaption"/>
      </w:pPr>
      <w:r>
        <w:fldChar w:fldCharType="begin"/>
      </w:r>
      <w:r>
        <w:instrText>HYPERLINK "https://curriculum.nsw.edu.au/learning-areas/pdhpe/child-studies-7-10-2025/overview"</w:instrText>
      </w:r>
      <w:r>
        <w:fldChar w:fldCharType="separate"/>
      </w:r>
      <w:r w:rsidRPr="00F50B2B">
        <w:rPr>
          <w:rStyle w:val="Hyperlink"/>
        </w:rPr>
        <w:t>Child Studies 7</w:t>
      </w:r>
      <w:r>
        <w:rPr>
          <w:rStyle w:val="Hyperlink"/>
        </w:rPr>
        <w:t>–</w:t>
      </w:r>
      <w:r w:rsidRPr="00F50B2B">
        <w:rPr>
          <w:rStyle w:val="Hyperlink"/>
        </w:rPr>
        <w:t>10 Syllabus</w:t>
      </w:r>
      <w:r>
        <w:fldChar w:fldCharType="end"/>
      </w:r>
      <w:r w:rsidRPr="00832FC1">
        <w:t xml:space="preserve"> © NSW Education Standards Authority (NESA) for and on behalf of the Crown in right of the State of New South</w:t>
      </w:r>
      <w:r w:rsidRPr="00C63EA7">
        <w:t xml:space="preserve"> Wales, </w:t>
      </w:r>
      <w:r>
        <w:t>2025.</w:t>
      </w:r>
    </w:p>
    <w:p w14:paraId="087BF790" w14:textId="77777777" w:rsidR="0043193E" w:rsidRDefault="0043193E">
      <w:pPr>
        <w:suppressAutoHyphens w:val="0"/>
        <w:spacing w:before="0" w:after="160" w:line="259" w:lineRule="auto"/>
        <w:rPr>
          <w:rFonts w:eastAsiaTheme="majorEastAsia"/>
          <w:bCs/>
          <w:color w:val="002664"/>
          <w:sz w:val="40"/>
          <w:szCs w:val="52"/>
        </w:rPr>
      </w:pPr>
      <w:r>
        <w:br w:type="page"/>
      </w:r>
    </w:p>
    <w:p w14:paraId="46DF4EB9" w14:textId="783F6DEA" w:rsidR="004775EA" w:rsidRDefault="00405894" w:rsidP="00603A3A">
      <w:pPr>
        <w:pStyle w:val="Heading1"/>
      </w:pPr>
      <w:bookmarkStart w:id="7" w:name="_Toc209161631"/>
      <w:r w:rsidRPr="00405894">
        <w:lastRenderedPageBreak/>
        <w:t>Child Studies (Years 7</w:t>
      </w:r>
      <w:r w:rsidR="0043193E">
        <w:t>–</w:t>
      </w:r>
      <w:r w:rsidRPr="00405894">
        <w:t xml:space="preserve">10) </w:t>
      </w:r>
      <w:r w:rsidR="004775EA" w:rsidRPr="004775EA">
        <w:t>–</w:t>
      </w:r>
      <w:r w:rsidR="001D28B7">
        <w:t xml:space="preserve"> </w:t>
      </w:r>
      <w:r w:rsidR="00B66198">
        <w:t>1</w:t>
      </w:r>
      <w:r w:rsidR="001D28B7">
        <w:t>00</w:t>
      </w:r>
      <w:r w:rsidR="0043193E">
        <w:t>-</w:t>
      </w:r>
      <w:r w:rsidR="001D28B7">
        <w:t>h</w:t>
      </w:r>
      <w:r w:rsidR="0043193E">
        <w:t>ou</w:t>
      </w:r>
      <w:r w:rsidR="001D28B7">
        <w:t>r</w:t>
      </w:r>
      <w:r w:rsidR="004775EA" w:rsidRPr="004775EA">
        <w:t xml:space="preserve"> </w:t>
      </w:r>
      <w:r w:rsidR="00ED0929">
        <w:t>s</w:t>
      </w:r>
      <w:r w:rsidR="004775EA" w:rsidRPr="004775EA">
        <w:t>cope and sequence</w:t>
      </w:r>
      <w:bookmarkEnd w:id="5"/>
      <w:r w:rsidR="00E64C3F">
        <w:t xml:space="preserve"> </w:t>
      </w:r>
      <w:r w:rsidR="0043193E">
        <w:t xml:space="preserve">– </w:t>
      </w:r>
      <w:r w:rsidR="00E64C3F">
        <w:t>option A</w:t>
      </w:r>
      <w:bookmarkEnd w:id="7"/>
    </w:p>
    <w:p w14:paraId="145A8AAA" w14:textId="33BB24AC" w:rsidR="00E07E37" w:rsidRDefault="00352385" w:rsidP="00E07E37">
      <w:pPr>
        <w:pStyle w:val="FeatureBox2"/>
      </w:pPr>
      <w:r w:rsidRPr="00352385">
        <w:rPr>
          <w:rStyle w:val="Strong"/>
        </w:rPr>
        <w:t>Note</w:t>
      </w:r>
      <w:r w:rsidRPr="00352385">
        <w:t xml:space="preserve">: this scope and sequence provides an example of how the content of the </w:t>
      </w:r>
      <w:hyperlink r:id="rId9" w:history="1">
        <w:r w:rsidRPr="00FC4905">
          <w:rPr>
            <w:rStyle w:val="Hyperlink"/>
          </w:rPr>
          <w:t>Child Studies 7</w:t>
        </w:r>
        <w:r w:rsidR="004E5E9A">
          <w:rPr>
            <w:rStyle w:val="Hyperlink"/>
          </w:rPr>
          <w:t>–</w:t>
        </w:r>
        <w:r w:rsidRPr="00FC4905">
          <w:rPr>
            <w:rStyle w:val="Hyperlink"/>
          </w:rPr>
          <w:t>10 Syllabus</w:t>
        </w:r>
      </w:hyperlink>
      <w:r>
        <w:t xml:space="preserve"> </w:t>
      </w:r>
      <w:r w:rsidRPr="00352385">
        <w:t>(NESA 202</w:t>
      </w:r>
      <w:r>
        <w:t>5</w:t>
      </w:r>
      <w:r w:rsidRPr="00352385">
        <w:t xml:space="preserve">) can be organised. </w:t>
      </w:r>
      <w:r w:rsidR="00E07E37">
        <w:t>The document includes sample assessment tasks, resources and assessment support designed to complement teaching and learning programs. Schools are best placed to develop an assessment schedule that aligns with assessment principles and suits their unique context. It is encouraged that schools adopt and adapt the details of this document to best meet their needs.</w:t>
      </w:r>
    </w:p>
    <w:p w14:paraId="6FC953E9" w14:textId="57FA1F19" w:rsidR="0025103A" w:rsidRDefault="001031D2" w:rsidP="0043193E">
      <w:pPr>
        <w:pStyle w:val="Heading2"/>
      </w:pPr>
      <w:bookmarkStart w:id="8" w:name="_Toc209161632"/>
      <w:bookmarkEnd w:id="6"/>
      <w:r>
        <w:t>Option A</w:t>
      </w:r>
      <w:r w:rsidR="00ED3A32">
        <w:t xml:space="preserve"> </w:t>
      </w:r>
      <w:r w:rsidR="0010548B">
        <w:t xml:space="preserve">– </w:t>
      </w:r>
      <w:r w:rsidR="0043193E">
        <w:t>n</w:t>
      </w:r>
      <w:r w:rsidR="0010548B">
        <w:t xml:space="preserve">urturing healthy children </w:t>
      </w:r>
      <w:r w:rsidR="00083E30">
        <w:t>worldwide</w:t>
      </w:r>
      <w:bookmarkEnd w:id="8"/>
    </w:p>
    <w:p w14:paraId="25ADE46C" w14:textId="164AEEBC" w:rsidR="0043193E" w:rsidRDefault="0043193E" w:rsidP="0043193E">
      <w:pPr>
        <w:pStyle w:val="Caption"/>
      </w:pPr>
      <w:r>
        <w:t xml:space="preserve">Table </w:t>
      </w:r>
      <w:r>
        <w:fldChar w:fldCharType="begin"/>
      </w:r>
      <w:r>
        <w:instrText xml:space="preserve"> SEQ Table \* ARABIC </w:instrText>
      </w:r>
      <w:r>
        <w:fldChar w:fldCharType="separate"/>
      </w:r>
      <w:r w:rsidR="00BA387A">
        <w:rPr>
          <w:noProof/>
        </w:rPr>
        <w:t>1</w:t>
      </w:r>
      <w:r>
        <w:fldChar w:fldCharType="end"/>
      </w:r>
      <w:r>
        <w:t xml:space="preserve"> – </w:t>
      </w:r>
      <w:r w:rsidRPr="000C407A">
        <w:t xml:space="preserve">Child Studies Stage 5 (Year </w:t>
      </w:r>
      <w:r w:rsidR="004E5E9A">
        <w:t>9</w:t>
      </w:r>
      <w:r w:rsidRPr="000C407A">
        <w:t xml:space="preserve">) </w:t>
      </w:r>
      <w:r w:rsidR="004E5E9A">
        <w:t>–</w:t>
      </w:r>
      <w:r w:rsidRPr="000C407A">
        <w:t xml:space="preserve"> 100</w:t>
      </w:r>
      <w:r w:rsidR="004E5E9A">
        <w:t>-</w:t>
      </w:r>
      <w:r w:rsidRPr="000C407A">
        <w:t>h</w:t>
      </w:r>
      <w:r w:rsidR="004E5E9A">
        <w:t>ou</w:t>
      </w:r>
      <w:r w:rsidRPr="000C407A">
        <w:t xml:space="preserve">r scope and sequence </w:t>
      </w:r>
      <w:r w:rsidR="004E5E9A">
        <w:t>– o</w:t>
      </w:r>
      <w:r w:rsidRPr="000C407A">
        <w:t>ption A</w:t>
      </w:r>
    </w:p>
    <w:tbl>
      <w:tblPr>
        <w:tblStyle w:val="Tableheader"/>
        <w:tblW w:w="4963" w:type="pct"/>
        <w:tblLayout w:type="fixed"/>
        <w:tblLook w:val="04A0" w:firstRow="1" w:lastRow="0" w:firstColumn="1" w:lastColumn="0" w:noHBand="0" w:noVBand="1"/>
        <w:tblDescription w:val="Table outlines the term or duration information, learning overview, outcomes, skills and assessment details."/>
      </w:tblPr>
      <w:tblGrid>
        <w:gridCol w:w="1838"/>
        <w:gridCol w:w="4536"/>
        <w:gridCol w:w="4819"/>
        <w:gridCol w:w="3261"/>
      </w:tblGrid>
      <w:tr w:rsidR="00107A0F" w14:paraId="05B9090B" w14:textId="77777777" w:rsidTr="0038161A">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636" w:type="pct"/>
          </w:tcPr>
          <w:p w14:paraId="315D507B" w14:textId="163EF4FA" w:rsidR="00107A0F" w:rsidRDefault="00107A0F" w:rsidP="00684CDB">
            <w:r>
              <w:t>Term and duration</w:t>
            </w:r>
          </w:p>
        </w:tc>
        <w:tc>
          <w:tcPr>
            <w:tcW w:w="1569" w:type="pct"/>
          </w:tcPr>
          <w:p w14:paraId="63E55ED1" w14:textId="77777777" w:rsidR="00107A0F" w:rsidRDefault="00107A0F" w:rsidP="00684CDB">
            <w:pPr>
              <w:cnfStyle w:val="100000000000" w:firstRow="1" w:lastRow="0" w:firstColumn="0" w:lastColumn="0" w:oddVBand="0" w:evenVBand="0" w:oddHBand="0" w:evenHBand="0" w:firstRowFirstColumn="0" w:firstRowLastColumn="0" w:lastRowFirstColumn="0" w:lastRowLastColumn="0"/>
            </w:pPr>
            <w:r>
              <w:t>Learning overview</w:t>
            </w:r>
          </w:p>
        </w:tc>
        <w:tc>
          <w:tcPr>
            <w:tcW w:w="1667" w:type="pct"/>
          </w:tcPr>
          <w:p w14:paraId="7173537C" w14:textId="77777777" w:rsidR="00107A0F" w:rsidRDefault="00107A0F" w:rsidP="00684CDB">
            <w:pPr>
              <w:cnfStyle w:val="100000000000" w:firstRow="1" w:lastRow="0" w:firstColumn="0" w:lastColumn="0" w:oddVBand="0" w:evenVBand="0" w:oddHBand="0" w:evenHBand="0" w:firstRowFirstColumn="0" w:firstRowLastColumn="0" w:lastRowFirstColumn="0" w:lastRowLastColumn="0"/>
            </w:pPr>
            <w:r>
              <w:t>Outcomes</w:t>
            </w:r>
          </w:p>
        </w:tc>
        <w:tc>
          <w:tcPr>
            <w:tcW w:w="1128" w:type="pct"/>
          </w:tcPr>
          <w:p w14:paraId="4A4CF753" w14:textId="3AC819B5" w:rsidR="00107A0F" w:rsidRDefault="00D16517" w:rsidP="00684CDB">
            <w:pPr>
              <w:cnfStyle w:val="100000000000" w:firstRow="1" w:lastRow="0" w:firstColumn="0" w:lastColumn="0" w:oddVBand="0" w:evenVBand="0" w:oddHBand="0" w:evenHBand="0" w:firstRowFirstColumn="0" w:firstRowLastColumn="0" w:lastRowFirstColumn="0" w:lastRowLastColumn="0"/>
            </w:pPr>
            <w:r>
              <w:t>Sample a</w:t>
            </w:r>
            <w:r w:rsidR="00107A0F">
              <w:t>ssessment</w:t>
            </w:r>
            <w:r>
              <w:t xml:space="preserve"> tasks</w:t>
            </w:r>
          </w:p>
        </w:tc>
      </w:tr>
      <w:tr w:rsidR="0038161A" w14:paraId="05496D65" w14:textId="77777777" w:rsidTr="003816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282336B3" w14:textId="6831C55F" w:rsidR="0038161A" w:rsidRDefault="0038161A" w:rsidP="0038161A">
            <w:pPr>
              <w:rPr>
                <w:b w:val="0"/>
              </w:rPr>
            </w:pPr>
            <w:r>
              <w:t>Terms 1 and 2</w:t>
            </w:r>
          </w:p>
          <w:p w14:paraId="269C8EF7" w14:textId="20C08080" w:rsidR="0038161A" w:rsidRDefault="0038161A" w:rsidP="0038161A">
            <w:r>
              <w:t>14 weeks</w:t>
            </w:r>
          </w:p>
        </w:tc>
        <w:tc>
          <w:tcPr>
            <w:tcW w:w="1569" w:type="pct"/>
          </w:tcPr>
          <w:p w14:paraId="0F8EAE4D" w14:textId="613983E8" w:rsidR="0038161A" w:rsidRPr="00965991" w:rsidRDefault="0038161A" w:rsidP="0038161A">
            <w:pPr>
              <w:cnfStyle w:val="000000100000" w:firstRow="0" w:lastRow="0" w:firstColumn="0" w:lastColumn="0" w:oddVBand="0" w:evenVBand="0" w:oddHBand="1" w:evenHBand="0" w:firstRowFirstColumn="0" w:firstRowLastColumn="0" w:lastRowFirstColumn="0" w:lastRowLastColumn="0"/>
              <w:rPr>
                <w:b/>
                <w:bCs/>
              </w:rPr>
            </w:pPr>
            <w:r w:rsidRPr="00965991">
              <w:rPr>
                <w:b/>
                <w:bCs/>
              </w:rPr>
              <w:t>Growth, development and care</w:t>
            </w:r>
            <w:r w:rsidRPr="0038161A">
              <w:t xml:space="preserve"> </w:t>
            </w:r>
            <w:r>
              <w:t>(core)</w:t>
            </w:r>
          </w:p>
          <w:p w14:paraId="5F255466" w14:textId="3CC6AA94" w:rsidR="0038161A" w:rsidRPr="00603A3A" w:rsidRDefault="0038161A" w:rsidP="0038161A">
            <w:pPr>
              <w:cnfStyle w:val="000000100000" w:firstRow="0" w:lastRow="0" w:firstColumn="0" w:lastColumn="0" w:oddVBand="0" w:evenVBand="0" w:oddHBand="1" w:evenHBand="0" w:firstRowFirstColumn="0" w:firstRowLastColumn="0" w:lastRowFirstColumn="0" w:lastRowLastColumn="0"/>
            </w:pPr>
            <w:r w:rsidRPr="00B25D9A">
              <w:t xml:space="preserve">This unit explores the critical stages of human growth and development from conception through early childhood. Students investigate fetal development and the birthing process, develop an understanding of essential newborn care </w:t>
            </w:r>
            <w:r w:rsidRPr="00B25D9A">
              <w:lastRenderedPageBreak/>
              <w:t>practices, and examine strategies to support healthy growth and development. Through a combination of research and practical learning</w:t>
            </w:r>
            <w:r w:rsidR="00FF6FBF">
              <w:t>,</w:t>
            </w:r>
            <w:r w:rsidRPr="00B25D9A">
              <w:t xml:space="preserve"> students develop foundational knowledge and skills to promote the wellbeing of children from birth onwards.</w:t>
            </w:r>
          </w:p>
        </w:tc>
        <w:tc>
          <w:tcPr>
            <w:tcW w:w="1667" w:type="pct"/>
          </w:tcPr>
          <w:p w14:paraId="6C5332A4"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4ECAA847"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4FA67872"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40678049"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5DB14650"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3623AF83" w14:textId="74E34413" w:rsidR="0038161A" w:rsidRPr="00762C8B" w:rsidRDefault="0038161A" w:rsidP="0038161A">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3186391A" w14:textId="3A29BD8F" w:rsidR="0038161A" w:rsidRDefault="0038161A" w:rsidP="0038161A">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r w:rsidR="0038161A" w14:paraId="3C3EF55E" w14:textId="77777777" w:rsidTr="003816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71A9EA61" w14:textId="31680581" w:rsidR="0038161A" w:rsidRDefault="0038161A" w:rsidP="0038161A">
            <w:pPr>
              <w:rPr>
                <w:b w:val="0"/>
              </w:rPr>
            </w:pPr>
            <w:r>
              <w:t>Terms 2 and 3</w:t>
            </w:r>
          </w:p>
          <w:p w14:paraId="6CF67216" w14:textId="0B9C9938" w:rsidR="0038161A" w:rsidRDefault="0038161A" w:rsidP="0038161A">
            <w:r>
              <w:t>14 weeks</w:t>
            </w:r>
          </w:p>
        </w:tc>
        <w:tc>
          <w:tcPr>
            <w:tcW w:w="1569" w:type="pct"/>
          </w:tcPr>
          <w:p w14:paraId="1E9A7932" w14:textId="544189FD" w:rsidR="0038161A"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Promoting growth and development</w:t>
            </w:r>
            <w:r>
              <w:t xml:space="preserve"> (core)</w:t>
            </w:r>
          </w:p>
          <w:p w14:paraId="4583B140" w14:textId="1DA595C4" w:rsidR="0038161A" w:rsidRDefault="0038161A" w:rsidP="0038161A">
            <w:pPr>
              <w:cnfStyle w:val="000000010000" w:firstRow="0" w:lastRow="0" w:firstColumn="0" w:lastColumn="0" w:oddVBand="0" w:evenVBand="0" w:oddHBand="0" w:evenHBand="1" w:firstRowFirstColumn="0" w:firstRowLastColumn="0" w:lastRowFirstColumn="0" w:lastRowLastColumn="0"/>
            </w:pPr>
            <w:r w:rsidRPr="00317C62">
              <w:t xml:space="preserve">This unit </w:t>
            </w:r>
            <w:r w:rsidR="00FF6FBF" w:rsidRPr="00317C62">
              <w:t>ex</w:t>
            </w:r>
            <w:r w:rsidR="00FF6FBF">
              <w:t>plore</w:t>
            </w:r>
            <w:r w:rsidR="00FF6FBF" w:rsidRPr="00317C62">
              <w:t xml:space="preserve">s </w:t>
            </w:r>
            <w:r w:rsidRPr="00317C62">
              <w:t xml:space="preserve">the vital role of family and community in supporting children’s growth and development. Students will explore the impact of nutrition and physical activity on </w:t>
            </w:r>
            <w:r w:rsidRPr="00317C62">
              <w:lastRenderedPageBreak/>
              <w:t>health, the importance of literacy and numeracy skills, and the influence of technology and media in childhood.</w:t>
            </w:r>
            <w:r>
              <w:t xml:space="preserve"> </w:t>
            </w:r>
            <w:r w:rsidRPr="00317C62">
              <w:t>Through case studies, collaborative tasks and practical applications, students will build knowledge and skills to understand how children can be supported to thrive within family, school and community settings.</w:t>
            </w:r>
          </w:p>
        </w:tc>
        <w:tc>
          <w:tcPr>
            <w:tcW w:w="1667" w:type="pct"/>
          </w:tcPr>
          <w:p w14:paraId="34B720E4" w14:textId="77777777" w:rsidR="0038161A" w:rsidRPr="00107A0F"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7075A2CB" w14:textId="77777777" w:rsidR="0038161A" w:rsidRPr="00107A0F"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6BF32906" w14:textId="77777777" w:rsidR="0038161A" w:rsidRPr="00107A0F"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6A79BEF1" w14:textId="77777777" w:rsidR="0038161A" w:rsidRPr="00107A0F"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5B9F15D1" w14:textId="77777777" w:rsidR="0038161A" w:rsidRPr="00107A0F"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833B672" w14:textId="0114CCD8" w:rsidR="0038161A" w:rsidRDefault="0038161A" w:rsidP="0038161A">
            <w:pPr>
              <w:cnfStyle w:val="000000010000" w:firstRow="0" w:lastRow="0" w:firstColumn="0" w:lastColumn="0" w:oddVBand="0" w:evenVBand="0" w:oddHBand="0" w:evenHBand="1" w:firstRowFirstColumn="0" w:firstRowLastColumn="0" w:lastRowFirstColumn="0" w:lastRowLastColumn="0"/>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FE69716" w14:textId="0FEE4B3D" w:rsidR="0038161A" w:rsidRDefault="0038161A" w:rsidP="0038161A">
            <w:pPr>
              <w:cnfStyle w:val="000000010000" w:firstRow="0" w:lastRow="0" w:firstColumn="0" w:lastColumn="0" w:oddVBand="0" w:evenVBand="0" w:oddHBand="0" w:evenHBand="1"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p>
        </w:tc>
      </w:tr>
      <w:tr w:rsidR="0038161A" w14:paraId="59EF1528" w14:textId="77777777" w:rsidTr="003816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79DF9816" w14:textId="0E120A31" w:rsidR="0038161A" w:rsidRDefault="0038161A" w:rsidP="0038161A">
            <w:pPr>
              <w:rPr>
                <w:b w:val="0"/>
              </w:rPr>
            </w:pPr>
            <w:r>
              <w:t>Terms 3 and 4</w:t>
            </w:r>
          </w:p>
          <w:p w14:paraId="5657F0D6" w14:textId="5C1B0EE3" w:rsidR="0038161A" w:rsidRDefault="0038161A" w:rsidP="0038161A">
            <w:r>
              <w:t>12 weeks</w:t>
            </w:r>
          </w:p>
        </w:tc>
        <w:tc>
          <w:tcPr>
            <w:tcW w:w="1569" w:type="pct"/>
          </w:tcPr>
          <w:p w14:paraId="31CEF64B" w14:textId="49703987" w:rsidR="0038161A"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Children globally</w:t>
            </w:r>
            <w:r w:rsidRPr="00C745B3">
              <w:t xml:space="preserve"> (</w:t>
            </w:r>
            <w:r>
              <w:t>o</w:t>
            </w:r>
            <w:r w:rsidRPr="00C745B3">
              <w:t>ption)</w:t>
            </w:r>
          </w:p>
          <w:p w14:paraId="4D625D05" w14:textId="77777777" w:rsidR="0038161A" w:rsidRDefault="0038161A" w:rsidP="0038161A">
            <w:pPr>
              <w:cnfStyle w:val="000000100000" w:firstRow="0" w:lastRow="0" w:firstColumn="0" w:lastColumn="0" w:oddVBand="0" w:evenVBand="0" w:oddHBand="1" w:evenHBand="0" w:firstRowFirstColumn="0" w:firstRowLastColumn="0" w:lastRowFirstColumn="0" w:lastRowLastColumn="0"/>
            </w:pPr>
            <w:r>
              <w:t>Includes 4-week depth study</w:t>
            </w:r>
          </w:p>
          <w:p w14:paraId="06BF2BD8" w14:textId="7E9B4E7F" w:rsidR="0038161A" w:rsidRDefault="0038161A" w:rsidP="0038161A">
            <w:pPr>
              <w:cnfStyle w:val="000000100000" w:firstRow="0" w:lastRow="0" w:firstColumn="0" w:lastColumn="0" w:oddVBand="0" w:evenVBand="0" w:oddHBand="1" w:evenHBand="0" w:firstRowFirstColumn="0" w:firstRowLastColumn="0" w:lastRowFirstColumn="0" w:lastRowLastColumn="0"/>
            </w:pPr>
            <w:r w:rsidRPr="00A3452E">
              <w:t xml:space="preserve">This unit explores the diverse experiences of children around the globe, focusing on their health and wellbeing, international approaches to child care and education, </w:t>
            </w:r>
            <w:r w:rsidRPr="00A3452E">
              <w:lastRenderedPageBreak/>
              <w:t>and the everyday lives of children in different cultural contexts.</w:t>
            </w:r>
            <w:r>
              <w:t xml:space="preserve"> </w:t>
            </w:r>
            <w:r w:rsidRPr="00A3452E">
              <w:t xml:space="preserve">A modelled depth study allows students to explore one area of global childhood in detail, developing skills in inquiry, critical thinking and reflection. </w:t>
            </w:r>
            <w:r>
              <w:t>S</w:t>
            </w:r>
            <w:r w:rsidRPr="00A3452E">
              <w:t>tudents gain an appreciation of the universal rights of children and the importance of supporting their development and wellbeing in varied contexts.</w:t>
            </w:r>
          </w:p>
        </w:tc>
        <w:tc>
          <w:tcPr>
            <w:tcW w:w="1667" w:type="pct"/>
          </w:tcPr>
          <w:p w14:paraId="072FF0BF"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553390A6"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36411229"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79629146"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556C1739" w14:textId="77777777" w:rsidR="0038161A" w:rsidRPr="00107A0F"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F01B8BC" w14:textId="2EC3DC05" w:rsidR="0038161A" w:rsidRDefault="0038161A" w:rsidP="0038161A">
            <w:pPr>
              <w:cnfStyle w:val="000000100000" w:firstRow="0" w:lastRow="0" w:firstColumn="0" w:lastColumn="0" w:oddVBand="0" w:evenVBand="0" w:oddHBand="1" w:evenHBand="0" w:firstRowFirstColumn="0" w:firstRowLastColumn="0" w:lastRowFirstColumn="0" w:lastRowLastColumn="0"/>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48F429A9" w14:textId="73A2CD39" w:rsidR="0038161A" w:rsidRDefault="0038161A" w:rsidP="0038161A">
            <w:pPr>
              <w:cnfStyle w:val="000000100000" w:firstRow="0" w:lastRow="0" w:firstColumn="0" w:lastColumn="0" w:oddVBand="0" w:evenVBand="0" w:oddHBand="1" w:evenHBand="0"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r>
              <w:t>, involving a modelled depth study</w:t>
            </w:r>
            <w:r w:rsidRPr="006D32EC">
              <w:t>.</w:t>
            </w:r>
          </w:p>
        </w:tc>
      </w:tr>
    </w:tbl>
    <w:bookmarkStart w:id="9" w:name="_Toc1022999069"/>
    <w:bookmarkStart w:id="10" w:name="_Toc112409828"/>
    <w:bookmarkStart w:id="11" w:name="_Toc147483516"/>
    <w:bookmarkStart w:id="12" w:name="_Hlk148102399"/>
    <w:p w14:paraId="7C6FFBE4" w14:textId="6A661D23" w:rsidR="0006100F" w:rsidRPr="00E258F6" w:rsidRDefault="0006100F" w:rsidP="0006100F">
      <w:pPr>
        <w:pStyle w:val="Imageattributioncaption"/>
      </w:pPr>
      <w:r>
        <w:fldChar w:fldCharType="begin"/>
      </w:r>
      <w:r>
        <w:instrText>HYPERLINK "https://curriculum.nsw.edu.au/learning-areas/pdhpe/child-studies-7-10-2025/overview"</w:instrText>
      </w:r>
      <w:r>
        <w:fldChar w:fldCharType="separate"/>
      </w:r>
      <w:r w:rsidRPr="00723211">
        <w:rPr>
          <w:rStyle w:val="Hyperlink"/>
        </w:rPr>
        <w:t>Child Studies 7</w:t>
      </w:r>
      <w:r w:rsidR="0043193E">
        <w:rPr>
          <w:rStyle w:val="Hyperlink"/>
        </w:rPr>
        <w:t>–</w:t>
      </w:r>
      <w:r w:rsidRPr="00723211">
        <w:rPr>
          <w:rStyle w:val="Hyperlink"/>
        </w:rPr>
        <w:t>10 Syllabus</w:t>
      </w:r>
      <w:r>
        <w:fldChar w:fldCharType="end"/>
      </w:r>
      <w:r w:rsidRPr="00E258F6">
        <w:t xml:space="preserve"> © NSW Education Standards Authority (NESA) for and on behalf of the Crown in right of the State of New South Wales, </w:t>
      </w:r>
      <w:r>
        <w:t>2025</w:t>
      </w:r>
      <w:r w:rsidRPr="00E258F6">
        <w:t>.</w:t>
      </w:r>
    </w:p>
    <w:p w14:paraId="04CA71B5" w14:textId="77777777" w:rsidR="0043193E" w:rsidRDefault="0043193E">
      <w:pPr>
        <w:suppressAutoHyphens w:val="0"/>
        <w:spacing w:before="0" w:after="160" w:line="259" w:lineRule="auto"/>
        <w:rPr>
          <w:rFonts w:eastAsiaTheme="majorEastAsia"/>
          <w:bCs/>
          <w:color w:val="002664"/>
          <w:sz w:val="40"/>
          <w:szCs w:val="52"/>
        </w:rPr>
      </w:pPr>
      <w:r>
        <w:br w:type="page"/>
      </w:r>
    </w:p>
    <w:p w14:paraId="2A9D4CD2" w14:textId="77777777" w:rsidR="006209BC" w:rsidRPr="004775EA" w:rsidRDefault="006209BC" w:rsidP="006209BC">
      <w:pPr>
        <w:pStyle w:val="Heading1"/>
        <w:spacing w:after="260"/>
      </w:pPr>
      <w:bookmarkStart w:id="13" w:name="_Toc209080073"/>
      <w:bookmarkStart w:id="14" w:name="_Toc209161633"/>
      <w:bookmarkStart w:id="15" w:name="_Toc147483517"/>
      <w:bookmarkEnd w:id="9"/>
      <w:bookmarkEnd w:id="10"/>
      <w:bookmarkEnd w:id="11"/>
      <w:bookmarkEnd w:id="12"/>
      <w:r w:rsidRPr="004775EA">
        <w:lastRenderedPageBreak/>
        <w:t>Support and alignment</w:t>
      </w:r>
      <w:bookmarkEnd w:id="13"/>
      <w:bookmarkEnd w:id="14"/>
    </w:p>
    <w:p w14:paraId="6F98DC11" w14:textId="77777777" w:rsidR="006209BC" w:rsidRDefault="006209BC" w:rsidP="006209BC">
      <w:r w:rsidRPr="708AD2A7">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Pr="00107A0F">
        <w:t>PD</w:t>
      </w:r>
      <w:r>
        <w:t>H</w:t>
      </w:r>
      <w:r w:rsidRPr="00107A0F">
        <w:t>PE Secondary</w:t>
      </w:r>
      <w:r>
        <w:t xml:space="preserve"> Curriculum team by emailing </w:t>
      </w:r>
      <w:hyperlink r:id="rId10" w:history="1">
        <w:r w:rsidRPr="002B5C9E">
          <w:rPr>
            <w:rStyle w:val="Hyperlink"/>
          </w:rPr>
          <w:t>PDHPEcurriculum@det.nsw.edu.au</w:t>
        </w:r>
      </w:hyperlink>
      <w:r>
        <w:t>.</w:t>
      </w:r>
    </w:p>
    <w:p w14:paraId="563F78D4" w14:textId="77777777" w:rsidR="006209BC" w:rsidRPr="00C82E19" w:rsidRDefault="006209BC" w:rsidP="006209BC">
      <w:pPr>
        <w:rPr>
          <w:rFonts w:eastAsia="Arial"/>
        </w:rPr>
      </w:pPr>
      <w:r w:rsidRPr="19B962B9">
        <w:rPr>
          <w:b/>
          <w:bCs/>
        </w:rPr>
        <w:t>Differentiation</w:t>
      </w:r>
      <w:r w:rsidRPr="008318C0">
        <w:t>: f</w:t>
      </w:r>
      <w:r w:rsidRPr="19B962B9">
        <w:rPr>
          <w:rFonts w:eastAsia="Arial"/>
        </w:rPr>
        <w:t>urther advice to support Aboriginal and</w:t>
      </w:r>
      <w:r>
        <w:rPr>
          <w:rFonts w:eastAsia="Arial"/>
        </w:rPr>
        <w:t>/or</w:t>
      </w:r>
      <w:r w:rsidRPr="19B962B9">
        <w:rPr>
          <w:rFonts w:eastAsia="Arial"/>
        </w:rPr>
        <w:t xml:space="preserve"> Torres Strait Islander students, </w:t>
      </w:r>
      <w:r>
        <w:rPr>
          <w:rFonts w:eastAsia="Arial"/>
        </w:rPr>
        <w:t>students learning English as an additional language or dialect (</w:t>
      </w:r>
      <w:r w:rsidRPr="19B962B9">
        <w:rPr>
          <w:rFonts w:eastAsia="Arial"/>
        </w:rPr>
        <w:t>EAL</w:t>
      </w:r>
      <w:r>
        <w:rPr>
          <w:rFonts w:eastAsia="Arial"/>
        </w:rPr>
        <w:t>/</w:t>
      </w:r>
      <w:r w:rsidRPr="19B962B9">
        <w:rPr>
          <w:rFonts w:eastAsia="Arial"/>
        </w:rPr>
        <w:t>D</w:t>
      </w:r>
      <w:r>
        <w:rPr>
          <w:rFonts w:eastAsia="Arial"/>
        </w:rPr>
        <w:t>)</w:t>
      </w:r>
      <w:r w:rsidRPr="19B962B9">
        <w:rPr>
          <w:rFonts w:eastAsia="Arial"/>
        </w:rPr>
        <w:t xml:space="preserve">, students with a disability and/or additional needs and </w:t>
      </w:r>
      <w:r>
        <w:rPr>
          <w:rFonts w:eastAsia="Arial"/>
        </w:rPr>
        <w:t>h</w:t>
      </w:r>
      <w:r w:rsidRPr="19B962B9">
        <w:rPr>
          <w:rFonts w:eastAsia="Arial"/>
        </w:rPr>
        <w:t xml:space="preserve">igh </w:t>
      </w:r>
      <w:r>
        <w:rPr>
          <w:rFonts w:eastAsia="Arial"/>
        </w:rPr>
        <w:t>p</w:t>
      </w:r>
      <w:r w:rsidRPr="19B962B9">
        <w:rPr>
          <w:rFonts w:eastAsia="Arial"/>
        </w:rPr>
        <w:t xml:space="preserve">otential and gifted students can be found on the </w:t>
      </w:r>
      <w:hyperlink r:id="rId11">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12" w:history="1">
        <w:r w:rsidRPr="00BD39B0">
          <w:rPr>
            <w:rStyle w:val="Hyperlink"/>
          </w:rPr>
          <w:t xml:space="preserve">Inclusion and differentiation </w:t>
        </w:r>
        <w:r>
          <w:rPr>
            <w:rStyle w:val="Hyperlink"/>
          </w:rPr>
          <w:t xml:space="preserve">advice </w:t>
        </w:r>
        <w:r w:rsidRPr="00BD39B0">
          <w:rPr>
            <w:rStyle w:val="Hyperlink"/>
          </w:rPr>
          <w:t>7</w:t>
        </w:r>
        <w:r>
          <w:rPr>
            <w:rStyle w:val="Hyperlink"/>
          </w:rPr>
          <w:t>–</w:t>
        </w:r>
        <w:r w:rsidRPr="00BD39B0">
          <w:rPr>
            <w:rStyle w:val="Hyperlink"/>
          </w:rPr>
          <w:t>10</w:t>
        </w:r>
      </w:hyperlink>
      <w:r>
        <w:t xml:space="preserve"> webpage.</w:t>
      </w:r>
    </w:p>
    <w:p w14:paraId="5C0B3235" w14:textId="77777777" w:rsidR="006209BC" w:rsidRDefault="006209BC" w:rsidP="006209BC">
      <w:r w:rsidRPr="19B962B9">
        <w:rPr>
          <w:b/>
          <w:bCs/>
        </w:rPr>
        <w:t>Assessment</w:t>
      </w:r>
      <w:r>
        <w:t xml:space="preserve">: </w:t>
      </w:r>
      <w:r w:rsidRPr="19B962B9">
        <w:rPr>
          <w:rFonts w:eastAsia="Arial"/>
        </w:rPr>
        <w:t xml:space="preserve">further advice to support formative assessment is available on the </w:t>
      </w:r>
      <w:hyperlink r:id="rId13">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14" w:history="1">
        <w:r w:rsidRPr="00D15E22">
          <w:rPr>
            <w:rStyle w:val="Hyperlink"/>
          </w:rPr>
          <w:t>Classroom assessment advice 7</w:t>
        </w:r>
        <w:r>
          <w:rPr>
            <w:rStyle w:val="Hyperlink"/>
          </w:rPr>
          <w:t>–</w:t>
        </w:r>
        <w:r w:rsidRPr="00D15E22">
          <w:rPr>
            <w:rStyle w:val="Hyperlink"/>
          </w:rPr>
          <w:t>10</w:t>
        </w:r>
      </w:hyperlink>
      <w:r>
        <w:t xml:space="preserve">. For summative assessment tasks, the </w:t>
      </w:r>
      <w:hyperlink r:id="rId15" w:history="1">
        <w:r>
          <w:rPr>
            <w:rStyle w:val="Hyperlink"/>
          </w:rPr>
          <w:t>A</w:t>
        </w:r>
        <w:r w:rsidRPr="00E95D83">
          <w:rPr>
            <w:rStyle w:val="Hyperlink"/>
          </w:rPr>
          <w:t>ssessment task advice 7</w:t>
        </w:r>
        <w:r>
          <w:rPr>
            <w:rStyle w:val="Hyperlink"/>
          </w:rPr>
          <w:t>–</w:t>
        </w:r>
        <w:r w:rsidRPr="00E95D83">
          <w:rPr>
            <w:rStyle w:val="Hyperlink"/>
          </w:rPr>
          <w:t>10</w:t>
        </w:r>
      </w:hyperlink>
      <w:r>
        <w:t xml:space="preserve"> webpage is available.</w:t>
      </w:r>
    </w:p>
    <w:p w14:paraId="34920940" w14:textId="77777777" w:rsidR="006209BC" w:rsidRDefault="006209BC" w:rsidP="006209BC">
      <w:r w:rsidRPr="00EE55AA">
        <w:rPr>
          <w:rStyle w:val="Strong"/>
        </w:rPr>
        <w:t>Explicit teaching</w:t>
      </w:r>
      <w:r w:rsidRPr="00CB2E21">
        <w:rPr>
          <w:rStyle w:val="Strong"/>
          <w:b w:val="0"/>
          <w:bCs w:val="0"/>
        </w:rPr>
        <w:t>:</w:t>
      </w:r>
      <w:r w:rsidRPr="00EE55AA">
        <w:t xml:space="preserve"> further advice to support explicit teaching is available on the </w:t>
      </w:r>
      <w:hyperlink r:id="rId16" w:history="1">
        <w:r w:rsidRPr="00EE55AA">
          <w:rPr>
            <w:rStyle w:val="Hyperlink"/>
          </w:rPr>
          <w:t>Explicit teaching</w:t>
        </w:r>
      </w:hyperlink>
      <w:r w:rsidRPr="00EE55AA">
        <w:t xml:space="preserve"> webpage. This includes the CESE </w:t>
      </w:r>
      <w:hyperlink r:id="rId17" w:history="1">
        <w:r w:rsidRPr="00EE55AA">
          <w:rPr>
            <w:rStyle w:val="Hyperlink"/>
          </w:rPr>
          <w:t>Explicit teaching – Driving learning and engagement</w:t>
        </w:r>
      </w:hyperlink>
      <w:r w:rsidRPr="00EE55AA">
        <w:t xml:space="preserve"> webpage.</w:t>
      </w:r>
    </w:p>
    <w:p w14:paraId="6179A89A" w14:textId="77777777" w:rsidR="006209BC" w:rsidRDefault="006209BC" w:rsidP="006209BC">
      <w:r w:rsidRPr="002E7C6F">
        <w:rPr>
          <w:b/>
          <w:bCs/>
        </w:rPr>
        <w:t>Consulted with</w:t>
      </w:r>
      <w:r>
        <w:t>: subject matter experts</w:t>
      </w:r>
    </w:p>
    <w:p w14:paraId="1345F94F" w14:textId="77777777" w:rsidR="006209BC" w:rsidRDefault="006209BC" w:rsidP="006209BC">
      <w:r w:rsidRPr="002E7C6F">
        <w:rPr>
          <w:b/>
          <w:bCs/>
        </w:rPr>
        <w:t>Alignment to system priorities and/or needs</w:t>
      </w:r>
      <w:r>
        <w:t xml:space="preserve">: </w:t>
      </w:r>
      <w:hyperlink r:id="rId18" w:history="1">
        <w:r w:rsidRPr="00D336ED">
          <w:rPr>
            <w:rStyle w:val="Hyperlink"/>
          </w:rPr>
          <w:t>School Excellence Policy</w:t>
        </w:r>
      </w:hyperlink>
      <w:r>
        <w:t xml:space="preserve">, </w:t>
      </w:r>
      <w:hyperlink r:id="rId19" w:history="1">
        <w:r w:rsidRPr="00EE55AA">
          <w:rPr>
            <w:rStyle w:val="Hyperlink"/>
          </w:rPr>
          <w:t>Our Plan for NSW Public Education</w:t>
        </w:r>
      </w:hyperlink>
    </w:p>
    <w:p w14:paraId="7E7A0B9C" w14:textId="77777777" w:rsidR="006209BC" w:rsidRDefault="006209BC" w:rsidP="006209BC">
      <w:r w:rsidRPr="002E7C6F">
        <w:rPr>
          <w:b/>
          <w:bCs/>
        </w:rPr>
        <w:t>Alignment to the School Excellence Framework</w:t>
      </w:r>
      <w:r>
        <w:t xml:space="preserve">: this resource supports the </w:t>
      </w:r>
      <w:hyperlink r:id="rId20" w:history="1">
        <w:r w:rsidRPr="00D336ED">
          <w:rPr>
            <w:rStyle w:val="Hyperlink"/>
          </w:rPr>
          <w:t>School Excellence Framework</w:t>
        </w:r>
      </w:hyperlink>
      <w:r>
        <w:t xml:space="preserve"> elements of curriculum (curriculum provision) and effective classroom practice (lesson planning, explicit teaching).</w:t>
      </w:r>
    </w:p>
    <w:p w14:paraId="2B1C5D8E" w14:textId="77777777" w:rsidR="006209BC" w:rsidRDefault="006209BC" w:rsidP="006209BC">
      <w:r w:rsidRPr="708AD2A7">
        <w:rPr>
          <w:b/>
          <w:bCs/>
        </w:rPr>
        <w:t xml:space="preserve">Alignment to Australian Professional </w:t>
      </w:r>
      <w:r>
        <w:rPr>
          <w:b/>
          <w:bCs/>
        </w:rPr>
        <w:t xml:space="preserve">Standards for </w:t>
      </w:r>
      <w:r w:rsidRPr="708AD2A7">
        <w:rPr>
          <w:b/>
          <w:bCs/>
        </w:rPr>
        <w:t>Teach</w:t>
      </w:r>
      <w:r>
        <w:rPr>
          <w:b/>
          <w:bCs/>
        </w:rPr>
        <w:t>ers</w:t>
      </w:r>
      <w:r>
        <w:t xml:space="preserve">: this resource supports teachers to address </w:t>
      </w:r>
      <w:hyperlink r:id="rId21">
        <w:r>
          <w:rPr>
            <w:rStyle w:val="Hyperlink"/>
          </w:rPr>
          <w:t>Proficient Teacher Standard Descriptors</w:t>
        </w:r>
      </w:hyperlink>
      <w:r>
        <w:t xml:space="preserve"> 3.2.2, 3.3.2.</w:t>
      </w:r>
    </w:p>
    <w:p w14:paraId="7A3DCA0D" w14:textId="77777777" w:rsidR="006209BC" w:rsidRPr="008318C0" w:rsidRDefault="006209BC" w:rsidP="006209BC">
      <w:pPr>
        <w:rPr>
          <w:b/>
          <w:bCs/>
        </w:rPr>
      </w:pPr>
      <w:r w:rsidRPr="00E15BE9">
        <w:rPr>
          <w:rStyle w:val="Strong"/>
        </w:rPr>
        <w:t>Creation date</w:t>
      </w:r>
      <w:r w:rsidRPr="00CB2E21">
        <w:rPr>
          <w:rStyle w:val="Strong"/>
          <w:b w:val="0"/>
          <w:bCs w:val="0"/>
        </w:rPr>
        <w:t xml:space="preserve">: </w:t>
      </w:r>
      <w:r w:rsidRPr="00F50B2B">
        <w:rPr>
          <w:rStyle w:val="Strong"/>
          <w:b w:val="0"/>
          <w:bCs w:val="0"/>
        </w:rPr>
        <w:t>5 September 2025</w:t>
      </w:r>
      <w:r>
        <w:br w:type="page"/>
      </w:r>
    </w:p>
    <w:p w14:paraId="2A4C742F" w14:textId="77777777" w:rsidR="006209BC" w:rsidRDefault="006209BC" w:rsidP="006209BC">
      <w:pPr>
        <w:pStyle w:val="Heading1"/>
      </w:pPr>
      <w:bookmarkStart w:id="16" w:name="_Toc209161634"/>
      <w:bookmarkEnd w:id="15"/>
      <w:r>
        <w:lastRenderedPageBreak/>
        <w:t>References</w:t>
      </w:r>
      <w:bookmarkEnd w:id="16"/>
    </w:p>
    <w:p w14:paraId="52120398" w14:textId="77777777" w:rsidR="006209BC" w:rsidRPr="00AE7FE3" w:rsidRDefault="006209BC" w:rsidP="006209BC">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820B3DD" w14:textId="77777777" w:rsidR="006209BC" w:rsidRPr="00AE7FE3" w:rsidRDefault="006209BC" w:rsidP="006209BC">
      <w:pPr>
        <w:pStyle w:val="FeatureBox2"/>
      </w:pPr>
      <w:r w:rsidRPr="00AE7FE3">
        <w:t>Please refer to the NESA Copyright Disclaimer for more information</w:t>
      </w:r>
      <w:r>
        <w:t xml:space="preserve"> </w:t>
      </w:r>
      <w:hyperlink r:id="rId22" w:tgtFrame="_blank" w:tooltip="https://educationstandards.nsw.edu.au/wps/portal/nesa/mini-footer/copyright" w:history="1">
        <w:r w:rsidRPr="00AE7FE3">
          <w:rPr>
            <w:rStyle w:val="Hyperlink"/>
          </w:rPr>
          <w:t>https://educationstandards.nsw.edu.au/wps/portal/nesa/mini-footer/copyright</w:t>
        </w:r>
      </w:hyperlink>
      <w:r w:rsidRPr="00A1020E">
        <w:t>.</w:t>
      </w:r>
    </w:p>
    <w:p w14:paraId="39A0F05D" w14:textId="77777777" w:rsidR="006209BC" w:rsidRDefault="006209BC" w:rsidP="006209BC">
      <w:pPr>
        <w:pStyle w:val="FeatureBox2"/>
      </w:pPr>
      <w:r w:rsidRPr="00AE7FE3">
        <w:t>NESA holds the only official and up-to-date versions of the NSW Curriculum and syllabus documents. Please visit the NSW Education Standards Authority (NESA) website</w:t>
      </w:r>
      <w:r>
        <w:t xml:space="preserve"> </w:t>
      </w:r>
      <w:hyperlink r:id="rId23" w:history="1">
        <w:r>
          <w:rPr>
            <w:rStyle w:val="Hyperlink"/>
          </w:rPr>
          <w:t>https://educationstandards.nsw.edu.au</w:t>
        </w:r>
      </w:hyperlink>
      <w:r w:rsidRPr="00A1020E">
        <w:t xml:space="preserve"> </w:t>
      </w:r>
      <w:r w:rsidRPr="00AE7FE3">
        <w:t xml:space="preserve">and the NSW Curriculum website </w:t>
      </w:r>
      <w:hyperlink r:id="rId24" w:history="1">
        <w:r>
          <w:rPr>
            <w:rStyle w:val="Hyperlink"/>
          </w:rPr>
          <w:t>https://curriculum.nsw.edu.au</w:t>
        </w:r>
      </w:hyperlink>
      <w:r w:rsidRPr="00AE7FE3">
        <w:t>.</w:t>
      </w:r>
    </w:p>
    <w:p w14:paraId="6E31F9C6" w14:textId="77777777" w:rsidR="006209BC" w:rsidRDefault="006209BC" w:rsidP="006209BC">
      <w:hyperlink r:id="rId25"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p>
    <w:p w14:paraId="0E48008B" w14:textId="77777777" w:rsidR="006209BC" w:rsidRDefault="006209BC" w:rsidP="006209BC">
      <w:r>
        <w:t>NESA (NSW Education Standards Authority) (2021) ‘</w:t>
      </w:r>
      <w:hyperlink r:id="rId26" w:history="1">
        <w:r w:rsidRPr="00ED0929">
          <w:rPr>
            <w:rStyle w:val="Hyperlink"/>
            <w:iCs/>
          </w:rPr>
          <w:t>Advice of scope and sequences</w:t>
        </w:r>
      </w:hyperlink>
      <w:r>
        <w:t xml:space="preserve">’, </w:t>
      </w:r>
      <w:r w:rsidRPr="001F3690">
        <w:rPr>
          <w:rStyle w:val="Emphasis"/>
        </w:rPr>
        <w:t>Programming</w:t>
      </w:r>
      <w:r>
        <w:t>, NESA website, accessed 4</w:t>
      </w:r>
      <w:r w:rsidRPr="002C1558">
        <w:t xml:space="preserve"> </w:t>
      </w:r>
      <w:r>
        <w:t>September</w:t>
      </w:r>
      <w:r w:rsidRPr="002C1558">
        <w:t xml:space="preserve"> </w:t>
      </w:r>
      <w:r>
        <w:t>2025.</w:t>
      </w:r>
    </w:p>
    <w:p w14:paraId="7B497F47" w14:textId="77777777" w:rsidR="006209BC" w:rsidRDefault="006209BC" w:rsidP="006209BC">
      <w:r w:rsidRPr="00B41A25">
        <w:t xml:space="preserve">State of New South Wales (Department of Education) (2022) </w:t>
      </w:r>
      <w:hyperlink r:id="rId27" w:history="1">
        <w:r w:rsidRPr="002C343B">
          <w:rPr>
            <w:rStyle w:val="Hyperlink"/>
            <w:i/>
            <w:iCs/>
          </w:rPr>
          <w:t>Curriculum planning for every student – advice</w:t>
        </w:r>
      </w:hyperlink>
      <w:r w:rsidRPr="00B41A25">
        <w:t>, NSW Department of Education website, accessed 4 September 2025.</w:t>
      </w:r>
    </w:p>
    <w:p w14:paraId="4DA4BC21" w14:textId="77777777" w:rsidR="006209BC" w:rsidRDefault="006209BC" w:rsidP="006209BC">
      <w:r>
        <w:t xml:space="preserve">Wiliam D (2013) </w:t>
      </w:r>
      <w:r w:rsidRPr="127B10CA">
        <w:rPr>
          <w:noProof/>
        </w:rPr>
        <w:t>‘</w:t>
      </w:r>
      <w:hyperlink r:id="rId28">
        <w:r w:rsidRPr="127B10CA">
          <w:rPr>
            <w:rStyle w:val="Hyperlink"/>
            <w:noProof/>
          </w:rPr>
          <w:t xml:space="preserve">Assessment: The </w:t>
        </w:r>
        <w:r>
          <w:rPr>
            <w:rStyle w:val="Hyperlink"/>
            <w:noProof/>
          </w:rPr>
          <w:t>B</w:t>
        </w:r>
        <w:r w:rsidRPr="127B10CA">
          <w:rPr>
            <w:rStyle w:val="Hyperlink"/>
            <w:noProof/>
          </w:rPr>
          <w:t xml:space="preserve">ridge between </w:t>
        </w:r>
        <w:r>
          <w:rPr>
            <w:rStyle w:val="Hyperlink"/>
            <w:noProof/>
          </w:rPr>
          <w:t>T</w:t>
        </w:r>
        <w:r w:rsidRPr="127B10CA">
          <w:rPr>
            <w:rStyle w:val="Hyperlink"/>
            <w:noProof/>
          </w:rPr>
          <w:t xml:space="preserve">eaching and </w:t>
        </w:r>
        <w:r>
          <w:rPr>
            <w:rStyle w:val="Hyperlink"/>
            <w:noProof/>
          </w:rPr>
          <w:t>L</w:t>
        </w:r>
        <w:r w:rsidRPr="127B10CA">
          <w:rPr>
            <w:rStyle w:val="Hyperlink"/>
            <w:noProof/>
          </w:rPr>
          <w:t>earning</w:t>
        </w:r>
      </w:hyperlink>
      <w:r w:rsidRPr="127B10CA">
        <w:rPr>
          <w:noProof/>
        </w:rPr>
        <w:t>’</w:t>
      </w:r>
      <w:r>
        <w:t xml:space="preserve">, </w:t>
      </w:r>
      <w:r w:rsidRPr="002C1558">
        <w:rPr>
          <w:rStyle w:val="Emphasis"/>
        </w:rPr>
        <w:t>Voices from the Middle</w:t>
      </w:r>
      <w:r>
        <w:t>, 21(2):15–20, doi:</w:t>
      </w:r>
      <w:r w:rsidRPr="00B41A25">
        <w:t>10.58680/vm201324461</w:t>
      </w:r>
      <w:r>
        <w:t>, accessed 4</w:t>
      </w:r>
      <w:r w:rsidRPr="002C1558">
        <w:t xml:space="preserve"> </w:t>
      </w:r>
      <w:r>
        <w:t>September</w:t>
      </w:r>
      <w:r w:rsidRPr="002C1558">
        <w:t xml:space="preserve"> </w:t>
      </w:r>
      <w:r>
        <w:t>2025.</w:t>
      </w:r>
    </w:p>
    <w:p w14:paraId="5188A1BE" w14:textId="77777777" w:rsidR="00684CDB" w:rsidRDefault="00684CDB" w:rsidP="00ED4BFA">
      <w:pPr>
        <w:sectPr w:rsidR="00684CDB" w:rsidSect="003769C0">
          <w:headerReference w:type="default" r:id="rId29"/>
          <w:footerReference w:type="even" r:id="rId30"/>
          <w:footerReference w:type="default" r:id="rId31"/>
          <w:headerReference w:type="first" r:id="rId32"/>
          <w:footerReference w:type="first" r:id="rId33"/>
          <w:pgSz w:w="16838" w:h="11906" w:orient="landscape"/>
          <w:pgMar w:top="1134" w:right="1134" w:bottom="1134" w:left="1134" w:header="709" w:footer="709" w:gutter="0"/>
          <w:pgNumType w:start="0"/>
          <w:cols w:space="708"/>
          <w:titlePg/>
          <w:docGrid w:linePitch="360"/>
        </w:sectPr>
      </w:pPr>
    </w:p>
    <w:p w14:paraId="753F3AB0" w14:textId="71DCE369" w:rsidR="002C1558" w:rsidRPr="00762C8B" w:rsidRDefault="002C1558" w:rsidP="002C1558">
      <w:pPr>
        <w:spacing w:before="0" w:after="0"/>
        <w:rPr>
          <w:rStyle w:val="Strong"/>
          <w:szCs w:val="22"/>
        </w:rPr>
      </w:pPr>
      <w:r w:rsidRPr="00762C8B">
        <w:rPr>
          <w:rStyle w:val="Strong"/>
          <w:szCs w:val="22"/>
        </w:rPr>
        <w:lastRenderedPageBreak/>
        <w:t>© State of New South Wales (Department of Education), 202</w:t>
      </w:r>
      <w:r w:rsidR="008E3678">
        <w:rPr>
          <w:rStyle w:val="Strong"/>
          <w:szCs w:val="22"/>
        </w:rPr>
        <w:t>5</w:t>
      </w:r>
    </w:p>
    <w:p w14:paraId="15BB603C"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50679FA8" w14:textId="77777777" w:rsidR="002C1558" w:rsidRDefault="002C1558" w:rsidP="002C1558">
      <w:pPr>
        <w:spacing w:line="276" w:lineRule="auto"/>
      </w:pPr>
      <w:r>
        <w:t xml:space="preserve">Copyright material available in this resource and owned by the NSW Department of Education is licensed under a </w:t>
      </w:r>
      <w:hyperlink r:id="rId34" w:history="1">
        <w:r w:rsidRPr="003B3E41">
          <w:rPr>
            <w:rStyle w:val="Hyperlink"/>
          </w:rPr>
          <w:t>Creative Commons Attribution 4.0 International (CC BY 4.0) license</w:t>
        </w:r>
      </w:hyperlink>
      <w:r>
        <w:t>.</w:t>
      </w:r>
    </w:p>
    <w:p w14:paraId="3264E346" w14:textId="0923A6AC" w:rsidR="002C1558" w:rsidRDefault="002C1558" w:rsidP="002C1558">
      <w:pPr>
        <w:spacing w:line="276" w:lineRule="auto"/>
      </w:pPr>
      <w:r>
        <w:rPr>
          <w:noProof/>
        </w:rPr>
        <w:drawing>
          <wp:inline distT="0" distB="0" distL="0" distR="0" wp14:anchorId="581613BA" wp14:editId="61FFA162">
            <wp:extent cx="1228725" cy="428625"/>
            <wp:effectExtent l="0" t="0" r="9525" b="9525"/>
            <wp:docPr id="32" name="Picture 32" descr="Creative Commons Attribution license log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6FB5D7" w14:textId="77777777" w:rsidR="002C1558" w:rsidRPr="002D3434" w:rsidRDefault="002C1558" w:rsidP="002C1558">
      <w:pPr>
        <w:spacing w:line="276" w:lineRule="auto"/>
      </w:pPr>
      <w:r w:rsidRPr="002D3434">
        <w:t>This license allows you to share and adapt the material for any purpose, even commercially.</w:t>
      </w:r>
    </w:p>
    <w:p w14:paraId="4F9FE8E6" w14:textId="0DCB626D" w:rsidR="002C1558" w:rsidRPr="002D3434" w:rsidRDefault="002C1558" w:rsidP="002C1558">
      <w:pPr>
        <w:spacing w:line="276" w:lineRule="auto"/>
      </w:pPr>
      <w:r w:rsidRPr="002D3434">
        <w:t>Attribution should be given to © State of New South Wales (Department of Education), 202</w:t>
      </w:r>
      <w:r w:rsidR="008E3678">
        <w:t>5</w:t>
      </w:r>
      <w:r w:rsidRPr="002D3434">
        <w:t>.</w:t>
      </w:r>
    </w:p>
    <w:p w14:paraId="44B699B2" w14:textId="77777777" w:rsidR="002C1558" w:rsidRPr="002D3434" w:rsidRDefault="002C1558" w:rsidP="002C1558">
      <w:pPr>
        <w:spacing w:line="276" w:lineRule="auto"/>
      </w:pPr>
      <w:r w:rsidRPr="002D3434">
        <w:t>Material in this resource not available under a Creative Commons license:</w:t>
      </w:r>
    </w:p>
    <w:p w14:paraId="2C3308D9"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3CE735BD"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0D056363"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22C28AA2"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16D8D1" w14:textId="6CEE2871"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3769C0">
      <w:headerReference w:type="default" r:id="rId36"/>
      <w:footerReference w:type="default" r:id="rId37"/>
      <w:headerReference w:type="first" r:id="rId38"/>
      <w:footerReference w:type="first" r:id="rId39"/>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DA33C3" w14:textId="77777777" w:rsidR="00147B19" w:rsidRDefault="00147B19" w:rsidP="00E51733">
      <w:r>
        <w:separator/>
      </w:r>
    </w:p>
  </w:endnote>
  <w:endnote w:type="continuationSeparator" w:id="0">
    <w:p w14:paraId="7C990AF3" w14:textId="77777777" w:rsidR="00147B19" w:rsidRDefault="00147B19" w:rsidP="00E51733">
      <w:r>
        <w:continuationSeparator/>
      </w:r>
    </w:p>
  </w:endnote>
  <w:endnote w:type="continuationNotice" w:id="1">
    <w:p w14:paraId="1950D150" w14:textId="77777777" w:rsidR="00147B19" w:rsidRDefault="00147B1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B551155-8969-4E4F-91F6-E577726C7A32}"/>
  </w:font>
  <w:font w:name="Calibri">
    <w:panose1 w:val="020F0502020204030204"/>
    <w:charset w:val="00"/>
    <w:family w:val="swiss"/>
    <w:pitch w:val="variable"/>
    <w:sig w:usb0="E4002EFF" w:usb1="C200247B" w:usb2="00000009" w:usb3="00000000" w:csb0="000001FF" w:csb1="00000000"/>
    <w:embedRegular r:id="rId2" w:fontKey="{6FB335C9-A5B3-444B-8738-50261B095C17}"/>
    <w:embedBold r:id="rId3" w:fontKey="{07B1CC32-43A9-4FDA-85D6-12040A2E8862}"/>
    <w:embedItalic r:id="rId4" w:fontKey="{285CDB3E-0F3C-44A4-9CBA-6D2064B79DD2}"/>
  </w:font>
  <w:font w:name="Cordia New">
    <w:panose1 w:val="020B0304020202020204"/>
    <w:charset w:val="DE"/>
    <w:family w:val="swiss"/>
    <w:pitch w:val="variable"/>
    <w:sig w:usb0="81000003" w:usb1="00000000" w:usb2="00000000" w:usb3="00000000" w:csb0="00010001" w:csb1="00000000"/>
    <w:embedRegular r:id="rId5" w:fontKey="{34D685ED-4C2F-4F88-8320-D76C045954E3}"/>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95246E22-3E2B-4B69-88F6-8020703899A8}"/>
  </w:font>
  <w:font w:name="Segoe UI">
    <w:panose1 w:val="020B0502040204020203"/>
    <w:charset w:val="00"/>
    <w:family w:val="swiss"/>
    <w:pitch w:val="variable"/>
    <w:sig w:usb0="E4002EFF" w:usb1="C000E47F" w:usb2="00000009" w:usb3="00000000" w:csb0="000001FF" w:csb1="00000000"/>
    <w:embedRegular r:id="rId7" w:fontKey="{97C4B26E-76A4-42B8-9E88-1075030E143D}"/>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AE12AB6B-772C-4D59-9118-0225734608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AF117" w14:textId="343F476B"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6E1E25">
      <w:rPr>
        <w:noProof/>
      </w:rPr>
      <w:t>Sep-25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B0AF9" w14:textId="78656D25" w:rsidR="00F66145" w:rsidRPr="00684CDB" w:rsidRDefault="00684CDB" w:rsidP="00684CDB">
    <w:pPr>
      <w:pStyle w:val="Footer"/>
    </w:pPr>
    <w:r>
      <w:t xml:space="preserve">© NSW Department of Education, </w:t>
    </w:r>
    <w:r w:rsidR="00B2174D">
      <w:t>Sep-25</w:t>
    </w:r>
    <w:r>
      <w:ptab w:relativeTo="margin" w:alignment="right" w:leader="none"/>
    </w:r>
    <w:r>
      <w:rPr>
        <w:b/>
        <w:noProof/>
        <w:sz w:val="28"/>
        <w:szCs w:val="28"/>
      </w:rPr>
      <w:drawing>
        <wp:inline distT="0" distB="0" distL="0" distR="0" wp14:anchorId="4B70A409" wp14:editId="50650714">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DA231" w14:textId="77777777" w:rsidR="00684CDB" w:rsidRPr="002F375A" w:rsidRDefault="00684CDB" w:rsidP="00684CDB">
    <w:pPr>
      <w:pStyle w:val="Logo"/>
      <w:jc w:val="right"/>
    </w:pPr>
    <w:r w:rsidRPr="008426B6">
      <w:rPr>
        <w:noProof/>
      </w:rPr>
      <w:drawing>
        <wp:inline distT="0" distB="0" distL="0" distR="0" wp14:anchorId="4943F3F6" wp14:editId="4EF30D1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8784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764E5"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EAD0AA" w14:textId="77777777" w:rsidR="00147B19" w:rsidRDefault="00147B19" w:rsidP="00E51733">
      <w:r>
        <w:separator/>
      </w:r>
    </w:p>
  </w:footnote>
  <w:footnote w:type="continuationSeparator" w:id="0">
    <w:p w14:paraId="08771D6D" w14:textId="77777777" w:rsidR="00147B19" w:rsidRDefault="00147B19" w:rsidP="00E51733">
      <w:r>
        <w:continuationSeparator/>
      </w:r>
    </w:p>
  </w:footnote>
  <w:footnote w:type="continuationNotice" w:id="1">
    <w:p w14:paraId="7EF75C84" w14:textId="77777777" w:rsidR="00147B19" w:rsidRDefault="00147B1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B173B" w14:textId="355005D9" w:rsidR="00684CDB" w:rsidRDefault="00093C7E" w:rsidP="00684CDB">
    <w:pPr>
      <w:pStyle w:val="Documentname"/>
    </w:pPr>
    <w:r w:rsidRPr="00093C7E">
      <w:t>Child Studies (Years 7</w:t>
    </w:r>
    <w:r w:rsidR="00B2174D">
      <w:t>–</w:t>
    </w:r>
    <w:r w:rsidRPr="00093C7E">
      <w:t>10</w:t>
    </w:r>
    <w:r w:rsidR="0098318E">
      <w:t xml:space="preserve">) </w:t>
    </w:r>
    <w:r w:rsidR="00723211" w:rsidRPr="00723211">
      <w:t xml:space="preserve">– </w:t>
    </w:r>
    <w:r w:rsidR="0043193E">
      <w:t xml:space="preserve">sample scope and sequence – </w:t>
    </w:r>
    <w:r w:rsidR="00B077F8">
      <w:t>1</w:t>
    </w:r>
    <w:r w:rsidR="00723211" w:rsidRPr="00723211">
      <w:t>00</w:t>
    </w:r>
    <w:r w:rsidR="00B2174D">
      <w:t>-</w:t>
    </w:r>
    <w:r w:rsidR="00723211" w:rsidRPr="00723211">
      <w:t>h</w:t>
    </w:r>
    <w:r w:rsidR="00B2174D">
      <w:t>ou</w:t>
    </w:r>
    <w:r w:rsidR="00723211" w:rsidRPr="00723211">
      <w:t xml:space="preserve">r </w:t>
    </w:r>
    <w:r w:rsidR="0043193E">
      <w:t>– option A</w:t>
    </w:r>
    <w:r w:rsidR="00B2174D">
      <w:t xml:space="preserve"> </w:t>
    </w:r>
    <w:r w:rsidR="00684CDB" w:rsidRPr="00D2403C">
      <w:t xml:space="preserve">| </w:t>
    </w:r>
    <w:r w:rsidR="00684CDB">
      <w:fldChar w:fldCharType="begin"/>
    </w:r>
    <w:r w:rsidR="00684CDB">
      <w:instrText xml:space="preserve"> PAGE   \* MERGEFORMAT </w:instrText>
    </w:r>
    <w:r w:rsidR="00684CDB">
      <w:fldChar w:fldCharType="separate"/>
    </w:r>
    <w:r w:rsidR="00684CDB">
      <w:t>2</w:t>
    </w:r>
    <w:r w:rsidR="00684CD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3222" w14:textId="21D3F93B" w:rsidR="00761246" w:rsidRPr="00684CDB" w:rsidRDefault="00000000" w:rsidP="00684CDB">
    <w:pPr>
      <w:pStyle w:val="Header"/>
      <w:spacing w:after="0"/>
    </w:pPr>
    <w:r>
      <w:pict w14:anchorId="132E6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0C23"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FF7FF" w14:textId="77777777" w:rsidR="002C1558" w:rsidRPr="00FA6449" w:rsidRDefault="002C1558" w:rsidP="002D3434">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86C5A1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609431222">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958342553">
    <w:abstractNumId w:val="0"/>
  </w:num>
  <w:num w:numId="13" w16cid:durableId="272325905">
    <w:abstractNumId w:val="2"/>
  </w:num>
  <w:num w:numId="14" w16cid:durableId="239874284">
    <w:abstractNumId w:val="5"/>
  </w:num>
  <w:num w:numId="15" w16cid:durableId="15545658">
    <w:abstractNumId w:val="5"/>
  </w:num>
  <w:num w:numId="16" w16cid:durableId="682509942">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DCD"/>
    <w:rsid w:val="00000DE7"/>
    <w:rsid w:val="00003312"/>
    <w:rsid w:val="00010198"/>
    <w:rsid w:val="00013D7A"/>
    <w:rsid w:val="00013FF2"/>
    <w:rsid w:val="00015A28"/>
    <w:rsid w:val="000252CB"/>
    <w:rsid w:val="00030D1B"/>
    <w:rsid w:val="00034833"/>
    <w:rsid w:val="00045F0D"/>
    <w:rsid w:val="0004750C"/>
    <w:rsid w:val="00047862"/>
    <w:rsid w:val="00054420"/>
    <w:rsid w:val="00056914"/>
    <w:rsid w:val="0006100F"/>
    <w:rsid w:val="00061D5B"/>
    <w:rsid w:val="00065A05"/>
    <w:rsid w:val="00074F0F"/>
    <w:rsid w:val="00081AED"/>
    <w:rsid w:val="00083E30"/>
    <w:rsid w:val="00085DCA"/>
    <w:rsid w:val="00093C7E"/>
    <w:rsid w:val="00094873"/>
    <w:rsid w:val="000A3EA0"/>
    <w:rsid w:val="000A7D75"/>
    <w:rsid w:val="000B0AA9"/>
    <w:rsid w:val="000B304D"/>
    <w:rsid w:val="000C1B93"/>
    <w:rsid w:val="000C24ED"/>
    <w:rsid w:val="000C6591"/>
    <w:rsid w:val="000D3BBE"/>
    <w:rsid w:val="000D5BD5"/>
    <w:rsid w:val="000D7466"/>
    <w:rsid w:val="000E154A"/>
    <w:rsid w:val="000F2608"/>
    <w:rsid w:val="0010001F"/>
    <w:rsid w:val="001031D2"/>
    <w:rsid w:val="0010548B"/>
    <w:rsid w:val="00107A0F"/>
    <w:rsid w:val="001122C0"/>
    <w:rsid w:val="00112528"/>
    <w:rsid w:val="00120395"/>
    <w:rsid w:val="00127BCC"/>
    <w:rsid w:val="00140D9B"/>
    <w:rsid w:val="0014582B"/>
    <w:rsid w:val="0014609D"/>
    <w:rsid w:val="00147B19"/>
    <w:rsid w:val="00153C05"/>
    <w:rsid w:val="0015624C"/>
    <w:rsid w:val="00164DEB"/>
    <w:rsid w:val="00173515"/>
    <w:rsid w:val="001857EE"/>
    <w:rsid w:val="00187D63"/>
    <w:rsid w:val="00190C6F"/>
    <w:rsid w:val="00190D3C"/>
    <w:rsid w:val="00191CC1"/>
    <w:rsid w:val="001A2D64"/>
    <w:rsid w:val="001A3009"/>
    <w:rsid w:val="001B1224"/>
    <w:rsid w:val="001B142C"/>
    <w:rsid w:val="001C7E97"/>
    <w:rsid w:val="001D28B7"/>
    <w:rsid w:val="001D5230"/>
    <w:rsid w:val="001F3690"/>
    <w:rsid w:val="001F38B2"/>
    <w:rsid w:val="001F5C52"/>
    <w:rsid w:val="0020116C"/>
    <w:rsid w:val="00202E19"/>
    <w:rsid w:val="002105AD"/>
    <w:rsid w:val="002239F7"/>
    <w:rsid w:val="002334C4"/>
    <w:rsid w:val="002429B8"/>
    <w:rsid w:val="002470EA"/>
    <w:rsid w:val="00247C1F"/>
    <w:rsid w:val="002502A3"/>
    <w:rsid w:val="0025103A"/>
    <w:rsid w:val="0025592F"/>
    <w:rsid w:val="00263B5C"/>
    <w:rsid w:val="0026548C"/>
    <w:rsid w:val="00266207"/>
    <w:rsid w:val="002709E3"/>
    <w:rsid w:val="00272005"/>
    <w:rsid w:val="0027370C"/>
    <w:rsid w:val="002904BB"/>
    <w:rsid w:val="00296342"/>
    <w:rsid w:val="002A28B4"/>
    <w:rsid w:val="002A2B8C"/>
    <w:rsid w:val="002A35CF"/>
    <w:rsid w:val="002A475D"/>
    <w:rsid w:val="002A6D21"/>
    <w:rsid w:val="002B415C"/>
    <w:rsid w:val="002C1558"/>
    <w:rsid w:val="002D3ACA"/>
    <w:rsid w:val="002D7A57"/>
    <w:rsid w:val="002E5F5F"/>
    <w:rsid w:val="002F7CFE"/>
    <w:rsid w:val="00303085"/>
    <w:rsid w:val="0030477F"/>
    <w:rsid w:val="003057F1"/>
    <w:rsid w:val="00306594"/>
    <w:rsid w:val="00306C23"/>
    <w:rsid w:val="00317C62"/>
    <w:rsid w:val="00322201"/>
    <w:rsid w:val="00330AD6"/>
    <w:rsid w:val="00331367"/>
    <w:rsid w:val="00333E05"/>
    <w:rsid w:val="0034048F"/>
    <w:rsid w:val="00340DD9"/>
    <w:rsid w:val="00342522"/>
    <w:rsid w:val="003426A1"/>
    <w:rsid w:val="00342A50"/>
    <w:rsid w:val="00343AEE"/>
    <w:rsid w:val="00347385"/>
    <w:rsid w:val="0035050C"/>
    <w:rsid w:val="00351C0E"/>
    <w:rsid w:val="00352385"/>
    <w:rsid w:val="00360E17"/>
    <w:rsid w:val="0036209C"/>
    <w:rsid w:val="00367F27"/>
    <w:rsid w:val="003769C0"/>
    <w:rsid w:val="0038161A"/>
    <w:rsid w:val="00385DFB"/>
    <w:rsid w:val="00390069"/>
    <w:rsid w:val="0039316D"/>
    <w:rsid w:val="003A17E5"/>
    <w:rsid w:val="003A5190"/>
    <w:rsid w:val="003A6798"/>
    <w:rsid w:val="003B1EF6"/>
    <w:rsid w:val="003B240E"/>
    <w:rsid w:val="003B58F7"/>
    <w:rsid w:val="003C4356"/>
    <w:rsid w:val="003C4AFB"/>
    <w:rsid w:val="003C5938"/>
    <w:rsid w:val="003C6317"/>
    <w:rsid w:val="003C77C3"/>
    <w:rsid w:val="003D13EF"/>
    <w:rsid w:val="003D74BB"/>
    <w:rsid w:val="003E1D01"/>
    <w:rsid w:val="003F17D8"/>
    <w:rsid w:val="003F1DAC"/>
    <w:rsid w:val="00401084"/>
    <w:rsid w:val="00401613"/>
    <w:rsid w:val="004036D8"/>
    <w:rsid w:val="00404F94"/>
    <w:rsid w:val="00405894"/>
    <w:rsid w:val="00407EF0"/>
    <w:rsid w:val="00412F2B"/>
    <w:rsid w:val="00414686"/>
    <w:rsid w:val="004178B3"/>
    <w:rsid w:val="00421290"/>
    <w:rsid w:val="00430F12"/>
    <w:rsid w:val="004312B2"/>
    <w:rsid w:val="0043193E"/>
    <w:rsid w:val="00446B20"/>
    <w:rsid w:val="00450E47"/>
    <w:rsid w:val="00451376"/>
    <w:rsid w:val="0045279D"/>
    <w:rsid w:val="004662AB"/>
    <w:rsid w:val="004668C5"/>
    <w:rsid w:val="00472635"/>
    <w:rsid w:val="004775EA"/>
    <w:rsid w:val="00480185"/>
    <w:rsid w:val="00483888"/>
    <w:rsid w:val="0048642E"/>
    <w:rsid w:val="00487005"/>
    <w:rsid w:val="00496E24"/>
    <w:rsid w:val="004A2B6E"/>
    <w:rsid w:val="004A3690"/>
    <w:rsid w:val="004B2129"/>
    <w:rsid w:val="004B2EC8"/>
    <w:rsid w:val="004B484F"/>
    <w:rsid w:val="004C09C9"/>
    <w:rsid w:val="004C11A9"/>
    <w:rsid w:val="004D18D4"/>
    <w:rsid w:val="004D64BF"/>
    <w:rsid w:val="004E2802"/>
    <w:rsid w:val="004E4BE5"/>
    <w:rsid w:val="004E5E9A"/>
    <w:rsid w:val="004F48DD"/>
    <w:rsid w:val="004F6AF2"/>
    <w:rsid w:val="00500450"/>
    <w:rsid w:val="0050199B"/>
    <w:rsid w:val="00511863"/>
    <w:rsid w:val="00512E93"/>
    <w:rsid w:val="005137C6"/>
    <w:rsid w:val="00515BEE"/>
    <w:rsid w:val="00522E82"/>
    <w:rsid w:val="00526795"/>
    <w:rsid w:val="0053609D"/>
    <w:rsid w:val="00541FBB"/>
    <w:rsid w:val="00544CAE"/>
    <w:rsid w:val="0054534A"/>
    <w:rsid w:val="005510E8"/>
    <w:rsid w:val="005649D2"/>
    <w:rsid w:val="00574837"/>
    <w:rsid w:val="0058102D"/>
    <w:rsid w:val="00582C83"/>
    <w:rsid w:val="00583731"/>
    <w:rsid w:val="00583F31"/>
    <w:rsid w:val="00590B89"/>
    <w:rsid w:val="005934B4"/>
    <w:rsid w:val="005A34D4"/>
    <w:rsid w:val="005A67CA"/>
    <w:rsid w:val="005B184F"/>
    <w:rsid w:val="005B77E0"/>
    <w:rsid w:val="005C08F4"/>
    <w:rsid w:val="005C14A7"/>
    <w:rsid w:val="005D0140"/>
    <w:rsid w:val="005D49FE"/>
    <w:rsid w:val="005E1F63"/>
    <w:rsid w:val="005E39EE"/>
    <w:rsid w:val="005E3B0F"/>
    <w:rsid w:val="005E3C5E"/>
    <w:rsid w:val="005F2729"/>
    <w:rsid w:val="005F6446"/>
    <w:rsid w:val="00603A3A"/>
    <w:rsid w:val="00605D76"/>
    <w:rsid w:val="006209BC"/>
    <w:rsid w:val="00622AFD"/>
    <w:rsid w:val="00622C48"/>
    <w:rsid w:val="00623909"/>
    <w:rsid w:val="00626BBF"/>
    <w:rsid w:val="00637453"/>
    <w:rsid w:val="0064273E"/>
    <w:rsid w:val="00643CC4"/>
    <w:rsid w:val="00654387"/>
    <w:rsid w:val="00657DF4"/>
    <w:rsid w:val="00666B82"/>
    <w:rsid w:val="00676DFD"/>
    <w:rsid w:val="00677835"/>
    <w:rsid w:val="00677D9E"/>
    <w:rsid w:val="00680388"/>
    <w:rsid w:val="00684CDB"/>
    <w:rsid w:val="00696410"/>
    <w:rsid w:val="006A3884"/>
    <w:rsid w:val="006A466F"/>
    <w:rsid w:val="006B3488"/>
    <w:rsid w:val="006B73E4"/>
    <w:rsid w:val="006C73D0"/>
    <w:rsid w:val="006D00B0"/>
    <w:rsid w:val="006D1CF3"/>
    <w:rsid w:val="006D3DFC"/>
    <w:rsid w:val="006E1E25"/>
    <w:rsid w:val="006E54D3"/>
    <w:rsid w:val="006F708C"/>
    <w:rsid w:val="00702EA1"/>
    <w:rsid w:val="00717237"/>
    <w:rsid w:val="00723211"/>
    <w:rsid w:val="0075382D"/>
    <w:rsid w:val="007539AD"/>
    <w:rsid w:val="007541CD"/>
    <w:rsid w:val="00755F39"/>
    <w:rsid w:val="00761246"/>
    <w:rsid w:val="00762C8B"/>
    <w:rsid w:val="00764BDC"/>
    <w:rsid w:val="00766D19"/>
    <w:rsid w:val="007748D4"/>
    <w:rsid w:val="007814E8"/>
    <w:rsid w:val="00782C06"/>
    <w:rsid w:val="00784F30"/>
    <w:rsid w:val="007A2518"/>
    <w:rsid w:val="007B020C"/>
    <w:rsid w:val="007B523A"/>
    <w:rsid w:val="007B7434"/>
    <w:rsid w:val="007C61E6"/>
    <w:rsid w:val="007C6D55"/>
    <w:rsid w:val="007D5255"/>
    <w:rsid w:val="007D7F17"/>
    <w:rsid w:val="007E4CE7"/>
    <w:rsid w:val="007E57D1"/>
    <w:rsid w:val="007E709D"/>
    <w:rsid w:val="007F066A"/>
    <w:rsid w:val="007F2A46"/>
    <w:rsid w:val="007F6BE6"/>
    <w:rsid w:val="0080248A"/>
    <w:rsid w:val="00804ECA"/>
    <w:rsid w:val="00804F58"/>
    <w:rsid w:val="008073B1"/>
    <w:rsid w:val="00821801"/>
    <w:rsid w:val="00822421"/>
    <w:rsid w:val="00830D85"/>
    <w:rsid w:val="00832FC1"/>
    <w:rsid w:val="008333A9"/>
    <w:rsid w:val="008347F9"/>
    <w:rsid w:val="00844BF4"/>
    <w:rsid w:val="008559F3"/>
    <w:rsid w:val="00856CA3"/>
    <w:rsid w:val="00860191"/>
    <w:rsid w:val="00865BC1"/>
    <w:rsid w:val="0087496A"/>
    <w:rsid w:val="00877321"/>
    <w:rsid w:val="00885A4E"/>
    <w:rsid w:val="00890EEE"/>
    <w:rsid w:val="0089316E"/>
    <w:rsid w:val="00896572"/>
    <w:rsid w:val="008A4CF6"/>
    <w:rsid w:val="008B6F21"/>
    <w:rsid w:val="008E3678"/>
    <w:rsid w:val="008E3DE9"/>
    <w:rsid w:val="008E4CF3"/>
    <w:rsid w:val="008F7546"/>
    <w:rsid w:val="00904D4E"/>
    <w:rsid w:val="009107ED"/>
    <w:rsid w:val="00912073"/>
    <w:rsid w:val="009138BF"/>
    <w:rsid w:val="00920429"/>
    <w:rsid w:val="0093679E"/>
    <w:rsid w:val="00944629"/>
    <w:rsid w:val="00953037"/>
    <w:rsid w:val="00962DCD"/>
    <w:rsid w:val="00965991"/>
    <w:rsid w:val="00965C31"/>
    <w:rsid w:val="009739C8"/>
    <w:rsid w:val="00982157"/>
    <w:rsid w:val="0098318E"/>
    <w:rsid w:val="00991310"/>
    <w:rsid w:val="009A2577"/>
    <w:rsid w:val="009B1280"/>
    <w:rsid w:val="009C2DB5"/>
    <w:rsid w:val="009C4BE1"/>
    <w:rsid w:val="009C5B0E"/>
    <w:rsid w:val="009F2BAF"/>
    <w:rsid w:val="009F36CD"/>
    <w:rsid w:val="00A0322B"/>
    <w:rsid w:val="00A104D3"/>
    <w:rsid w:val="00A119B4"/>
    <w:rsid w:val="00A11D82"/>
    <w:rsid w:val="00A16FB3"/>
    <w:rsid w:val="00A170A2"/>
    <w:rsid w:val="00A3452E"/>
    <w:rsid w:val="00A52883"/>
    <w:rsid w:val="00A534B8"/>
    <w:rsid w:val="00A54063"/>
    <w:rsid w:val="00A5409F"/>
    <w:rsid w:val="00A57460"/>
    <w:rsid w:val="00A577A0"/>
    <w:rsid w:val="00A63054"/>
    <w:rsid w:val="00A7778F"/>
    <w:rsid w:val="00AA1D4F"/>
    <w:rsid w:val="00AB087F"/>
    <w:rsid w:val="00AB099B"/>
    <w:rsid w:val="00AC5A98"/>
    <w:rsid w:val="00B077F8"/>
    <w:rsid w:val="00B2036D"/>
    <w:rsid w:val="00B2174D"/>
    <w:rsid w:val="00B24D19"/>
    <w:rsid w:val="00B26C50"/>
    <w:rsid w:val="00B31EBC"/>
    <w:rsid w:val="00B46033"/>
    <w:rsid w:val="00B53FCE"/>
    <w:rsid w:val="00B60FBD"/>
    <w:rsid w:val="00B65452"/>
    <w:rsid w:val="00B66134"/>
    <w:rsid w:val="00B66198"/>
    <w:rsid w:val="00B70384"/>
    <w:rsid w:val="00B7119E"/>
    <w:rsid w:val="00B72931"/>
    <w:rsid w:val="00B73C0C"/>
    <w:rsid w:val="00B74615"/>
    <w:rsid w:val="00B8023E"/>
    <w:rsid w:val="00B80AAD"/>
    <w:rsid w:val="00B917C2"/>
    <w:rsid w:val="00BA1A9B"/>
    <w:rsid w:val="00BA387A"/>
    <w:rsid w:val="00BA7230"/>
    <w:rsid w:val="00BA7AAB"/>
    <w:rsid w:val="00BC2871"/>
    <w:rsid w:val="00BC47CC"/>
    <w:rsid w:val="00BE3E4A"/>
    <w:rsid w:val="00BF0B21"/>
    <w:rsid w:val="00BF264E"/>
    <w:rsid w:val="00BF35D4"/>
    <w:rsid w:val="00BF732E"/>
    <w:rsid w:val="00BF76C1"/>
    <w:rsid w:val="00C34033"/>
    <w:rsid w:val="00C340CC"/>
    <w:rsid w:val="00C40412"/>
    <w:rsid w:val="00C436AB"/>
    <w:rsid w:val="00C51956"/>
    <w:rsid w:val="00C57987"/>
    <w:rsid w:val="00C60D01"/>
    <w:rsid w:val="00C61AC5"/>
    <w:rsid w:val="00C62B29"/>
    <w:rsid w:val="00C64661"/>
    <w:rsid w:val="00C6532C"/>
    <w:rsid w:val="00C664FC"/>
    <w:rsid w:val="00C7197B"/>
    <w:rsid w:val="00C72713"/>
    <w:rsid w:val="00C745B3"/>
    <w:rsid w:val="00C77294"/>
    <w:rsid w:val="00C94081"/>
    <w:rsid w:val="00C949F2"/>
    <w:rsid w:val="00C953B3"/>
    <w:rsid w:val="00CA0226"/>
    <w:rsid w:val="00CB2145"/>
    <w:rsid w:val="00CB66B0"/>
    <w:rsid w:val="00CC1ACE"/>
    <w:rsid w:val="00CD47D3"/>
    <w:rsid w:val="00CD5803"/>
    <w:rsid w:val="00CD6723"/>
    <w:rsid w:val="00CE5951"/>
    <w:rsid w:val="00CE6147"/>
    <w:rsid w:val="00CF73E9"/>
    <w:rsid w:val="00D041CD"/>
    <w:rsid w:val="00D10516"/>
    <w:rsid w:val="00D136E3"/>
    <w:rsid w:val="00D15A52"/>
    <w:rsid w:val="00D16517"/>
    <w:rsid w:val="00D17921"/>
    <w:rsid w:val="00D208BC"/>
    <w:rsid w:val="00D2250A"/>
    <w:rsid w:val="00D25990"/>
    <w:rsid w:val="00D31E35"/>
    <w:rsid w:val="00D41CB3"/>
    <w:rsid w:val="00D507E2"/>
    <w:rsid w:val="00D534B3"/>
    <w:rsid w:val="00D61CE0"/>
    <w:rsid w:val="00D67743"/>
    <w:rsid w:val="00D678DB"/>
    <w:rsid w:val="00D76154"/>
    <w:rsid w:val="00D761C5"/>
    <w:rsid w:val="00D77790"/>
    <w:rsid w:val="00D82C2E"/>
    <w:rsid w:val="00D947DA"/>
    <w:rsid w:val="00DA0F11"/>
    <w:rsid w:val="00DA1EEA"/>
    <w:rsid w:val="00DC2708"/>
    <w:rsid w:val="00DC74E1"/>
    <w:rsid w:val="00DD2F4E"/>
    <w:rsid w:val="00DD6B75"/>
    <w:rsid w:val="00DE07A5"/>
    <w:rsid w:val="00DE2CE3"/>
    <w:rsid w:val="00E04DAF"/>
    <w:rsid w:val="00E07E37"/>
    <w:rsid w:val="00E112C7"/>
    <w:rsid w:val="00E1389A"/>
    <w:rsid w:val="00E15BE9"/>
    <w:rsid w:val="00E167AF"/>
    <w:rsid w:val="00E21A43"/>
    <w:rsid w:val="00E21CE2"/>
    <w:rsid w:val="00E258F6"/>
    <w:rsid w:val="00E27DAA"/>
    <w:rsid w:val="00E4272D"/>
    <w:rsid w:val="00E46220"/>
    <w:rsid w:val="00E476CE"/>
    <w:rsid w:val="00E5058E"/>
    <w:rsid w:val="00E51733"/>
    <w:rsid w:val="00E56264"/>
    <w:rsid w:val="00E604B6"/>
    <w:rsid w:val="00E63E97"/>
    <w:rsid w:val="00E64C3F"/>
    <w:rsid w:val="00E66CA0"/>
    <w:rsid w:val="00E80610"/>
    <w:rsid w:val="00E80D74"/>
    <w:rsid w:val="00E80FE6"/>
    <w:rsid w:val="00E836F5"/>
    <w:rsid w:val="00E913FB"/>
    <w:rsid w:val="00E915B8"/>
    <w:rsid w:val="00E9584B"/>
    <w:rsid w:val="00EB4C10"/>
    <w:rsid w:val="00ED0929"/>
    <w:rsid w:val="00ED3A32"/>
    <w:rsid w:val="00ED4BFA"/>
    <w:rsid w:val="00ED7E4B"/>
    <w:rsid w:val="00EE2748"/>
    <w:rsid w:val="00EE55AA"/>
    <w:rsid w:val="00EF556D"/>
    <w:rsid w:val="00F00721"/>
    <w:rsid w:val="00F04ADD"/>
    <w:rsid w:val="00F1065A"/>
    <w:rsid w:val="00F14D7F"/>
    <w:rsid w:val="00F20AC8"/>
    <w:rsid w:val="00F3404E"/>
    <w:rsid w:val="00F3454B"/>
    <w:rsid w:val="00F357AD"/>
    <w:rsid w:val="00F378F3"/>
    <w:rsid w:val="00F50B2B"/>
    <w:rsid w:val="00F522E3"/>
    <w:rsid w:val="00F522FF"/>
    <w:rsid w:val="00F66145"/>
    <w:rsid w:val="00F66EDF"/>
    <w:rsid w:val="00F67719"/>
    <w:rsid w:val="00F73CDD"/>
    <w:rsid w:val="00F81980"/>
    <w:rsid w:val="00F90500"/>
    <w:rsid w:val="00F94278"/>
    <w:rsid w:val="00FA0557"/>
    <w:rsid w:val="00FA0D68"/>
    <w:rsid w:val="00FA3555"/>
    <w:rsid w:val="00FB37C3"/>
    <w:rsid w:val="00FC1B88"/>
    <w:rsid w:val="00FC4905"/>
    <w:rsid w:val="00FD0A93"/>
    <w:rsid w:val="00FE5E0D"/>
    <w:rsid w:val="00FF6421"/>
    <w:rsid w:val="00FF6FB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6C51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5279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5279D"/>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5279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5279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5279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5279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45279D"/>
    <w:pPr>
      <w:keepNext/>
      <w:spacing w:after="200" w:line="240" w:lineRule="auto"/>
    </w:pPr>
    <w:rPr>
      <w:iCs/>
      <w:color w:val="002664"/>
      <w:sz w:val="18"/>
      <w:szCs w:val="18"/>
    </w:rPr>
  </w:style>
  <w:style w:type="table" w:customStyle="1" w:styleId="Tableheader">
    <w:name w:val="ŠTable header"/>
    <w:basedOn w:val="TableNormal"/>
    <w:uiPriority w:val="99"/>
    <w:rsid w:val="0045279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527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5279D"/>
    <w:pPr>
      <w:numPr>
        <w:numId w:val="16"/>
      </w:numPr>
    </w:pPr>
  </w:style>
  <w:style w:type="paragraph" w:styleId="ListNumber2">
    <w:name w:val="List Number 2"/>
    <w:aliases w:val="ŠList Number 2"/>
    <w:basedOn w:val="Normal"/>
    <w:uiPriority w:val="8"/>
    <w:qFormat/>
    <w:rsid w:val="0045279D"/>
    <w:pPr>
      <w:numPr>
        <w:numId w:val="15"/>
      </w:numPr>
    </w:pPr>
  </w:style>
  <w:style w:type="paragraph" w:styleId="ListBullet">
    <w:name w:val="List Bullet"/>
    <w:aliases w:val="ŠList Bullet"/>
    <w:basedOn w:val="Normal"/>
    <w:uiPriority w:val="9"/>
    <w:qFormat/>
    <w:rsid w:val="0045279D"/>
    <w:pPr>
      <w:numPr>
        <w:numId w:val="13"/>
      </w:numPr>
    </w:pPr>
  </w:style>
  <w:style w:type="paragraph" w:styleId="ListBullet2">
    <w:name w:val="List Bullet 2"/>
    <w:aliases w:val="ŠList Bullet 2"/>
    <w:basedOn w:val="Normal"/>
    <w:uiPriority w:val="10"/>
    <w:qFormat/>
    <w:rsid w:val="0045279D"/>
    <w:pPr>
      <w:numPr>
        <w:numId w:val="11"/>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45279D"/>
    <w:rPr>
      <w:b/>
      <w:bCs/>
    </w:rPr>
  </w:style>
  <w:style w:type="paragraph" w:customStyle="1" w:styleId="FeatureBox2">
    <w:name w:val="ŠFeature Box 2"/>
    <w:basedOn w:val="Normal"/>
    <w:next w:val="Normal"/>
    <w:link w:val="FeatureBox2Char"/>
    <w:uiPriority w:val="12"/>
    <w:qFormat/>
    <w:rsid w:val="0045279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45279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5279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5279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5279D"/>
    <w:rPr>
      <w:color w:val="2F5496" w:themeColor="accent1" w:themeShade="BF"/>
      <w:u w:val="single"/>
    </w:rPr>
  </w:style>
  <w:style w:type="paragraph" w:customStyle="1" w:styleId="Logo">
    <w:name w:val="ŠLogo"/>
    <w:basedOn w:val="Normal"/>
    <w:uiPriority w:val="18"/>
    <w:qFormat/>
    <w:rsid w:val="0045279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5279D"/>
    <w:pPr>
      <w:tabs>
        <w:tab w:val="right" w:leader="dot" w:pos="14570"/>
      </w:tabs>
      <w:spacing w:before="0"/>
    </w:pPr>
    <w:rPr>
      <w:b/>
      <w:noProof/>
    </w:rPr>
  </w:style>
  <w:style w:type="paragraph" w:styleId="TOC2">
    <w:name w:val="toc 2"/>
    <w:aliases w:val="ŠTOC 2"/>
    <w:basedOn w:val="Normal"/>
    <w:next w:val="Normal"/>
    <w:uiPriority w:val="39"/>
    <w:unhideWhenUsed/>
    <w:rsid w:val="0045279D"/>
    <w:pPr>
      <w:tabs>
        <w:tab w:val="right" w:leader="dot" w:pos="14570"/>
      </w:tabs>
      <w:spacing w:before="0"/>
    </w:pPr>
    <w:rPr>
      <w:noProof/>
    </w:rPr>
  </w:style>
  <w:style w:type="paragraph" w:styleId="TOC3">
    <w:name w:val="toc 3"/>
    <w:aliases w:val="ŠTOC 3"/>
    <w:basedOn w:val="Normal"/>
    <w:next w:val="Normal"/>
    <w:uiPriority w:val="39"/>
    <w:unhideWhenUsed/>
    <w:rsid w:val="0045279D"/>
    <w:pPr>
      <w:spacing w:before="0"/>
      <w:ind w:left="244"/>
    </w:pPr>
  </w:style>
  <w:style w:type="paragraph" w:styleId="Title">
    <w:name w:val="Title"/>
    <w:aliases w:val="ŠTitle"/>
    <w:basedOn w:val="Normal"/>
    <w:next w:val="Normal"/>
    <w:link w:val="TitleChar"/>
    <w:uiPriority w:val="1"/>
    <w:rsid w:val="0045279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5279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45279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5279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45279D"/>
    <w:pPr>
      <w:spacing w:after="240"/>
      <w:outlineLvl w:val="9"/>
    </w:pPr>
    <w:rPr>
      <w:szCs w:val="40"/>
    </w:rPr>
  </w:style>
  <w:style w:type="paragraph" w:styleId="Footer">
    <w:name w:val="footer"/>
    <w:aliases w:val="ŠFooter"/>
    <w:basedOn w:val="Normal"/>
    <w:link w:val="FooterChar"/>
    <w:uiPriority w:val="19"/>
    <w:rsid w:val="0045279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5279D"/>
    <w:rPr>
      <w:rFonts w:ascii="Arial" w:hAnsi="Arial" w:cs="Arial"/>
      <w:sz w:val="18"/>
      <w:szCs w:val="18"/>
    </w:rPr>
  </w:style>
  <w:style w:type="paragraph" w:styleId="Header">
    <w:name w:val="header"/>
    <w:aliases w:val="ŠHeader"/>
    <w:basedOn w:val="Normal"/>
    <w:link w:val="HeaderChar"/>
    <w:uiPriority w:val="16"/>
    <w:rsid w:val="0045279D"/>
    <w:rPr>
      <w:noProof/>
      <w:color w:val="002664"/>
      <w:sz w:val="28"/>
      <w:szCs w:val="28"/>
    </w:rPr>
  </w:style>
  <w:style w:type="character" w:customStyle="1" w:styleId="HeaderChar">
    <w:name w:val="Header Char"/>
    <w:aliases w:val="ŠHeader Char"/>
    <w:basedOn w:val="DefaultParagraphFont"/>
    <w:link w:val="Header"/>
    <w:uiPriority w:val="16"/>
    <w:rsid w:val="0045279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5279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5279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5279D"/>
    <w:rPr>
      <w:rFonts w:ascii="Arial" w:hAnsi="Arial" w:cs="Arial"/>
      <w:b/>
      <w:szCs w:val="32"/>
    </w:rPr>
  </w:style>
  <w:style w:type="character" w:styleId="UnresolvedMention">
    <w:name w:val="Unresolved Mention"/>
    <w:basedOn w:val="DefaultParagraphFont"/>
    <w:uiPriority w:val="99"/>
    <w:semiHidden/>
    <w:unhideWhenUsed/>
    <w:rsid w:val="0045279D"/>
    <w:rPr>
      <w:color w:val="605E5C"/>
      <w:shd w:val="clear" w:color="auto" w:fill="E1DFDD"/>
    </w:rPr>
  </w:style>
  <w:style w:type="character" w:styleId="Emphasis">
    <w:name w:val="Emphasis"/>
    <w:aliases w:val="ŠEmphasis,Italic"/>
    <w:qFormat/>
    <w:rsid w:val="0045279D"/>
    <w:rPr>
      <w:i/>
      <w:iCs/>
    </w:rPr>
  </w:style>
  <w:style w:type="character" w:styleId="SubtleEmphasis">
    <w:name w:val="Subtle Emphasis"/>
    <w:basedOn w:val="DefaultParagraphFont"/>
    <w:uiPriority w:val="19"/>
    <w:semiHidden/>
    <w:qFormat/>
    <w:rsid w:val="0045279D"/>
    <w:rPr>
      <w:i/>
      <w:iCs/>
      <w:color w:val="404040" w:themeColor="text1" w:themeTint="BF"/>
    </w:rPr>
  </w:style>
  <w:style w:type="paragraph" w:styleId="TOC4">
    <w:name w:val="toc 4"/>
    <w:aliases w:val="ŠTOC 4"/>
    <w:basedOn w:val="Normal"/>
    <w:next w:val="Normal"/>
    <w:autoRedefine/>
    <w:uiPriority w:val="39"/>
    <w:unhideWhenUsed/>
    <w:rsid w:val="0045279D"/>
    <w:pPr>
      <w:spacing w:before="0"/>
      <w:ind w:left="488"/>
    </w:pPr>
  </w:style>
  <w:style w:type="character" w:styleId="CommentReference">
    <w:name w:val="annotation reference"/>
    <w:basedOn w:val="DefaultParagraphFont"/>
    <w:uiPriority w:val="99"/>
    <w:semiHidden/>
    <w:unhideWhenUsed/>
    <w:rsid w:val="0045279D"/>
    <w:rPr>
      <w:sz w:val="16"/>
      <w:szCs w:val="16"/>
    </w:rPr>
  </w:style>
  <w:style w:type="paragraph" w:styleId="CommentText">
    <w:name w:val="annotation text"/>
    <w:basedOn w:val="Normal"/>
    <w:link w:val="CommentTextChar"/>
    <w:uiPriority w:val="99"/>
    <w:unhideWhenUsed/>
    <w:rsid w:val="00B917C2"/>
    <w:pPr>
      <w:spacing w:line="240" w:lineRule="auto"/>
    </w:pPr>
    <w:rPr>
      <w:sz w:val="20"/>
      <w:szCs w:val="20"/>
    </w:rPr>
  </w:style>
  <w:style w:type="character" w:customStyle="1" w:styleId="CommentTextChar">
    <w:name w:val="Comment Text Char"/>
    <w:basedOn w:val="DefaultParagraphFont"/>
    <w:link w:val="CommentText"/>
    <w:uiPriority w:val="99"/>
    <w:rsid w:val="00B917C2"/>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45279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45279D"/>
    <w:rPr>
      <w:rFonts w:ascii="Arial" w:hAnsi="Arial" w:cs="Arial"/>
      <w:b/>
      <w:bCs/>
      <w:sz w:val="20"/>
      <w:szCs w:val="20"/>
    </w:rPr>
  </w:style>
  <w:style w:type="paragraph" w:styleId="ListParagraph">
    <w:name w:val="List Paragraph"/>
    <w:aliases w:val="ŠList Paragraph"/>
    <w:basedOn w:val="Normal"/>
    <w:uiPriority w:val="34"/>
    <w:unhideWhenUsed/>
    <w:qFormat/>
    <w:rsid w:val="0045279D"/>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45279D"/>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45279D"/>
    <w:pPr>
      <w:numPr>
        <w:numId w:val="12"/>
      </w:numPr>
    </w:pPr>
  </w:style>
  <w:style w:type="paragraph" w:styleId="ListNumber3">
    <w:name w:val="List Number 3"/>
    <w:aliases w:val="ŠList Number 3"/>
    <w:basedOn w:val="ListBullet3"/>
    <w:uiPriority w:val="8"/>
    <w:rsid w:val="0045279D"/>
    <w:pPr>
      <w:numPr>
        <w:ilvl w:val="2"/>
        <w:numId w:val="15"/>
      </w:numPr>
    </w:pPr>
  </w:style>
  <w:style w:type="character" w:styleId="PlaceholderText">
    <w:name w:val="Placeholder Text"/>
    <w:basedOn w:val="DefaultParagraphFont"/>
    <w:uiPriority w:val="99"/>
    <w:semiHidden/>
    <w:rsid w:val="0045279D"/>
    <w:rPr>
      <w:color w:val="808080"/>
    </w:rPr>
  </w:style>
  <w:style w:type="character" w:customStyle="1" w:styleId="BoldItalic">
    <w:name w:val="ŠBold Italic"/>
    <w:basedOn w:val="DefaultParagraphFont"/>
    <w:uiPriority w:val="1"/>
    <w:qFormat/>
    <w:rsid w:val="0045279D"/>
    <w:rPr>
      <w:b/>
      <w:i/>
      <w:iCs/>
    </w:rPr>
  </w:style>
  <w:style w:type="paragraph" w:customStyle="1" w:styleId="Documentname">
    <w:name w:val="ŠDocument name"/>
    <w:basedOn w:val="Normal"/>
    <w:next w:val="Normal"/>
    <w:uiPriority w:val="17"/>
    <w:qFormat/>
    <w:rsid w:val="0045279D"/>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5279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5279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5279D"/>
    <w:pPr>
      <w:spacing w:after="0"/>
    </w:pPr>
    <w:rPr>
      <w:sz w:val="18"/>
      <w:szCs w:val="18"/>
    </w:rPr>
  </w:style>
  <w:style w:type="paragraph" w:customStyle="1" w:styleId="Pulloutquote">
    <w:name w:val="ŠPull out quote"/>
    <w:basedOn w:val="Normal"/>
    <w:next w:val="Normal"/>
    <w:uiPriority w:val="20"/>
    <w:qFormat/>
    <w:rsid w:val="0045279D"/>
    <w:pPr>
      <w:keepNext/>
      <w:ind w:left="567" w:right="57"/>
    </w:pPr>
    <w:rPr>
      <w:szCs w:val="22"/>
    </w:rPr>
  </w:style>
  <w:style w:type="paragraph" w:customStyle="1" w:styleId="Subtitle0">
    <w:name w:val="ŠSubtitle"/>
    <w:basedOn w:val="Normal"/>
    <w:link w:val="SubtitleChar0"/>
    <w:uiPriority w:val="2"/>
    <w:qFormat/>
    <w:rsid w:val="0045279D"/>
    <w:pPr>
      <w:spacing w:before="360"/>
    </w:pPr>
    <w:rPr>
      <w:color w:val="002664"/>
      <w:sz w:val="44"/>
      <w:szCs w:val="48"/>
    </w:rPr>
  </w:style>
  <w:style w:type="character" w:customStyle="1" w:styleId="SubtitleChar0">
    <w:name w:val="ŠSubtitle Char"/>
    <w:basedOn w:val="DefaultParagraphFont"/>
    <w:link w:val="Subtitle0"/>
    <w:uiPriority w:val="2"/>
    <w:rsid w:val="0045279D"/>
    <w:rPr>
      <w:rFonts w:ascii="Arial" w:hAnsi="Arial" w:cs="Arial"/>
      <w:color w:val="002664"/>
      <w:sz w:val="44"/>
      <w:szCs w:val="48"/>
    </w:rPr>
  </w:style>
  <w:style w:type="character" w:customStyle="1" w:styleId="FeatureBox2Char">
    <w:name w:val="ŠFeature Box 2 Char"/>
    <w:basedOn w:val="DefaultParagraphFont"/>
    <w:link w:val="FeatureBox2"/>
    <w:uiPriority w:val="12"/>
    <w:rsid w:val="006209BC"/>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 TargetMode="External"/><Relationship Id="rId18" Type="http://schemas.openxmlformats.org/officeDocument/2006/relationships/hyperlink" Target="https://education.nsw.gov.au/policy-library/policies/pd-2016-0468" TargetMode="External"/><Relationship Id="rId26" Type="http://schemas.openxmlformats.org/officeDocument/2006/relationships/hyperlink" Target="https://www.educationstandards.nsw.edu.au/wps/portal/nesa/k-10/understanding-the-curriculum/programming/advice-on-scope-and-sequences" TargetMode="External"/><Relationship Id="rId39" Type="http://schemas.openxmlformats.org/officeDocument/2006/relationships/footer" Target="footer5.xml"/><Relationship Id="rId21" Type="http://schemas.openxmlformats.org/officeDocument/2006/relationships/hyperlink" Target="https://educationstandards.nsw.edu.au/wps/portal/nesa/teacher-accreditation/meeting-requirements/the-standards/proficient-teacher" TargetMode="External"/><Relationship Id="rId34" Type="http://schemas.openxmlformats.org/officeDocument/2006/relationships/hyperlink" Target="https://creativecommons.org/licenses/by/4.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ducation.nsw.gov.au/teaching-and-learning/curriculum/explicit-teaching" TargetMode="External"/><Relationship Id="rId20" Type="http://schemas.openxmlformats.org/officeDocument/2006/relationships/hyperlink" Target="https://education.nsw.gov.au/inside-the-department/school-excellence" TargetMode="External"/><Relationship Id="rId29" Type="http://schemas.openxmlformats.org/officeDocument/2006/relationships/header" Target="header1.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ducation.nsw.gov.au/teaching-and-learning/curriculum/planning-programming-and-assessing-k-12/planning-programming-and-assessing-7-12" TargetMode="External"/><Relationship Id="rId24" Type="http://schemas.openxmlformats.org/officeDocument/2006/relationships/hyperlink" Target="https://curriculum.nsw.edu.au" TargetMode="External"/><Relationship Id="rId32" Type="http://schemas.openxmlformats.org/officeDocument/2006/relationships/header" Target="header2.xml"/><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ducation.nsw.gov.au/teaching-and-learning/curriculum/planning-programming-and-assessing-k-12/planning-programming-and-assessing-7-12/assessment-task-advice-7-10" TargetMode="External"/><Relationship Id="rId23" Type="http://schemas.openxmlformats.org/officeDocument/2006/relationships/hyperlink" Target="https://educationstandards.nsw.edu.au" TargetMode="External"/><Relationship Id="rId28" Type="http://schemas.openxmlformats.org/officeDocument/2006/relationships/hyperlink" Target="https://www.researchgate.net/publication/258423377_Assessment_The_bridge_between_teaching_and_learning" TargetMode="External"/><Relationship Id="rId36" Type="http://schemas.openxmlformats.org/officeDocument/2006/relationships/header" Target="header3.xml"/><Relationship Id="rId10" Type="http://schemas.openxmlformats.org/officeDocument/2006/relationships/hyperlink" Target="mailto:PDHPEcurriculum@det.nsw.edu.au" TargetMode="External"/><Relationship Id="rId19" Type="http://schemas.openxmlformats.org/officeDocument/2006/relationships/hyperlink" Target="https://education.nsw.gov.au/about-us/strategies-and-reports/plan-for-nsw-public-education"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curriculum.nsw.edu.au/learning-areas/pdhpe/child-studies-7-10-2025/overview" TargetMode="External"/><Relationship Id="rId14" Type="http://schemas.openxmlformats.org/officeDocument/2006/relationships/hyperlink" Target="https://education.nsw.gov.au/teaching-and-learning/curriculum/planning-programming-and-assessing-k-12/planning-programming-and-assessing-7-12/classroom-assessment-advice-7-10-" TargetMode="External"/><Relationship Id="rId22" Type="http://schemas.openxmlformats.org/officeDocument/2006/relationships/hyperlink" Target="https://educationstandards.nsw.edu.au/wps/portal/nesa/mini-footer/copyright" TargetMode="External"/><Relationship Id="rId27" Type="http://schemas.openxmlformats.org/officeDocument/2006/relationships/hyperlink" Target="https://education.nsw.gov.au/teaching-and-learning/curriculum/planning-programming-and-assessing-k-12/advice-on-curriculum-planning-for-every-student-k-12" TargetMode="External"/><Relationship Id="rId30" Type="http://schemas.openxmlformats.org/officeDocument/2006/relationships/footer" Target="footer1.xml"/><Relationship Id="rId35" Type="http://schemas.openxmlformats.org/officeDocument/2006/relationships/image" Target="media/image2.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education.nsw.gov.au/teaching-and-learning/curriculum/planning-programming-and-assessing-k-12/planning-programming-and-assessing-7-12/inclusion-and-differentiation-advice-7-10" TargetMode="External"/><Relationship Id="rId17" Type="http://schemas.openxmlformats.org/officeDocument/2006/relationships/hyperlink" Target="https://education.nsw.gov.au/about-us/education-data-and-research/cese/publications/research-reports/what-works-best-2020-update/explicit-teaching-driving-learning-and-engagement" TargetMode="External"/><Relationship Id="rId25" Type="http://schemas.openxmlformats.org/officeDocument/2006/relationships/hyperlink" Target="https://curriculum.nsw.edu.au/learning-areas/pdhpe/child-studies-7-10-2025/overview" TargetMode="External"/><Relationship Id="rId33" Type="http://schemas.openxmlformats.org/officeDocument/2006/relationships/footer" Target="footer3.xml"/><Relationship Id="rId38"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GSM.xsl" StyleName="AGSM" Version="1"/>
</file>

<file path=customXml/itemProps1.xml><?xml version="1.0" encoding="utf-8"?>
<ds:datastoreItem xmlns:ds="http://schemas.openxmlformats.org/officeDocument/2006/customXml" ds:itemID="{D4BECBF6-7950-4BB4-99B1-6B285D1B0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1682</Words>
  <Characters>9886</Characters>
  <Application>Microsoft Office Word</Application>
  <DocSecurity>0</DocSecurity>
  <Lines>209</Lines>
  <Paragraphs>95</Paragraphs>
  <ScaleCrop>false</ScaleCrop>
  <Company/>
  <LinksUpToDate>false</LinksUpToDate>
  <CharactersWithSpaces>11483</CharactersWithSpaces>
  <SharedDoc>false</SharedDoc>
  <HLinks>
    <vt:vector size="180" baseType="variant">
      <vt:variant>
        <vt:i4>5308424</vt:i4>
      </vt:variant>
      <vt:variant>
        <vt:i4>108</vt:i4>
      </vt:variant>
      <vt:variant>
        <vt:i4>0</vt:i4>
      </vt:variant>
      <vt:variant>
        <vt:i4>5</vt:i4>
      </vt:variant>
      <vt:variant>
        <vt:lpwstr>https://creativecommons.org/licenses/by/4.0/</vt:lpwstr>
      </vt:variant>
      <vt:variant>
        <vt:lpwstr/>
      </vt:variant>
      <vt:variant>
        <vt:i4>7143518</vt:i4>
      </vt:variant>
      <vt:variant>
        <vt:i4>105</vt:i4>
      </vt:variant>
      <vt:variant>
        <vt:i4>0</vt:i4>
      </vt:variant>
      <vt:variant>
        <vt:i4>5</vt:i4>
      </vt:variant>
      <vt:variant>
        <vt:lpwstr>https://www.researchgate.net/publication/258423377_Assessment_The_bridge_between_teaching_and_learning</vt:lpwstr>
      </vt:variant>
      <vt:variant>
        <vt:lpwstr/>
      </vt:variant>
      <vt:variant>
        <vt:i4>6094915</vt:i4>
      </vt:variant>
      <vt:variant>
        <vt:i4>102</vt:i4>
      </vt:variant>
      <vt:variant>
        <vt:i4>0</vt:i4>
      </vt:variant>
      <vt:variant>
        <vt:i4>5</vt:i4>
      </vt:variant>
      <vt:variant>
        <vt:lpwstr>https://education.nsw.gov.au/teaching-and-learning/curriculum/primary/scope-and-sequences</vt:lpwstr>
      </vt:variant>
      <vt:variant>
        <vt:lpwstr/>
      </vt:variant>
      <vt:variant>
        <vt:i4>4587523</vt:i4>
      </vt:variant>
      <vt:variant>
        <vt:i4>99</vt:i4>
      </vt:variant>
      <vt:variant>
        <vt:i4>0</vt:i4>
      </vt:variant>
      <vt:variant>
        <vt:i4>5</vt:i4>
      </vt:variant>
      <vt:variant>
        <vt:lpwstr>https://www.educationstandards.nsw.edu.au/wps/portal/nesa/k-10/understanding-the-curriculum/programming/advice-on-scope-and-sequences</vt:lpwstr>
      </vt:variant>
      <vt:variant>
        <vt:lpwstr/>
      </vt:variant>
      <vt:variant>
        <vt:i4>6619261</vt:i4>
      </vt:variant>
      <vt:variant>
        <vt:i4>96</vt:i4>
      </vt:variant>
      <vt:variant>
        <vt:i4>0</vt:i4>
      </vt:variant>
      <vt:variant>
        <vt:i4>5</vt:i4>
      </vt:variant>
      <vt:variant>
        <vt:lpwstr>https://curriculum.nsw.edu.au/learning-areas/pdhpe/child-studies-7-10-2025/overview</vt:lpwstr>
      </vt:variant>
      <vt:variant>
        <vt:lpwstr/>
      </vt:variant>
      <vt:variant>
        <vt:i4>3342452</vt:i4>
      </vt:variant>
      <vt:variant>
        <vt:i4>93</vt:i4>
      </vt:variant>
      <vt:variant>
        <vt:i4>0</vt:i4>
      </vt:variant>
      <vt:variant>
        <vt:i4>5</vt:i4>
      </vt:variant>
      <vt:variant>
        <vt:lpwstr>https://curriculum.nsw.edu.au/</vt:lpwstr>
      </vt:variant>
      <vt:variant>
        <vt:lpwstr/>
      </vt:variant>
      <vt:variant>
        <vt:i4>3997797</vt:i4>
      </vt:variant>
      <vt:variant>
        <vt:i4>90</vt:i4>
      </vt:variant>
      <vt:variant>
        <vt:i4>0</vt:i4>
      </vt:variant>
      <vt:variant>
        <vt:i4>5</vt:i4>
      </vt:variant>
      <vt:variant>
        <vt:lpwstr>https://educationstandards.nsw.edu.au/</vt:lpwstr>
      </vt:variant>
      <vt:variant>
        <vt:lpwstr/>
      </vt:variant>
      <vt:variant>
        <vt:i4>2162720</vt:i4>
      </vt:variant>
      <vt:variant>
        <vt:i4>87</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84</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81</vt:i4>
      </vt:variant>
      <vt:variant>
        <vt:i4>0</vt:i4>
      </vt:variant>
      <vt:variant>
        <vt:i4>5</vt:i4>
      </vt:variant>
      <vt:variant>
        <vt:lpwstr>https://education.nsw.gov.au/policy-library/policies/pd-2016-0468</vt:lpwstr>
      </vt:variant>
      <vt:variant>
        <vt:lpwstr/>
      </vt:variant>
      <vt:variant>
        <vt:i4>2752564</vt:i4>
      </vt:variant>
      <vt:variant>
        <vt:i4>78</vt:i4>
      </vt:variant>
      <vt:variant>
        <vt:i4>0</vt:i4>
      </vt:variant>
      <vt:variant>
        <vt:i4>5</vt:i4>
      </vt:variant>
      <vt:variant>
        <vt:lpwstr>https://education.nsw.gov.au/about-us/strategies-and-reports/plan-for-nsw-public-education</vt:lpwstr>
      </vt:variant>
      <vt:variant>
        <vt:lpwstr/>
      </vt:variant>
      <vt:variant>
        <vt:i4>2031698</vt:i4>
      </vt:variant>
      <vt:variant>
        <vt:i4>75</vt:i4>
      </vt:variant>
      <vt:variant>
        <vt:i4>0</vt:i4>
      </vt:variant>
      <vt:variant>
        <vt:i4>5</vt:i4>
      </vt:variant>
      <vt:variant>
        <vt:lpwstr>https://education.nsw.gov.au/policy-library/policies/pd-2016-0468</vt:lpwstr>
      </vt:variant>
      <vt:variant>
        <vt:lpwstr/>
      </vt:variant>
      <vt:variant>
        <vt:i4>2621541</vt:i4>
      </vt:variant>
      <vt:variant>
        <vt:i4>72</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69</vt:i4>
      </vt:variant>
      <vt:variant>
        <vt:i4>0</vt:i4>
      </vt:variant>
      <vt:variant>
        <vt:i4>5</vt:i4>
      </vt:variant>
      <vt:variant>
        <vt:lpwstr>https://education.nsw.gov.au/teaching-and-learning/curriculum/explicit-teaching</vt:lpwstr>
      </vt:variant>
      <vt:variant>
        <vt:lpwstr/>
      </vt:variant>
      <vt:variant>
        <vt:i4>1376267</vt:i4>
      </vt:variant>
      <vt:variant>
        <vt:i4>66</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63</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60</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57</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54</vt:i4>
      </vt:variant>
      <vt:variant>
        <vt:i4>0</vt:i4>
      </vt:variant>
      <vt:variant>
        <vt:i4>5</vt:i4>
      </vt:variant>
      <vt:variant>
        <vt:lpwstr>https://education.nsw.gov.au/teaching-and-learning/curriculum/planning-programming-and-assessing-k-12/planning-programming-and-assessing-7-12</vt:lpwstr>
      </vt:variant>
      <vt:variant>
        <vt:lpwstr/>
      </vt:variant>
      <vt:variant>
        <vt:i4>131130</vt:i4>
      </vt:variant>
      <vt:variant>
        <vt:i4>51</vt:i4>
      </vt:variant>
      <vt:variant>
        <vt:i4>0</vt:i4>
      </vt:variant>
      <vt:variant>
        <vt:i4>5</vt:i4>
      </vt:variant>
      <vt:variant>
        <vt:lpwstr>mailto:PDHPEcurriculum@det.nsw.edu.au</vt:lpwstr>
      </vt:variant>
      <vt:variant>
        <vt:lpwstr/>
      </vt:variant>
      <vt:variant>
        <vt:i4>6619261</vt:i4>
      </vt:variant>
      <vt:variant>
        <vt:i4>48</vt:i4>
      </vt:variant>
      <vt:variant>
        <vt:i4>0</vt:i4>
      </vt:variant>
      <vt:variant>
        <vt:i4>5</vt:i4>
      </vt:variant>
      <vt:variant>
        <vt:lpwstr>https://curriculum.nsw.edu.au/learning-areas/pdhpe/child-studies-7-10-2025/overview</vt:lpwstr>
      </vt:variant>
      <vt:variant>
        <vt:lpwstr/>
      </vt:variant>
      <vt:variant>
        <vt:i4>6619261</vt:i4>
      </vt:variant>
      <vt:variant>
        <vt:i4>45</vt:i4>
      </vt:variant>
      <vt:variant>
        <vt:i4>0</vt:i4>
      </vt:variant>
      <vt:variant>
        <vt:i4>5</vt:i4>
      </vt:variant>
      <vt:variant>
        <vt:lpwstr>https://curriculum.nsw.edu.au/learning-areas/pdhpe/child-studies-7-10-2025/overview</vt:lpwstr>
      </vt:variant>
      <vt:variant>
        <vt:lpwstr/>
      </vt:variant>
      <vt:variant>
        <vt:i4>1114162</vt:i4>
      </vt:variant>
      <vt:variant>
        <vt:i4>38</vt:i4>
      </vt:variant>
      <vt:variant>
        <vt:i4>0</vt:i4>
      </vt:variant>
      <vt:variant>
        <vt:i4>5</vt:i4>
      </vt:variant>
      <vt:variant>
        <vt:lpwstr/>
      </vt:variant>
      <vt:variant>
        <vt:lpwstr>_Toc207918670</vt:lpwstr>
      </vt:variant>
      <vt:variant>
        <vt:i4>1048626</vt:i4>
      </vt:variant>
      <vt:variant>
        <vt:i4>32</vt:i4>
      </vt:variant>
      <vt:variant>
        <vt:i4>0</vt:i4>
      </vt:variant>
      <vt:variant>
        <vt:i4>5</vt:i4>
      </vt:variant>
      <vt:variant>
        <vt:lpwstr/>
      </vt:variant>
      <vt:variant>
        <vt:lpwstr>_Toc207918669</vt:lpwstr>
      </vt:variant>
      <vt:variant>
        <vt:i4>1048626</vt:i4>
      </vt:variant>
      <vt:variant>
        <vt:i4>26</vt:i4>
      </vt:variant>
      <vt:variant>
        <vt:i4>0</vt:i4>
      </vt:variant>
      <vt:variant>
        <vt:i4>5</vt:i4>
      </vt:variant>
      <vt:variant>
        <vt:lpwstr/>
      </vt:variant>
      <vt:variant>
        <vt:lpwstr>_Toc207918668</vt:lpwstr>
      </vt:variant>
      <vt:variant>
        <vt:i4>1048626</vt:i4>
      </vt:variant>
      <vt:variant>
        <vt:i4>20</vt:i4>
      </vt:variant>
      <vt:variant>
        <vt:i4>0</vt:i4>
      </vt:variant>
      <vt:variant>
        <vt:i4>5</vt:i4>
      </vt:variant>
      <vt:variant>
        <vt:lpwstr/>
      </vt:variant>
      <vt:variant>
        <vt:lpwstr>_Toc207918667</vt:lpwstr>
      </vt:variant>
      <vt:variant>
        <vt:i4>1048626</vt:i4>
      </vt:variant>
      <vt:variant>
        <vt:i4>14</vt:i4>
      </vt:variant>
      <vt:variant>
        <vt:i4>0</vt:i4>
      </vt:variant>
      <vt:variant>
        <vt:i4>5</vt:i4>
      </vt:variant>
      <vt:variant>
        <vt:lpwstr/>
      </vt:variant>
      <vt:variant>
        <vt:lpwstr>_Toc207918666</vt:lpwstr>
      </vt:variant>
      <vt:variant>
        <vt:i4>1048626</vt:i4>
      </vt:variant>
      <vt:variant>
        <vt:i4>8</vt:i4>
      </vt:variant>
      <vt:variant>
        <vt:i4>0</vt:i4>
      </vt:variant>
      <vt:variant>
        <vt:i4>5</vt:i4>
      </vt:variant>
      <vt:variant>
        <vt:lpwstr/>
      </vt:variant>
      <vt:variant>
        <vt:lpwstr>_Toc207918665</vt:lpwstr>
      </vt:variant>
      <vt:variant>
        <vt:i4>1048626</vt:i4>
      </vt:variant>
      <vt:variant>
        <vt:i4>2</vt:i4>
      </vt:variant>
      <vt:variant>
        <vt:i4>0</vt:i4>
      </vt:variant>
      <vt:variant>
        <vt:i4>5</vt:i4>
      </vt:variant>
      <vt:variant>
        <vt:lpwstr/>
      </vt:variant>
      <vt:variant>
        <vt:lpwstr>_Toc207918664</vt:lpwstr>
      </vt:variant>
      <vt:variant>
        <vt:i4>3145832</vt:i4>
      </vt:variant>
      <vt:variant>
        <vt:i4>0</vt:i4>
      </vt:variant>
      <vt:variant>
        <vt:i4>0</vt:i4>
      </vt:variant>
      <vt:variant>
        <vt:i4>5</vt:i4>
      </vt:variant>
      <vt:variant>
        <vt:lpwstr>https://education.nsw.gov.au/teaching-and-learning/curriculum/planning-programming-and-assessing-k-12/advice-on-curriculum-planning-for-every-student-k-12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Studies (Years 7–10) – sample scope and sequence - 100-hour option A</dc:title>
  <dc:subject/>
  <dc:creator>NSW Department of Education</dc:creator>
  <cp:keywords/>
  <dc:description/>
  <cp:lastModifiedBy/>
  <cp:revision>1</cp:revision>
  <dcterms:created xsi:type="dcterms:W3CDTF">2025-09-26T05:59:00Z</dcterms:created>
  <dcterms:modified xsi:type="dcterms:W3CDTF">2025-09-26T05:59:00Z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9c0fd8df-e743-4359-9e7b-bcc037b8eaee</vt:lpwstr>
  </property>
  <property fmtid="{D5CDD505-2E9C-101B-9397-08002B2CF9AE}" pid="3" name="MSIP_Label_b603dfd7-d93a-4381-a340-2995d8282205_Enabled">
    <vt:lpwstr>true</vt:lpwstr>
  </property>
  <property fmtid="{D5CDD505-2E9C-101B-9397-08002B2CF9AE}" pid="4" name="MSIP_Label_b603dfd7-d93a-4381-a340-2995d8282205_SetDate">
    <vt:lpwstr>2025-09-26T05:59:12Z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21e0db6b-c917-48d2-a27e-79de80c03255</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