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E9EB" w14:textId="77777777" w:rsidR="00CE359A" w:rsidRDefault="00C07321" w:rsidP="00CE359A">
      <w:pPr>
        <w:pStyle w:val="Title"/>
      </w:pPr>
      <w:r w:rsidRPr="35D0B27B">
        <w:t>Preliminary legal studies</w:t>
      </w:r>
    </w:p>
    <w:p w14:paraId="4D86074E" w14:textId="770D0CEF" w:rsidR="00C02F82" w:rsidRDefault="00C07321" w:rsidP="00CE359A">
      <w:pPr>
        <w:pStyle w:val="Subtitle0"/>
      </w:pPr>
      <w:r w:rsidRPr="35D0B27B">
        <w:t xml:space="preserve">Core Part </w:t>
      </w:r>
      <w:r w:rsidR="00EE3B1A">
        <w:t>3</w:t>
      </w:r>
      <w:r w:rsidRPr="35D0B27B">
        <w:t xml:space="preserve">: </w:t>
      </w:r>
      <w:r w:rsidR="00B02164">
        <w:t>L</w:t>
      </w:r>
      <w:r w:rsidR="00EE3B1A">
        <w:t>aw in practice</w:t>
      </w:r>
    </w:p>
    <w:p w14:paraId="29D32A28" w14:textId="19DF223B" w:rsidR="00C02F82" w:rsidRDefault="00C02F82" w:rsidP="00CE359A">
      <w:pPr>
        <w:pStyle w:val="Imageattributioncaption"/>
      </w:pPr>
      <w:r>
        <w:br w:type="page"/>
      </w:r>
    </w:p>
    <w:p w14:paraId="187C8BB4" w14:textId="4E333667" w:rsidR="00447B6A" w:rsidRPr="002506EE" w:rsidRDefault="00447B6A" w:rsidP="00AC48A7">
      <w:pPr>
        <w:pStyle w:val="TOCHeading"/>
      </w:pPr>
      <w:r>
        <w:lastRenderedPageBreak/>
        <w:t>Contents</w:t>
      </w:r>
    </w:p>
    <w:p w14:paraId="6849479C" w14:textId="03CF4472" w:rsidR="00CC0F34" w:rsidRDefault="0014116A">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97941724" w:history="1">
        <w:r w:rsidR="00CC0F34" w:rsidRPr="00E36FCF">
          <w:rPr>
            <w:rStyle w:val="Hyperlink"/>
          </w:rPr>
          <w:t>Overview</w:t>
        </w:r>
        <w:r w:rsidR="00CC0F34">
          <w:rPr>
            <w:webHidden/>
          </w:rPr>
          <w:tab/>
        </w:r>
        <w:r w:rsidR="00CC0F34">
          <w:rPr>
            <w:webHidden/>
          </w:rPr>
          <w:fldChar w:fldCharType="begin"/>
        </w:r>
        <w:r w:rsidR="00CC0F34">
          <w:rPr>
            <w:webHidden/>
          </w:rPr>
          <w:instrText xml:space="preserve"> PAGEREF _Toc197941724 \h </w:instrText>
        </w:r>
        <w:r w:rsidR="00CC0F34">
          <w:rPr>
            <w:webHidden/>
          </w:rPr>
        </w:r>
        <w:r w:rsidR="00CC0F34">
          <w:rPr>
            <w:webHidden/>
          </w:rPr>
          <w:fldChar w:fldCharType="separate"/>
        </w:r>
        <w:r w:rsidR="00CC0F34">
          <w:rPr>
            <w:webHidden/>
          </w:rPr>
          <w:t>2</w:t>
        </w:r>
        <w:r w:rsidR="00CC0F34">
          <w:rPr>
            <w:webHidden/>
          </w:rPr>
          <w:fldChar w:fldCharType="end"/>
        </w:r>
      </w:hyperlink>
    </w:p>
    <w:p w14:paraId="5E4D1086" w14:textId="7419A483" w:rsidR="00CC0F34" w:rsidRDefault="00CC0F34">
      <w:pPr>
        <w:pStyle w:val="TOC1"/>
        <w:rPr>
          <w:rFonts w:asciiTheme="minorHAnsi" w:eastAsia="Batang" w:hAnsiTheme="minorHAnsi" w:cstheme="minorBidi"/>
          <w:b w:val="0"/>
          <w:kern w:val="2"/>
          <w:sz w:val="24"/>
          <w:lang w:eastAsia="ko-KR"/>
          <w14:ligatures w14:val="standardContextual"/>
        </w:rPr>
      </w:pPr>
      <w:hyperlink w:anchor="_Toc197941725" w:history="1">
        <w:r w:rsidRPr="00E36FCF">
          <w:rPr>
            <w:rStyle w:val="Hyperlink"/>
          </w:rPr>
          <w:t>Outcomes</w:t>
        </w:r>
        <w:r>
          <w:rPr>
            <w:webHidden/>
          </w:rPr>
          <w:tab/>
        </w:r>
        <w:r>
          <w:rPr>
            <w:webHidden/>
          </w:rPr>
          <w:fldChar w:fldCharType="begin"/>
        </w:r>
        <w:r>
          <w:rPr>
            <w:webHidden/>
          </w:rPr>
          <w:instrText xml:space="preserve"> PAGEREF _Toc197941725 \h </w:instrText>
        </w:r>
        <w:r>
          <w:rPr>
            <w:webHidden/>
          </w:rPr>
        </w:r>
        <w:r>
          <w:rPr>
            <w:webHidden/>
          </w:rPr>
          <w:fldChar w:fldCharType="separate"/>
        </w:r>
        <w:r>
          <w:rPr>
            <w:webHidden/>
          </w:rPr>
          <w:t>3</w:t>
        </w:r>
        <w:r>
          <w:rPr>
            <w:webHidden/>
          </w:rPr>
          <w:fldChar w:fldCharType="end"/>
        </w:r>
      </w:hyperlink>
    </w:p>
    <w:p w14:paraId="4D7FD140" w14:textId="504AF331" w:rsidR="00CC0F34" w:rsidRDefault="00CC0F34">
      <w:pPr>
        <w:pStyle w:val="TOC1"/>
        <w:rPr>
          <w:rFonts w:asciiTheme="minorHAnsi" w:eastAsia="Batang" w:hAnsiTheme="minorHAnsi" w:cstheme="minorBidi"/>
          <w:b w:val="0"/>
          <w:kern w:val="2"/>
          <w:sz w:val="24"/>
          <w:lang w:eastAsia="ko-KR"/>
          <w14:ligatures w14:val="standardContextual"/>
        </w:rPr>
      </w:pPr>
      <w:hyperlink w:anchor="_Toc197941726" w:history="1">
        <w:r w:rsidRPr="00E36FCF">
          <w:rPr>
            <w:rStyle w:val="Hyperlink"/>
          </w:rPr>
          <w:t>Learning sequence 1 – experiences of Aboriginal and Torres Strait Islander peoples</w:t>
        </w:r>
        <w:r>
          <w:rPr>
            <w:webHidden/>
          </w:rPr>
          <w:tab/>
        </w:r>
        <w:r>
          <w:rPr>
            <w:webHidden/>
          </w:rPr>
          <w:fldChar w:fldCharType="begin"/>
        </w:r>
        <w:r>
          <w:rPr>
            <w:webHidden/>
          </w:rPr>
          <w:instrText xml:space="preserve"> PAGEREF _Toc197941726 \h </w:instrText>
        </w:r>
        <w:r>
          <w:rPr>
            <w:webHidden/>
          </w:rPr>
        </w:r>
        <w:r>
          <w:rPr>
            <w:webHidden/>
          </w:rPr>
          <w:fldChar w:fldCharType="separate"/>
        </w:r>
        <w:r>
          <w:rPr>
            <w:webHidden/>
          </w:rPr>
          <w:t>4</w:t>
        </w:r>
        <w:r>
          <w:rPr>
            <w:webHidden/>
          </w:rPr>
          <w:fldChar w:fldCharType="end"/>
        </w:r>
      </w:hyperlink>
    </w:p>
    <w:p w14:paraId="3B8B65A8" w14:textId="6F8F5BED" w:rsidR="00CC0F34" w:rsidRDefault="00CC0F34">
      <w:pPr>
        <w:pStyle w:val="TOC2"/>
        <w:rPr>
          <w:rFonts w:asciiTheme="minorHAnsi" w:eastAsia="Batang" w:hAnsiTheme="minorHAnsi" w:cstheme="minorBidi"/>
          <w:kern w:val="2"/>
          <w:sz w:val="24"/>
          <w:lang w:eastAsia="ko-KR"/>
          <w14:ligatures w14:val="standardContextual"/>
        </w:rPr>
      </w:pPr>
      <w:hyperlink w:anchor="_Toc197941727" w:history="1">
        <w:r w:rsidRPr="00E36FCF">
          <w:rPr>
            <w:rStyle w:val="Hyperlink"/>
          </w:rPr>
          <w:t>Syllabus content</w:t>
        </w:r>
        <w:r>
          <w:rPr>
            <w:webHidden/>
          </w:rPr>
          <w:tab/>
        </w:r>
        <w:r>
          <w:rPr>
            <w:webHidden/>
          </w:rPr>
          <w:fldChar w:fldCharType="begin"/>
        </w:r>
        <w:r>
          <w:rPr>
            <w:webHidden/>
          </w:rPr>
          <w:instrText xml:space="preserve"> PAGEREF _Toc197941727 \h </w:instrText>
        </w:r>
        <w:r>
          <w:rPr>
            <w:webHidden/>
          </w:rPr>
        </w:r>
        <w:r>
          <w:rPr>
            <w:webHidden/>
          </w:rPr>
          <w:fldChar w:fldCharType="separate"/>
        </w:r>
        <w:r>
          <w:rPr>
            <w:webHidden/>
          </w:rPr>
          <w:t>5</w:t>
        </w:r>
        <w:r>
          <w:rPr>
            <w:webHidden/>
          </w:rPr>
          <w:fldChar w:fldCharType="end"/>
        </w:r>
      </w:hyperlink>
    </w:p>
    <w:p w14:paraId="6DC7BCF7" w14:textId="71782B6A" w:rsidR="00CC0F34" w:rsidRDefault="00CC0F34">
      <w:pPr>
        <w:pStyle w:val="TOC2"/>
        <w:rPr>
          <w:rFonts w:asciiTheme="minorHAnsi" w:eastAsia="Batang" w:hAnsiTheme="minorHAnsi" w:cstheme="minorBidi"/>
          <w:kern w:val="2"/>
          <w:sz w:val="24"/>
          <w:lang w:eastAsia="ko-KR"/>
          <w14:ligatures w14:val="standardContextual"/>
        </w:rPr>
      </w:pPr>
      <w:hyperlink w:anchor="_Toc197941728" w:history="1">
        <w:r w:rsidRPr="00E36FCF">
          <w:rPr>
            <w:rStyle w:val="Hyperlink"/>
          </w:rPr>
          <w:t>Legal and non-legal issues associated with disadvantage</w:t>
        </w:r>
        <w:r>
          <w:rPr>
            <w:webHidden/>
          </w:rPr>
          <w:tab/>
        </w:r>
        <w:r>
          <w:rPr>
            <w:webHidden/>
          </w:rPr>
          <w:fldChar w:fldCharType="begin"/>
        </w:r>
        <w:r>
          <w:rPr>
            <w:webHidden/>
          </w:rPr>
          <w:instrText xml:space="preserve"> PAGEREF _Toc197941728 \h </w:instrText>
        </w:r>
        <w:r>
          <w:rPr>
            <w:webHidden/>
          </w:rPr>
        </w:r>
        <w:r>
          <w:rPr>
            <w:webHidden/>
          </w:rPr>
          <w:fldChar w:fldCharType="separate"/>
        </w:r>
        <w:r>
          <w:rPr>
            <w:webHidden/>
          </w:rPr>
          <w:t>7</w:t>
        </w:r>
        <w:r>
          <w:rPr>
            <w:webHidden/>
          </w:rPr>
          <w:fldChar w:fldCharType="end"/>
        </w:r>
      </w:hyperlink>
    </w:p>
    <w:p w14:paraId="22A92EE4" w14:textId="581FD134"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29" w:history="1">
        <w:r w:rsidRPr="00E36FCF">
          <w:rPr>
            <w:rStyle w:val="Hyperlink"/>
            <w:noProof/>
          </w:rPr>
          <w:t>Learning intentions</w:t>
        </w:r>
        <w:r>
          <w:rPr>
            <w:noProof/>
            <w:webHidden/>
          </w:rPr>
          <w:tab/>
        </w:r>
        <w:r>
          <w:rPr>
            <w:noProof/>
            <w:webHidden/>
          </w:rPr>
          <w:fldChar w:fldCharType="begin"/>
        </w:r>
        <w:r>
          <w:rPr>
            <w:noProof/>
            <w:webHidden/>
          </w:rPr>
          <w:instrText xml:space="preserve"> PAGEREF _Toc197941729 \h </w:instrText>
        </w:r>
        <w:r>
          <w:rPr>
            <w:noProof/>
            <w:webHidden/>
          </w:rPr>
        </w:r>
        <w:r>
          <w:rPr>
            <w:noProof/>
            <w:webHidden/>
          </w:rPr>
          <w:fldChar w:fldCharType="separate"/>
        </w:r>
        <w:r>
          <w:rPr>
            <w:noProof/>
            <w:webHidden/>
          </w:rPr>
          <w:t>7</w:t>
        </w:r>
        <w:r>
          <w:rPr>
            <w:noProof/>
            <w:webHidden/>
          </w:rPr>
          <w:fldChar w:fldCharType="end"/>
        </w:r>
      </w:hyperlink>
    </w:p>
    <w:p w14:paraId="4F78AEAE" w14:textId="18A0DB7B"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30" w:history="1">
        <w:r w:rsidRPr="00E36FCF">
          <w:rPr>
            <w:rStyle w:val="Hyperlink"/>
            <w:noProof/>
          </w:rPr>
          <w:t>Success criteria</w:t>
        </w:r>
        <w:r>
          <w:rPr>
            <w:noProof/>
            <w:webHidden/>
          </w:rPr>
          <w:tab/>
        </w:r>
        <w:r>
          <w:rPr>
            <w:noProof/>
            <w:webHidden/>
          </w:rPr>
          <w:fldChar w:fldCharType="begin"/>
        </w:r>
        <w:r>
          <w:rPr>
            <w:noProof/>
            <w:webHidden/>
          </w:rPr>
          <w:instrText xml:space="preserve"> PAGEREF _Toc197941730 \h </w:instrText>
        </w:r>
        <w:r>
          <w:rPr>
            <w:noProof/>
            <w:webHidden/>
          </w:rPr>
        </w:r>
        <w:r>
          <w:rPr>
            <w:noProof/>
            <w:webHidden/>
          </w:rPr>
          <w:fldChar w:fldCharType="separate"/>
        </w:r>
        <w:r>
          <w:rPr>
            <w:noProof/>
            <w:webHidden/>
          </w:rPr>
          <w:t>7</w:t>
        </w:r>
        <w:r>
          <w:rPr>
            <w:noProof/>
            <w:webHidden/>
          </w:rPr>
          <w:fldChar w:fldCharType="end"/>
        </w:r>
      </w:hyperlink>
    </w:p>
    <w:p w14:paraId="63D2187C" w14:textId="2543B904" w:rsidR="00CC0F34" w:rsidRDefault="00CC0F34">
      <w:pPr>
        <w:pStyle w:val="TOC2"/>
        <w:rPr>
          <w:rFonts w:asciiTheme="minorHAnsi" w:eastAsia="Batang" w:hAnsiTheme="minorHAnsi" w:cstheme="minorBidi"/>
          <w:kern w:val="2"/>
          <w:sz w:val="24"/>
          <w:lang w:eastAsia="ko-KR"/>
          <w14:ligatures w14:val="standardContextual"/>
        </w:rPr>
      </w:pPr>
      <w:hyperlink w:anchor="_Toc197941731" w:history="1">
        <w:r w:rsidRPr="00E36FCF">
          <w:rPr>
            <w:rStyle w:val="Hyperlink"/>
          </w:rPr>
          <w:t>Evaluating legal and non-legal responses to disadvantage</w:t>
        </w:r>
        <w:r>
          <w:rPr>
            <w:webHidden/>
          </w:rPr>
          <w:tab/>
        </w:r>
        <w:r>
          <w:rPr>
            <w:webHidden/>
          </w:rPr>
          <w:fldChar w:fldCharType="begin"/>
        </w:r>
        <w:r>
          <w:rPr>
            <w:webHidden/>
          </w:rPr>
          <w:instrText xml:space="preserve"> PAGEREF _Toc197941731 \h </w:instrText>
        </w:r>
        <w:r>
          <w:rPr>
            <w:webHidden/>
          </w:rPr>
        </w:r>
        <w:r>
          <w:rPr>
            <w:webHidden/>
          </w:rPr>
          <w:fldChar w:fldCharType="separate"/>
        </w:r>
        <w:r>
          <w:rPr>
            <w:webHidden/>
          </w:rPr>
          <w:t>19</w:t>
        </w:r>
        <w:r>
          <w:rPr>
            <w:webHidden/>
          </w:rPr>
          <w:fldChar w:fldCharType="end"/>
        </w:r>
      </w:hyperlink>
    </w:p>
    <w:p w14:paraId="0E022DA2" w14:textId="25AE4ED5"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32" w:history="1">
        <w:r w:rsidRPr="00E36FCF">
          <w:rPr>
            <w:rStyle w:val="Hyperlink"/>
            <w:noProof/>
          </w:rPr>
          <w:t>Learning intentions</w:t>
        </w:r>
        <w:r>
          <w:rPr>
            <w:noProof/>
            <w:webHidden/>
          </w:rPr>
          <w:tab/>
        </w:r>
        <w:r>
          <w:rPr>
            <w:noProof/>
            <w:webHidden/>
          </w:rPr>
          <w:fldChar w:fldCharType="begin"/>
        </w:r>
        <w:r>
          <w:rPr>
            <w:noProof/>
            <w:webHidden/>
          </w:rPr>
          <w:instrText xml:space="preserve"> PAGEREF _Toc197941732 \h </w:instrText>
        </w:r>
        <w:r>
          <w:rPr>
            <w:noProof/>
            <w:webHidden/>
          </w:rPr>
        </w:r>
        <w:r>
          <w:rPr>
            <w:noProof/>
            <w:webHidden/>
          </w:rPr>
          <w:fldChar w:fldCharType="separate"/>
        </w:r>
        <w:r>
          <w:rPr>
            <w:noProof/>
            <w:webHidden/>
          </w:rPr>
          <w:t>19</w:t>
        </w:r>
        <w:r>
          <w:rPr>
            <w:noProof/>
            <w:webHidden/>
          </w:rPr>
          <w:fldChar w:fldCharType="end"/>
        </w:r>
      </w:hyperlink>
    </w:p>
    <w:p w14:paraId="049D5880" w14:textId="3287F72B"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33" w:history="1">
        <w:r w:rsidRPr="00E36FCF">
          <w:rPr>
            <w:rStyle w:val="Hyperlink"/>
            <w:noProof/>
          </w:rPr>
          <w:t>Success criteria</w:t>
        </w:r>
        <w:r>
          <w:rPr>
            <w:noProof/>
            <w:webHidden/>
          </w:rPr>
          <w:tab/>
        </w:r>
        <w:r>
          <w:rPr>
            <w:noProof/>
            <w:webHidden/>
          </w:rPr>
          <w:fldChar w:fldCharType="begin"/>
        </w:r>
        <w:r>
          <w:rPr>
            <w:noProof/>
            <w:webHidden/>
          </w:rPr>
          <w:instrText xml:space="preserve"> PAGEREF _Toc197941733 \h </w:instrText>
        </w:r>
        <w:r>
          <w:rPr>
            <w:noProof/>
            <w:webHidden/>
          </w:rPr>
        </w:r>
        <w:r>
          <w:rPr>
            <w:noProof/>
            <w:webHidden/>
          </w:rPr>
          <w:fldChar w:fldCharType="separate"/>
        </w:r>
        <w:r>
          <w:rPr>
            <w:noProof/>
            <w:webHidden/>
          </w:rPr>
          <w:t>19</w:t>
        </w:r>
        <w:r>
          <w:rPr>
            <w:noProof/>
            <w:webHidden/>
          </w:rPr>
          <w:fldChar w:fldCharType="end"/>
        </w:r>
      </w:hyperlink>
    </w:p>
    <w:p w14:paraId="2358E644" w14:textId="63F90930" w:rsidR="00CC0F34" w:rsidRDefault="00CC0F34">
      <w:pPr>
        <w:pStyle w:val="TOC1"/>
        <w:rPr>
          <w:rFonts w:asciiTheme="minorHAnsi" w:eastAsia="Batang" w:hAnsiTheme="minorHAnsi" w:cstheme="minorBidi"/>
          <w:b w:val="0"/>
          <w:kern w:val="2"/>
          <w:sz w:val="24"/>
          <w:lang w:eastAsia="ko-KR"/>
          <w14:ligatures w14:val="standardContextual"/>
        </w:rPr>
      </w:pPr>
      <w:hyperlink w:anchor="_Toc197941734" w:history="1">
        <w:r w:rsidRPr="00E36FCF">
          <w:rPr>
            <w:rStyle w:val="Hyperlink"/>
          </w:rPr>
          <w:t>Learning sequence 2 – groups or individuals suffering disadvantage</w:t>
        </w:r>
        <w:r>
          <w:rPr>
            <w:webHidden/>
          </w:rPr>
          <w:tab/>
        </w:r>
        <w:r>
          <w:rPr>
            <w:webHidden/>
          </w:rPr>
          <w:fldChar w:fldCharType="begin"/>
        </w:r>
        <w:r>
          <w:rPr>
            <w:webHidden/>
          </w:rPr>
          <w:instrText xml:space="preserve"> PAGEREF _Toc197941734 \h </w:instrText>
        </w:r>
        <w:r>
          <w:rPr>
            <w:webHidden/>
          </w:rPr>
        </w:r>
        <w:r>
          <w:rPr>
            <w:webHidden/>
          </w:rPr>
          <w:fldChar w:fldCharType="separate"/>
        </w:r>
        <w:r>
          <w:rPr>
            <w:webHidden/>
          </w:rPr>
          <w:t>24</w:t>
        </w:r>
        <w:r>
          <w:rPr>
            <w:webHidden/>
          </w:rPr>
          <w:fldChar w:fldCharType="end"/>
        </w:r>
      </w:hyperlink>
    </w:p>
    <w:p w14:paraId="24868849" w14:textId="3ADFECF1" w:rsidR="00CC0F34" w:rsidRDefault="00CC0F34">
      <w:pPr>
        <w:pStyle w:val="TOC2"/>
        <w:rPr>
          <w:rFonts w:asciiTheme="minorHAnsi" w:eastAsia="Batang" w:hAnsiTheme="minorHAnsi" w:cstheme="minorBidi"/>
          <w:kern w:val="2"/>
          <w:sz w:val="24"/>
          <w:lang w:eastAsia="ko-KR"/>
          <w14:ligatures w14:val="standardContextual"/>
        </w:rPr>
      </w:pPr>
      <w:hyperlink w:anchor="_Toc197941735" w:history="1">
        <w:r w:rsidRPr="00E36FCF">
          <w:rPr>
            <w:rStyle w:val="Hyperlink"/>
          </w:rPr>
          <w:t>Syllabus content</w:t>
        </w:r>
        <w:r>
          <w:rPr>
            <w:webHidden/>
          </w:rPr>
          <w:tab/>
        </w:r>
        <w:r>
          <w:rPr>
            <w:webHidden/>
          </w:rPr>
          <w:fldChar w:fldCharType="begin"/>
        </w:r>
        <w:r>
          <w:rPr>
            <w:webHidden/>
          </w:rPr>
          <w:instrText xml:space="preserve"> PAGEREF _Toc197941735 \h </w:instrText>
        </w:r>
        <w:r>
          <w:rPr>
            <w:webHidden/>
          </w:rPr>
        </w:r>
        <w:r>
          <w:rPr>
            <w:webHidden/>
          </w:rPr>
          <w:fldChar w:fldCharType="separate"/>
        </w:r>
        <w:r>
          <w:rPr>
            <w:webHidden/>
          </w:rPr>
          <w:t>25</w:t>
        </w:r>
        <w:r>
          <w:rPr>
            <w:webHidden/>
          </w:rPr>
          <w:fldChar w:fldCharType="end"/>
        </w:r>
      </w:hyperlink>
    </w:p>
    <w:p w14:paraId="58271A3B" w14:textId="0FD499CD" w:rsidR="00CC0F34" w:rsidRDefault="00CC0F34">
      <w:pPr>
        <w:pStyle w:val="TOC2"/>
        <w:rPr>
          <w:rFonts w:asciiTheme="minorHAnsi" w:eastAsia="Batang" w:hAnsiTheme="minorHAnsi" w:cstheme="minorBidi"/>
          <w:kern w:val="2"/>
          <w:sz w:val="24"/>
          <w:lang w:eastAsia="ko-KR"/>
          <w14:ligatures w14:val="standardContextual"/>
        </w:rPr>
      </w:pPr>
      <w:hyperlink w:anchor="_Toc197941736" w:history="1">
        <w:r w:rsidRPr="00E36FCF">
          <w:rPr>
            <w:rStyle w:val="Hyperlink"/>
          </w:rPr>
          <w:t>Groups or individuals suffering disadvantage</w:t>
        </w:r>
        <w:r>
          <w:rPr>
            <w:webHidden/>
          </w:rPr>
          <w:tab/>
        </w:r>
        <w:r>
          <w:rPr>
            <w:webHidden/>
          </w:rPr>
          <w:fldChar w:fldCharType="begin"/>
        </w:r>
        <w:r>
          <w:rPr>
            <w:webHidden/>
          </w:rPr>
          <w:instrText xml:space="preserve"> PAGEREF _Toc197941736 \h </w:instrText>
        </w:r>
        <w:r>
          <w:rPr>
            <w:webHidden/>
          </w:rPr>
        </w:r>
        <w:r>
          <w:rPr>
            <w:webHidden/>
          </w:rPr>
          <w:fldChar w:fldCharType="separate"/>
        </w:r>
        <w:r>
          <w:rPr>
            <w:webHidden/>
          </w:rPr>
          <w:t>27</w:t>
        </w:r>
        <w:r>
          <w:rPr>
            <w:webHidden/>
          </w:rPr>
          <w:fldChar w:fldCharType="end"/>
        </w:r>
      </w:hyperlink>
    </w:p>
    <w:p w14:paraId="6F262EBC" w14:textId="35BB72A7"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37" w:history="1">
        <w:r w:rsidRPr="00E36FCF">
          <w:rPr>
            <w:rStyle w:val="Hyperlink"/>
            <w:noProof/>
          </w:rPr>
          <w:t>Learning intentions</w:t>
        </w:r>
        <w:r>
          <w:rPr>
            <w:noProof/>
            <w:webHidden/>
          </w:rPr>
          <w:tab/>
        </w:r>
        <w:r>
          <w:rPr>
            <w:noProof/>
            <w:webHidden/>
          </w:rPr>
          <w:fldChar w:fldCharType="begin"/>
        </w:r>
        <w:r>
          <w:rPr>
            <w:noProof/>
            <w:webHidden/>
          </w:rPr>
          <w:instrText xml:space="preserve"> PAGEREF _Toc197941737 \h </w:instrText>
        </w:r>
        <w:r>
          <w:rPr>
            <w:noProof/>
            <w:webHidden/>
          </w:rPr>
        </w:r>
        <w:r>
          <w:rPr>
            <w:noProof/>
            <w:webHidden/>
          </w:rPr>
          <w:fldChar w:fldCharType="separate"/>
        </w:r>
        <w:r>
          <w:rPr>
            <w:noProof/>
            <w:webHidden/>
          </w:rPr>
          <w:t>27</w:t>
        </w:r>
        <w:r>
          <w:rPr>
            <w:noProof/>
            <w:webHidden/>
          </w:rPr>
          <w:fldChar w:fldCharType="end"/>
        </w:r>
      </w:hyperlink>
    </w:p>
    <w:p w14:paraId="26DBD251" w14:textId="4D0AA9F9" w:rsidR="00CC0F34" w:rsidRDefault="00CC0F3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97941738" w:history="1">
        <w:r w:rsidRPr="00E36FCF">
          <w:rPr>
            <w:rStyle w:val="Hyperlink"/>
            <w:noProof/>
          </w:rPr>
          <w:t>Success criteria</w:t>
        </w:r>
        <w:r>
          <w:rPr>
            <w:noProof/>
            <w:webHidden/>
          </w:rPr>
          <w:tab/>
        </w:r>
        <w:r>
          <w:rPr>
            <w:noProof/>
            <w:webHidden/>
          </w:rPr>
          <w:fldChar w:fldCharType="begin"/>
        </w:r>
        <w:r>
          <w:rPr>
            <w:noProof/>
            <w:webHidden/>
          </w:rPr>
          <w:instrText xml:space="preserve"> PAGEREF _Toc197941738 \h </w:instrText>
        </w:r>
        <w:r>
          <w:rPr>
            <w:noProof/>
            <w:webHidden/>
          </w:rPr>
        </w:r>
        <w:r>
          <w:rPr>
            <w:noProof/>
            <w:webHidden/>
          </w:rPr>
          <w:fldChar w:fldCharType="separate"/>
        </w:r>
        <w:r>
          <w:rPr>
            <w:noProof/>
            <w:webHidden/>
          </w:rPr>
          <w:t>27</w:t>
        </w:r>
        <w:r>
          <w:rPr>
            <w:noProof/>
            <w:webHidden/>
          </w:rPr>
          <w:fldChar w:fldCharType="end"/>
        </w:r>
      </w:hyperlink>
    </w:p>
    <w:p w14:paraId="5A20362E" w14:textId="271E6489" w:rsidR="00CC0F34" w:rsidRDefault="00CC0F34">
      <w:pPr>
        <w:pStyle w:val="TOC1"/>
        <w:rPr>
          <w:rFonts w:asciiTheme="minorHAnsi" w:eastAsia="Batang" w:hAnsiTheme="minorHAnsi" w:cstheme="minorBidi"/>
          <w:b w:val="0"/>
          <w:kern w:val="2"/>
          <w:sz w:val="24"/>
          <w:lang w:eastAsia="ko-KR"/>
          <w14:ligatures w14:val="standardContextual"/>
        </w:rPr>
      </w:pPr>
      <w:hyperlink w:anchor="_Toc197941739" w:history="1">
        <w:r w:rsidRPr="00E36FCF">
          <w:rPr>
            <w:rStyle w:val="Hyperlink"/>
          </w:rPr>
          <w:t>Additional information</w:t>
        </w:r>
        <w:r>
          <w:rPr>
            <w:webHidden/>
          </w:rPr>
          <w:tab/>
        </w:r>
        <w:r>
          <w:rPr>
            <w:webHidden/>
          </w:rPr>
          <w:fldChar w:fldCharType="begin"/>
        </w:r>
        <w:r>
          <w:rPr>
            <w:webHidden/>
          </w:rPr>
          <w:instrText xml:space="preserve"> PAGEREF _Toc197941739 \h </w:instrText>
        </w:r>
        <w:r>
          <w:rPr>
            <w:webHidden/>
          </w:rPr>
        </w:r>
        <w:r>
          <w:rPr>
            <w:webHidden/>
          </w:rPr>
          <w:fldChar w:fldCharType="separate"/>
        </w:r>
        <w:r>
          <w:rPr>
            <w:webHidden/>
          </w:rPr>
          <w:t>37</w:t>
        </w:r>
        <w:r>
          <w:rPr>
            <w:webHidden/>
          </w:rPr>
          <w:fldChar w:fldCharType="end"/>
        </w:r>
      </w:hyperlink>
    </w:p>
    <w:p w14:paraId="20CB6ADD" w14:textId="1168883C" w:rsidR="00CC0F34" w:rsidRDefault="00CC0F34">
      <w:pPr>
        <w:pStyle w:val="TOC2"/>
        <w:rPr>
          <w:rFonts w:asciiTheme="minorHAnsi" w:eastAsia="Batang" w:hAnsiTheme="minorHAnsi" w:cstheme="minorBidi"/>
          <w:kern w:val="2"/>
          <w:sz w:val="24"/>
          <w:lang w:eastAsia="ko-KR"/>
          <w14:ligatures w14:val="standardContextual"/>
        </w:rPr>
      </w:pPr>
      <w:hyperlink w:anchor="_Toc197941740" w:history="1">
        <w:r w:rsidRPr="00E36FCF">
          <w:rPr>
            <w:rStyle w:val="Hyperlink"/>
          </w:rPr>
          <w:t>Support and alignment</w:t>
        </w:r>
        <w:r>
          <w:rPr>
            <w:webHidden/>
          </w:rPr>
          <w:tab/>
        </w:r>
        <w:r>
          <w:rPr>
            <w:webHidden/>
          </w:rPr>
          <w:fldChar w:fldCharType="begin"/>
        </w:r>
        <w:r>
          <w:rPr>
            <w:webHidden/>
          </w:rPr>
          <w:instrText xml:space="preserve"> PAGEREF _Toc197941740 \h </w:instrText>
        </w:r>
        <w:r>
          <w:rPr>
            <w:webHidden/>
          </w:rPr>
        </w:r>
        <w:r>
          <w:rPr>
            <w:webHidden/>
          </w:rPr>
          <w:fldChar w:fldCharType="separate"/>
        </w:r>
        <w:r>
          <w:rPr>
            <w:webHidden/>
          </w:rPr>
          <w:t>37</w:t>
        </w:r>
        <w:r>
          <w:rPr>
            <w:webHidden/>
          </w:rPr>
          <w:fldChar w:fldCharType="end"/>
        </w:r>
      </w:hyperlink>
    </w:p>
    <w:p w14:paraId="36CF6632" w14:textId="0D6ED53E" w:rsidR="00CC0F34" w:rsidRDefault="00CC0F34">
      <w:pPr>
        <w:pStyle w:val="TOC1"/>
        <w:rPr>
          <w:rFonts w:asciiTheme="minorHAnsi" w:eastAsia="Batang" w:hAnsiTheme="minorHAnsi" w:cstheme="minorBidi"/>
          <w:b w:val="0"/>
          <w:kern w:val="2"/>
          <w:sz w:val="24"/>
          <w:lang w:eastAsia="ko-KR"/>
          <w14:ligatures w14:val="standardContextual"/>
        </w:rPr>
      </w:pPr>
      <w:hyperlink w:anchor="_Toc197941741" w:history="1">
        <w:r w:rsidRPr="00E36FCF">
          <w:rPr>
            <w:rStyle w:val="Hyperlink"/>
          </w:rPr>
          <w:t>References</w:t>
        </w:r>
        <w:r>
          <w:rPr>
            <w:webHidden/>
          </w:rPr>
          <w:tab/>
        </w:r>
        <w:r>
          <w:rPr>
            <w:webHidden/>
          </w:rPr>
          <w:fldChar w:fldCharType="begin"/>
        </w:r>
        <w:r>
          <w:rPr>
            <w:webHidden/>
          </w:rPr>
          <w:instrText xml:space="preserve"> PAGEREF _Toc197941741 \h </w:instrText>
        </w:r>
        <w:r>
          <w:rPr>
            <w:webHidden/>
          </w:rPr>
        </w:r>
        <w:r>
          <w:rPr>
            <w:webHidden/>
          </w:rPr>
          <w:fldChar w:fldCharType="separate"/>
        </w:r>
        <w:r>
          <w:rPr>
            <w:webHidden/>
          </w:rPr>
          <w:t>39</w:t>
        </w:r>
        <w:r>
          <w:rPr>
            <w:webHidden/>
          </w:rPr>
          <w:fldChar w:fldCharType="end"/>
        </w:r>
      </w:hyperlink>
    </w:p>
    <w:p w14:paraId="25050CCF" w14:textId="4D9051B2" w:rsidR="00C02F82" w:rsidRDefault="0014116A" w:rsidP="00447ADE">
      <w:pPr>
        <w:pStyle w:val="FeatureBox2"/>
      </w:pPr>
      <w: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suggested timeframes that may need to be adjusted by the teacher to meet the needs of their students.</w:t>
      </w:r>
    </w:p>
    <w:p w14:paraId="3B668641" w14:textId="77777777" w:rsidR="00C02F82" w:rsidRDefault="00C02F82" w:rsidP="009F1091">
      <w:r>
        <w:br w:type="page"/>
      </w:r>
    </w:p>
    <w:p w14:paraId="5058C3D1" w14:textId="77777777" w:rsidR="00C02F82" w:rsidRPr="0014116A" w:rsidRDefault="54F41CBD" w:rsidP="0014116A">
      <w:pPr>
        <w:pStyle w:val="Heading1"/>
      </w:pPr>
      <w:bookmarkStart w:id="0" w:name="_Toc112681289"/>
      <w:bookmarkStart w:id="1" w:name="_Toc197941724"/>
      <w:r w:rsidRPr="0014116A">
        <w:lastRenderedPageBreak/>
        <w:t>Overview</w:t>
      </w:r>
      <w:bookmarkEnd w:id="0"/>
      <w:bookmarkEnd w:id="1"/>
    </w:p>
    <w:p w14:paraId="2212AD13" w14:textId="5E0857E8" w:rsidR="00DB2D99" w:rsidRDefault="00C02F82" w:rsidP="00DB2D99">
      <w:pPr>
        <w:rPr>
          <w:noProof/>
        </w:rPr>
      </w:pPr>
      <w:r w:rsidRPr="6473D810">
        <w:rPr>
          <w:rStyle w:val="Strong"/>
        </w:rPr>
        <w:t>Description</w:t>
      </w:r>
      <w:r w:rsidRPr="00E90944">
        <w:rPr>
          <w:rStyle w:val="Strong"/>
          <w:b w:val="0"/>
          <w:bCs w:val="0"/>
        </w:rPr>
        <w:t>:</w:t>
      </w:r>
      <w:r w:rsidRPr="6473D810">
        <w:rPr>
          <w:noProof/>
        </w:rPr>
        <w:t xml:space="preserve"> </w:t>
      </w:r>
      <w:r w:rsidR="00EE0EFE">
        <w:rPr>
          <w:noProof/>
        </w:rPr>
        <w:t>t</w:t>
      </w:r>
      <w:r w:rsidRPr="6473D810">
        <w:rPr>
          <w:noProof/>
        </w:rPr>
        <w:t xml:space="preserve">his </w:t>
      </w:r>
      <w:r w:rsidR="007A3800" w:rsidRPr="6473D810">
        <w:rPr>
          <w:noProof/>
        </w:rPr>
        <w:t xml:space="preserve">learning sequence </w:t>
      </w:r>
      <w:r w:rsidRPr="6473D810">
        <w:rPr>
          <w:noProof/>
        </w:rPr>
        <w:t>addresses</w:t>
      </w:r>
      <w:r w:rsidR="7157EABE" w:rsidRPr="6473D810">
        <w:rPr>
          <w:noProof/>
        </w:rPr>
        <w:t xml:space="preserve"> </w:t>
      </w:r>
      <w:r w:rsidR="006C5C1F">
        <w:rPr>
          <w:noProof/>
        </w:rPr>
        <w:t>Core Part 3: L</w:t>
      </w:r>
      <w:r w:rsidR="00EE3B1A">
        <w:rPr>
          <w:noProof/>
        </w:rPr>
        <w:t>aw</w:t>
      </w:r>
      <w:r w:rsidR="00B77178">
        <w:rPr>
          <w:noProof/>
        </w:rPr>
        <w:t xml:space="preserve"> in practice</w:t>
      </w:r>
      <w:r w:rsidR="00EE3B1A">
        <w:rPr>
          <w:noProof/>
        </w:rPr>
        <w:t xml:space="preserve"> through examples and case studies</w:t>
      </w:r>
      <w:r w:rsidR="003C74D9">
        <w:rPr>
          <w:noProof/>
        </w:rPr>
        <w:t xml:space="preserve">. </w:t>
      </w:r>
      <w:r w:rsidRPr="6473D810">
        <w:rPr>
          <w:noProof/>
        </w:rPr>
        <w:t xml:space="preserve">The lessons and sequences in this program of learning are designed to allow students to </w:t>
      </w:r>
      <w:r w:rsidR="00DB2D99" w:rsidRPr="6473D810">
        <w:rPr>
          <w:noProof/>
        </w:rPr>
        <w:t xml:space="preserve">develop an understanding of the nature and functions of law </w:t>
      </w:r>
      <w:r w:rsidR="00EE3B1A">
        <w:rPr>
          <w:noProof/>
        </w:rPr>
        <w:t>b</w:t>
      </w:r>
      <w:r w:rsidR="00B77178">
        <w:rPr>
          <w:noProof/>
        </w:rPr>
        <w:t>y</w:t>
      </w:r>
      <w:r w:rsidR="00EE3B1A">
        <w:rPr>
          <w:noProof/>
        </w:rPr>
        <w:t xml:space="preserve"> engaging with contemporary examples of legal practice and processes</w:t>
      </w:r>
      <w:r w:rsidR="00DC0E6C">
        <w:rPr>
          <w:noProof/>
        </w:rPr>
        <w:t>.</w:t>
      </w:r>
      <w:r w:rsidR="00FE74EA">
        <w:rPr>
          <w:noProof/>
        </w:rPr>
        <w:t xml:space="preserve"> </w:t>
      </w:r>
      <w:r w:rsidR="00C96A08">
        <w:rPr>
          <w:noProof/>
        </w:rPr>
        <w:t>Throughout the sequence, student</w:t>
      </w:r>
      <w:r w:rsidR="00B333C5">
        <w:rPr>
          <w:noProof/>
        </w:rPr>
        <w:t>s</w:t>
      </w:r>
      <w:r w:rsidR="00860620">
        <w:rPr>
          <w:noProof/>
        </w:rPr>
        <w:t xml:space="preserve"> learn to make arguments with</w:t>
      </w:r>
      <w:r w:rsidR="00FE74EA" w:rsidRPr="00FE74EA">
        <w:rPr>
          <w:noProof/>
        </w:rPr>
        <w:t xml:space="preserve"> refer</w:t>
      </w:r>
      <w:r w:rsidR="00860620">
        <w:rPr>
          <w:noProof/>
        </w:rPr>
        <w:t>ence</w:t>
      </w:r>
      <w:r w:rsidR="00FE74EA" w:rsidRPr="00FE74EA">
        <w:rPr>
          <w:noProof/>
        </w:rPr>
        <w:t xml:space="preserve"> to legal and non-legal institutions, laws and media reports. </w:t>
      </w:r>
      <w:r w:rsidR="00472416" w:rsidRPr="6473D810">
        <w:rPr>
          <w:noProof/>
        </w:rPr>
        <w:t>Students</w:t>
      </w:r>
      <w:r w:rsidR="00860620">
        <w:rPr>
          <w:noProof/>
        </w:rPr>
        <w:t xml:space="preserve"> also</w:t>
      </w:r>
      <w:r w:rsidR="00472416" w:rsidRPr="6473D810">
        <w:rPr>
          <w:noProof/>
        </w:rPr>
        <w:t xml:space="preserve"> engage with</w:t>
      </w:r>
      <w:r w:rsidR="00DB2D99" w:rsidRPr="6473D810">
        <w:rPr>
          <w:noProof/>
        </w:rPr>
        <w:t xml:space="preserve"> the </w:t>
      </w:r>
      <w:r w:rsidR="00472416" w:rsidRPr="6473D810">
        <w:rPr>
          <w:noProof/>
        </w:rPr>
        <w:t xml:space="preserve">following </w:t>
      </w:r>
      <w:r w:rsidR="00DB2D99" w:rsidRPr="6473D810">
        <w:rPr>
          <w:noProof/>
        </w:rPr>
        <w:t>themes and challenges</w:t>
      </w:r>
      <w:r w:rsidR="00472416" w:rsidRPr="6473D810">
        <w:rPr>
          <w:noProof/>
        </w:rPr>
        <w:t>:</w:t>
      </w:r>
    </w:p>
    <w:p w14:paraId="405281DE" w14:textId="77777777" w:rsidR="00B77178" w:rsidRDefault="00B77178" w:rsidP="00B77178">
      <w:pPr>
        <w:pStyle w:val="ListBullet"/>
        <w:rPr>
          <w:noProof/>
        </w:rPr>
      </w:pPr>
      <w:r w:rsidRPr="00B77178">
        <w:rPr>
          <w:noProof/>
        </w:rPr>
        <w:t>the relationship between justice, law and society</w:t>
      </w:r>
    </w:p>
    <w:p w14:paraId="4047C29D" w14:textId="77777777" w:rsidR="00B77178" w:rsidRDefault="00B77178" w:rsidP="00B77178">
      <w:pPr>
        <w:pStyle w:val="ListBullet"/>
        <w:rPr>
          <w:noProof/>
        </w:rPr>
      </w:pPr>
      <w:r w:rsidRPr="00B77178">
        <w:rPr>
          <w:noProof/>
        </w:rPr>
        <w:t>the development and reform of law as a reflection of society</w:t>
      </w:r>
    </w:p>
    <w:p w14:paraId="6C30C916" w14:textId="77777777" w:rsidR="00B77178" w:rsidRDefault="00B77178" w:rsidP="00B77178">
      <w:pPr>
        <w:pStyle w:val="ListBullet"/>
        <w:rPr>
          <w:noProof/>
        </w:rPr>
      </w:pPr>
      <w:r w:rsidRPr="00B77178">
        <w:rPr>
          <w:noProof/>
        </w:rPr>
        <w:t>the importance of the rule of law</w:t>
      </w:r>
    </w:p>
    <w:p w14:paraId="401B87DA" w14:textId="77777777" w:rsidR="00B77178" w:rsidRDefault="00B77178" w:rsidP="00B77178">
      <w:pPr>
        <w:pStyle w:val="ListBullet"/>
        <w:rPr>
          <w:noProof/>
        </w:rPr>
      </w:pPr>
      <w:r w:rsidRPr="00B77178">
        <w:rPr>
          <w:noProof/>
        </w:rPr>
        <w:t>the responsiveness of the legal system in dealing with issues</w:t>
      </w:r>
    </w:p>
    <w:p w14:paraId="3AB6B875" w14:textId="06EA83CA" w:rsidR="00FE74EA" w:rsidRPr="00B77178" w:rsidRDefault="00B77178" w:rsidP="00B77178">
      <w:pPr>
        <w:pStyle w:val="ListBullet"/>
        <w:rPr>
          <w:noProof/>
        </w:rPr>
      </w:pPr>
      <w:r w:rsidRPr="00B77178">
        <w:rPr>
          <w:noProof/>
        </w:rPr>
        <w:t>the effectiveness of legal and non-legal mechanisms in achieving justice for individuals and society.</w:t>
      </w:r>
    </w:p>
    <w:p w14:paraId="38827837" w14:textId="58E0A414" w:rsidR="4AE4468F" w:rsidRPr="002C732F" w:rsidRDefault="54F41CBD" w:rsidP="002C732F">
      <w:pPr>
        <w:pStyle w:val="ListBullet"/>
        <w:numPr>
          <w:ilvl w:val="0"/>
          <w:numId w:val="0"/>
        </w:numPr>
        <w:rPr>
          <w:rFonts w:eastAsia="Arial"/>
          <w:noProof/>
        </w:rPr>
      </w:pPr>
      <w:r w:rsidRPr="7FEC8B66">
        <w:rPr>
          <w:rStyle w:val="Strong"/>
        </w:rPr>
        <w:t>Duration</w:t>
      </w:r>
      <w:r w:rsidRPr="00E90944">
        <w:rPr>
          <w:rStyle w:val="Strong"/>
          <w:b w:val="0"/>
          <w:bCs w:val="0"/>
        </w:rPr>
        <w:t>:</w:t>
      </w:r>
      <w:r w:rsidRPr="7FEC8B66">
        <w:rPr>
          <w:noProof/>
        </w:rPr>
        <w:t xml:space="preserve"> </w:t>
      </w:r>
      <w:r w:rsidR="00D63421">
        <w:rPr>
          <w:noProof/>
        </w:rPr>
        <w:t>t</w:t>
      </w:r>
      <w:r w:rsidRPr="7FEC8B66">
        <w:rPr>
          <w:noProof/>
        </w:rPr>
        <w:t>his program of learning is designed to be completed in approximately</w:t>
      </w:r>
      <w:r w:rsidR="544B91E8" w:rsidRPr="7FEC8B66">
        <w:rPr>
          <w:noProof/>
        </w:rPr>
        <w:t xml:space="preserve"> </w:t>
      </w:r>
      <w:r w:rsidR="00FE74EA">
        <w:rPr>
          <w:noProof/>
        </w:rPr>
        <w:t>30</w:t>
      </w:r>
      <w:r w:rsidRPr="7FEC8B66">
        <w:rPr>
          <w:noProof/>
        </w:rPr>
        <w:t xml:space="preserve"> hours.</w:t>
      </w:r>
      <w:r w:rsidR="73396D33" w:rsidRPr="7FEC8B66">
        <w:rPr>
          <w:noProof/>
        </w:rPr>
        <w:t xml:space="preserve"> </w:t>
      </w:r>
      <w:r w:rsidR="00377ECF">
        <w:rPr>
          <w:noProof/>
        </w:rPr>
        <w:t>Students learning English as an additional language or dialect (</w:t>
      </w:r>
      <w:r w:rsidR="73396D33">
        <w:t>EAL/D</w:t>
      </w:r>
      <w:r w:rsidR="00377ECF">
        <w:t>)</w:t>
      </w:r>
      <w:r w:rsidR="73396D33">
        <w:t xml:space="preserve"> may need additional time to be able to learn, practise and consolidate new language, knowledge and skills.</w:t>
      </w:r>
    </w:p>
    <w:p w14:paraId="23DE83DC" w14:textId="164051DD" w:rsidR="002C732F" w:rsidRDefault="005E3374" w:rsidP="002C732F">
      <w:pPr>
        <w:pStyle w:val="FeatureBox2"/>
      </w:pPr>
      <w:r w:rsidRPr="00F862C4">
        <w:rPr>
          <w:b/>
          <w:bCs/>
        </w:rPr>
        <w:t>Note</w:t>
      </w:r>
      <w:r>
        <w:t xml:space="preserve">: </w:t>
      </w:r>
      <w:proofErr w:type="gramStart"/>
      <w:r>
        <w:t>t</w:t>
      </w:r>
      <w:r w:rsidR="002C732F" w:rsidRPr="002C732F">
        <w:t>he</w:t>
      </w:r>
      <w:proofErr w:type="gramEnd"/>
      <w:r w:rsidR="002C732F" w:rsidRPr="002C732F">
        <w:t xml:space="preserve"> Law in </w:t>
      </w:r>
      <w:r>
        <w:t>p</w:t>
      </w:r>
      <w:r w:rsidR="002C732F" w:rsidRPr="002C732F">
        <w:t xml:space="preserve">ractice unit is designed to provide opportunities for students to deepen their understanding of the principles of law covered in Part </w:t>
      </w:r>
      <w:r>
        <w:t>1</w:t>
      </w:r>
      <w:r w:rsidR="002C732F" w:rsidRPr="002C732F">
        <w:t xml:space="preserve"> and Part </w:t>
      </w:r>
      <w:r>
        <w:t>2</w:t>
      </w:r>
      <w:r w:rsidR="002C732F" w:rsidRPr="002C732F">
        <w:t xml:space="preserve"> of the Preliminary course. Students will develop the research, analytical and communication skills that underpin the process of investigation. At least TWO contemporary issues should be studied. Students should synthesise information from a range of sources, including cases, legislation, the media and international instruments, to support a legal argument. Topics should extend </w:t>
      </w:r>
      <w:proofErr w:type="gramStart"/>
      <w:r w:rsidR="002C732F" w:rsidRPr="002C732F">
        <w:t>particular areas</w:t>
      </w:r>
      <w:proofErr w:type="gramEnd"/>
      <w:r w:rsidR="002C732F" w:rsidRPr="002C732F">
        <w:t xml:space="preserve"> of individual or group interests</w:t>
      </w:r>
      <w:r w:rsidR="002C732F">
        <w:t>.</w:t>
      </w:r>
    </w:p>
    <w:p w14:paraId="009BEC07" w14:textId="77777777" w:rsidR="002C732F" w:rsidRDefault="002C732F">
      <w:pPr>
        <w:suppressAutoHyphens w:val="0"/>
        <w:spacing w:before="0" w:after="160" w:line="259" w:lineRule="auto"/>
        <w:rPr>
          <w:rFonts w:eastAsiaTheme="majorEastAsia"/>
          <w:bCs/>
          <w:noProof/>
          <w:color w:val="002664"/>
          <w:sz w:val="40"/>
          <w:szCs w:val="52"/>
        </w:rPr>
      </w:pPr>
      <w:r>
        <w:rPr>
          <w:noProof/>
        </w:rPr>
        <w:br w:type="page"/>
      </w:r>
    </w:p>
    <w:p w14:paraId="1781670B" w14:textId="4DEC62ED" w:rsidR="00C02F82" w:rsidRPr="0014116A" w:rsidRDefault="54F41CBD" w:rsidP="0014116A">
      <w:pPr>
        <w:pStyle w:val="Heading1"/>
      </w:pPr>
      <w:bookmarkStart w:id="2" w:name="_Toc197941725"/>
      <w:r w:rsidRPr="0014116A">
        <w:lastRenderedPageBreak/>
        <w:t>Outcomes</w:t>
      </w:r>
      <w:bookmarkEnd w:id="2"/>
    </w:p>
    <w:p w14:paraId="5A5ACA17" w14:textId="714F55A2" w:rsidR="00C02F82" w:rsidRDefault="00C02F82" w:rsidP="00C02F82">
      <w:r w:rsidRPr="00084646">
        <w:t>A student:</w:t>
      </w:r>
    </w:p>
    <w:p w14:paraId="051629B2" w14:textId="00BF2050" w:rsidR="001A4062" w:rsidRDefault="003A7671" w:rsidP="001A4062">
      <w:pPr>
        <w:pStyle w:val="ListBullet"/>
        <w:rPr>
          <w:lang w:eastAsia="zh-CN"/>
        </w:rPr>
      </w:pPr>
      <w:r w:rsidRPr="003377C0">
        <w:rPr>
          <w:b/>
          <w:bCs/>
          <w:lang w:eastAsia="zh-CN"/>
        </w:rPr>
        <w:t>P1</w:t>
      </w:r>
      <w:r>
        <w:rPr>
          <w:lang w:eastAsia="zh-CN"/>
        </w:rPr>
        <w:t xml:space="preserve"> – </w:t>
      </w:r>
      <w:r w:rsidR="001A4062" w:rsidRPr="1B8E8F1D">
        <w:rPr>
          <w:lang w:eastAsia="zh-CN"/>
        </w:rPr>
        <w:t>identifies and applies legal concepts and terminology</w:t>
      </w:r>
      <w:r w:rsidR="009340A5">
        <w:rPr>
          <w:lang w:eastAsia="zh-CN"/>
        </w:rPr>
        <w:t xml:space="preserve"> </w:t>
      </w:r>
    </w:p>
    <w:p w14:paraId="3E4A3601" w14:textId="33DE760F" w:rsidR="001A4062" w:rsidRDefault="001A4062" w:rsidP="001A4062">
      <w:pPr>
        <w:pStyle w:val="ListBullet"/>
        <w:rPr>
          <w:lang w:eastAsia="zh-CN"/>
        </w:rPr>
      </w:pPr>
      <w:r w:rsidRPr="00616F39">
        <w:rPr>
          <w:b/>
          <w:lang w:eastAsia="zh-CN"/>
        </w:rPr>
        <w:t>P2</w:t>
      </w:r>
      <w:r>
        <w:rPr>
          <w:lang w:eastAsia="zh-CN"/>
        </w:rPr>
        <w:t xml:space="preserve"> </w:t>
      </w:r>
      <w:bookmarkStart w:id="3" w:name="_Hlk176248534"/>
      <w:r>
        <w:rPr>
          <w:lang w:eastAsia="zh-CN"/>
        </w:rPr>
        <w:t>–</w:t>
      </w:r>
      <w:bookmarkEnd w:id="3"/>
      <w:r>
        <w:rPr>
          <w:lang w:eastAsia="zh-CN"/>
        </w:rPr>
        <w:t xml:space="preserve"> describes the key features of Australian and international law</w:t>
      </w:r>
    </w:p>
    <w:p w14:paraId="4006A1E0" w14:textId="2ED33AE4" w:rsidR="001A4062" w:rsidRDefault="001A4062" w:rsidP="001A4062">
      <w:pPr>
        <w:pStyle w:val="ListBullet"/>
        <w:rPr>
          <w:lang w:eastAsia="zh-CN"/>
        </w:rPr>
      </w:pPr>
      <w:r w:rsidRPr="00616F39">
        <w:rPr>
          <w:b/>
          <w:lang w:eastAsia="zh-CN"/>
        </w:rPr>
        <w:t>P3</w:t>
      </w:r>
      <w:r w:rsidRPr="00B00E3A">
        <w:rPr>
          <w:bCs/>
          <w:lang w:eastAsia="zh-CN"/>
        </w:rPr>
        <w:t xml:space="preserve"> </w:t>
      </w:r>
      <w:r w:rsidRPr="001A4062">
        <w:rPr>
          <w:bCs/>
          <w:lang w:eastAsia="zh-CN"/>
        </w:rPr>
        <w:t xml:space="preserve">– </w:t>
      </w:r>
      <w:r>
        <w:rPr>
          <w:lang w:eastAsia="zh-CN"/>
        </w:rPr>
        <w:t>describes the operation of domestic and international legal systems</w:t>
      </w:r>
    </w:p>
    <w:p w14:paraId="597CDC39" w14:textId="704CBD80" w:rsidR="001A4062" w:rsidRDefault="001A4062" w:rsidP="001A4062">
      <w:pPr>
        <w:pStyle w:val="ListBullet"/>
        <w:rPr>
          <w:lang w:eastAsia="zh-CN"/>
        </w:rPr>
      </w:pPr>
      <w:r w:rsidRPr="00616F39">
        <w:rPr>
          <w:b/>
          <w:lang w:eastAsia="zh-CN"/>
        </w:rPr>
        <w:t>P4</w:t>
      </w:r>
      <w:r>
        <w:rPr>
          <w:lang w:eastAsia="zh-CN"/>
        </w:rPr>
        <w:t xml:space="preserve"> – discusses the effectiveness of the legal system in addressing issues</w:t>
      </w:r>
    </w:p>
    <w:p w14:paraId="26196C59" w14:textId="0FDE0F86" w:rsidR="001A4062" w:rsidRDefault="001A4062" w:rsidP="001A4062">
      <w:pPr>
        <w:pStyle w:val="ListBullet"/>
        <w:rPr>
          <w:lang w:eastAsia="zh-CN"/>
        </w:rPr>
      </w:pPr>
      <w:r w:rsidRPr="00616F39">
        <w:rPr>
          <w:b/>
          <w:lang w:eastAsia="zh-CN"/>
        </w:rPr>
        <w:t>P5</w:t>
      </w:r>
      <w:r w:rsidRPr="00B00E3A">
        <w:rPr>
          <w:bCs/>
          <w:lang w:eastAsia="zh-CN"/>
        </w:rPr>
        <w:t xml:space="preserve"> </w:t>
      </w:r>
      <w:r w:rsidRPr="001A4062">
        <w:rPr>
          <w:bCs/>
          <w:lang w:eastAsia="zh-CN"/>
        </w:rPr>
        <w:t xml:space="preserve">– </w:t>
      </w:r>
      <w:r>
        <w:rPr>
          <w:lang w:eastAsia="zh-CN"/>
        </w:rPr>
        <w:t>describes the role of law in encouraging cooperation and resolving conflict, as well as initiating and responding to change</w:t>
      </w:r>
    </w:p>
    <w:p w14:paraId="385E4C8D" w14:textId="6E3A3B1E" w:rsidR="001A4062" w:rsidRDefault="001A4062" w:rsidP="001A4062">
      <w:pPr>
        <w:pStyle w:val="ListBullet"/>
        <w:rPr>
          <w:lang w:eastAsia="zh-CN"/>
        </w:rPr>
      </w:pPr>
      <w:r w:rsidRPr="00616F39">
        <w:rPr>
          <w:b/>
          <w:lang w:eastAsia="zh-CN"/>
        </w:rPr>
        <w:t>P6</w:t>
      </w:r>
      <w:r>
        <w:rPr>
          <w:lang w:eastAsia="zh-CN"/>
        </w:rPr>
        <w:t xml:space="preserve"> – explains the nature of the interrelationship between the legal system and society</w:t>
      </w:r>
    </w:p>
    <w:p w14:paraId="14AB9C3C" w14:textId="17A70BF5" w:rsidR="001A4062" w:rsidRDefault="001A4062" w:rsidP="001A4062">
      <w:pPr>
        <w:pStyle w:val="ListBullet"/>
        <w:rPr>
          <w:lang w:eastAsia="zh-CN"/>
        </w:rPr>
      </w:pPr>
      <w:r w:rsidRPr="00616F39">
        <w:rPr>
          <w:b/>
          <w:lang w:eastAsia="zh-CN"/>
        </w:rPr>
        <w:t>P7</w:t>
      </w:r>
      <w:r>
        <w:rPr>
          <w:lang w:eastAsia="zh-CN"/>
        </w:rPr>
        <w:t xml:space="preserve"> – evaluates the effectiveness of the law in achieving justice</w:t>
      </w:r>
    </w:p>
    <w:p w14:paraId="16956990" w14:textId="6C3503EE" w:rsidR="001A4062" w:rsidRDefault="001A4062" w:rsidP="001A4062">
      <w:pPr>
        <w:pStyle w:val="ListBullet"/>
        <w:rPr>
          <w:lang w:eastAsia="zh-CN"/>
        </w:rPr>
      </w:pPr>
      <w:r w:rsidRPr="00616F39">
        <w:rPr>
          <w:b/>
          <w:lang w:eastAsia="zh-CN"/>
        </w:rPr>
        <w:t>P8</w:t>
      </w:r>
      <w:r>
        <w:rPr>
          <w:lang w:eastAsia="zh-CN"/>
        </w:rPr>
        <w:t xml:space="preserve"> – locates, selects and organises legal information from a variety of sources including legislation, cases, media, international instruments and documents</w:t>
      </w:r>
    </w:p>
    <w:p w14:paraId="7CFF82E4" w14:textId="25AEE817" w:rsidR="001A4062" w:rsidRDefault="001A4062" w:rsidP="001A4062">
      <w:pPr>
        <w:pStyle w:val="ListBullet"/>
        <w:rPr>
          <w:lang w:eastAsia="zh-CN"/>
        </w:rPr>
      </w:pPr>
      <w:r w:rsidRPr="00616F39">
        <w:rPr>
          <w:b/>
          <w:lang w:eastAsia="zh-CN"/>
        </w:rPr>
        <w:t>P9</w:t>
      </w:r>
      <w:r>
        <w:rPr>
          <w:lang w:eastAsia="zh-CN"/>
        </w:rPr>
        <w:t xml:space="preserve"> – communicates legal information using well-structured responses</w:t>
      </w:r>
    </w:p>
    <w:p w14:paraId="6807BDED" w14:textId="62B2EB0D" w:rsidR="00C02F82" w:rsidRDefault="001A4062" w:rsidP="001A4062">
      <w:pPr>
        <w:pStyle w:val="ListBullet"/>
      </w:pPr>
      <w:r w:rsidRPr="1B8E8F1D">
        <w:rPr>
          <w:b/>
          <w:bCs/>
          <w:lang w:eastAsia="zh-CN"/>
        </w:rPr>
        <w:t>P10</w:t>
      </w:r>
      <w:r w:rsidRPr="1B8E8F1D">
        <w:rPr>
          <w:lang w:eastAsia="zh-CN"/>
        </w:rPr>
        <w:t xml:space="preserve"> – accounts for differing perspectives and interpretations of legal information and issues</w:t>
      </w:r>
    </w:p>
    <w:p w14:paraId="06B84A53" w14:textId="3715F231" w:rsidR="008120C2" w:rsidRPr="002E0D60" w:rsidRDefault="008120C2" w:rsidP="00462FCE">
      <w:pPr>
        <w:pStyle w:val="Imageattributioncaption"/>
        <w:rPr>
          <w:sz w:val="24"/>
        </w:rPr>
      </w:pPr>
      <w:hyperlink r:id="rId8" w:history="1">
        <w:r w:rsidRPr="00FC7B51">
          <w:rPr>
            <w:rStyle w:val="Hyperlink"/>
          </w:rPr>
          <w:t>Legal Studies Stage 6 Syllabus</w:t>
        </w:r>
      </w:hyperlink>
      <w:r w:rsidRPr="008120C2">
        <w:t xml:space="preserve"> © NSW Education Standards Authority (NESA) for and on behalf of the Crown in right of the State of New South Wales, 20</w:t>
      </w:r>
      <w:r w:rsidR="00B00E3A">
        <w:t>09</w:t>
      </w:r>
      <w:r w:rsidRPr="008120C2">
        <w:t>.</w:t>
      </w:r>
    </w:p>
    <w:p w14:paraId="595C7313" w14:textId="365CE523" w:rsidR="5CC55A7E" w:rsidRDefault="5CC55A7E" w:rsidP="1B8E8F1D">
      <w:pPr>
        <w:pStyle w:val="FeatureBox2"/>
      </w:pPr>
      <w:r w:rsidRPr="1B8E8F1D">
        <w:rPr>
          <w:b/>
          <w:bCs/>
        </w:rPr>
        <w:t>Note</w:t>
      </w:r>
      <w:r w:rsidRPr="00B00E3A">
        <w:t xml:space="preserve">: </w:t>
      </w:r>
      <w:r w:rsidR="00252948">
        <w:t>t</w:t>
      </w:r>
      <w:r>
        <w:t xml:space="preserve">he outcomes </w:t>
      </w:r>
      <w:r w:rsidR="00617E11">
        <w:t xml:space="preserve">above </w:t>
      </w:r>
      <w:r>
        <w:t>are</w:t>
      </w:r>
      <w:r w:rsidR="1BC77E2D">
        <w:t xml:space="preserve"> fully</w:t>
      </w:r>
      <w:r>
        <w:t xml:space="preserve"> addressed when all</w:t>
      </w:r>
      <w:r w:rsidR="10CB4FA9">
        <w:t xml:space="preserve"> learning sequences associated with Core Part </w:t>
      </w:r>
      <w:r w:rsidR="00606939">
        <w:t>3</w:t>
      </w:r>
      <w:r w:rsidR="10CB4FA9">
        <w:t xml:space="preserve"> </w:t>
      </w:r>
      <w:r w:rsidR="5943B165">
        <w:t>are taught. Individual learning sequences may not address all outcomes.</w:t>
      </w:r>
    </w:p>
    <w:p w14:paraId="1688192C" w14:textId="77777777" w:rsidR="00C02F82" w:rsidRPr="007F1A68" w:rsidRDefault="00C02F82" w:rsidP="00C02F82">
      <w:r>
        <w:br w:type="page"/>
      </w:r>
    </w:p>
    <w:p w14:paraId="15434986" w14:textId="2D570D09" w:rsidR="00F15D08" w:rsidRPr="0014116A" w:rsidRDefault="54F41CBD" w:rsidP="0014116A">
      <w:pPr>
        <w:pStyle w:val="Heading1"/>
      </w:pPr>
      <w:bookmarkStart w:id="4" w:name="_Toc197941726"/>
      <w:r w:rsidRPr="0014116A">
        <w:lastRenderedPageBreak/>
        <w:t xml:space="preserve">Learning sequence </w:t>
      </w:r>
      <w:r w:rsidR="00860620" w:rsidRPr="0014116A">
        <w:t>1</w:t>
      </w:r>
      <w:r w:rsidR="00252948" w:rsidRPr="0014116A">
        <w:t xml:space="preserve"> – </w:t>
      </w:r>
      <w:r w:rsidR="00AC7920">
        <w:t>e</w:t>
      </w:r>
      <w:r w:rsidR="001A0A4A" w:rsidRPr="0014116A">
        <w:t xml:space="preserve">xperiences of Aboriginal and Torres Strait Islander </w:t>
      </w:r>
      <w:r w:rsidR="00AC7920">
        <w:t>p</w:t>
      </w:r>
      <w:r w:rsidR="001A0A4A" w:rsidRPr="0014116A">
        <w:t>eoples</w:t>
      </w:r>
      <w:bookmarkEnd w:id="4"/>
    </w:p>
    <w:p w14:paraId="030D36D5" w14:textId="519E0F39" w:rsidR="00F15D08" w:rsidRPr="00A97BC7" w:rsidRDefault="00F15D08" w:rsidP="00CE359A">
      <w:pPr>
        <w:rPr>
          <w:rFonts w:eastAsia="Arial"/>
          <w:noProof/>
        </w:rPr>
      </w:pPr>
      <w:r>
        <w:t xml:space="preserve">This sequence is designed to take </w:t>
      </w:r>
      <w:r w:rsidR="001A0A4A">
        <w:t>15</w:t>
      </w:r>
      <w:r>
        <w:t xml:space="preserve"> hours.</w:t>
      </w:r>
      <w:r w:rsidR="3210BDE0">
        <w:t xml:space="preserve"> </w:t>
      </w:r>
      <w:r>
        <w:t xml:space="preserve">Students will draw on knowledge from previous content in learning sequences </w:t>
      </w:r>
      <w:r w:rsidR="00380CE1">
        <w:t xml:space="preserve">addressing </w:t>
      </w:r>
      <w:r w:rsidR="001E3C2A">
        <w:t xml:space="preserve">Core Part 1: The </w:t>
      </w:r>
      <w:r w:rsidR="00AC7920">
        <w:t>l</w:t>
      </w:r>
      <w:r w:rsidR="001E3C2A">
        <w:t xml:space="preserve">egal </w:t>
      </w:r>
      <w:r w:rsidR="00AC7920">
        <w:t>s</w:t>
      </w:r>
      <w:r w:rsidR="001E3C2A">
        <w:t xml:space="preserve">ystem, </w:t>
      </w:r>
      <w:r>
        <w:t xml:space="preserve">which </w:t>
      </w:r>
      <w:r w:rsidR="00380CE1">
        <w:t>help</w:t>
      </w:r>
      <w:r w:rsidR="0066636C">
        <w:t>s</w:t>
      </w:r>
      <w:r w:rsidR="00380CE1">
        <w:t xml:space="preserve"> students to engage with</w:t>
      </w:r>
      <w:r>
        <w:t xml:space="preserve"> basic legal concepts</w:t>
      </w:r>
      <w:r w:rsidR="001E3C2A">
        <w:t xml:space="preserve"> and the structure of the Australian legal system</w:t>
      </w:r>
      <w:r w:rsidR="001A0A4A">
        <w:t xml:space="preserve"> and Core Part 2: The </w:t>
      </w:r>
      <w:r w:rsidR="0066636C">
        <w:t>i</w:t>
      </w:r>
      <w:r w:rsidR="001A0A4A">
        <w:t xml:space="preserve">ndividual and the </w:t>
      </w:r>
      <w:r w:rsidR="0066636C">
        <w:t>l</w:t>
      </w:r>
      <w:r w:rsidR="001A0A4A">
        <w:t>aw, which help</w:t>
      </w:r>
      <w:r w:rsidR="0066636C">
        <w:t>s</w:t>
      </w:r>
      <w:r w:rsidR="001A0A4A">
        <w:t xml:space="preserve"> student</w:t>
      </w:r>
      <w:r w:rsidR="000B21F1">
        <w:t>s</w:t>
      </w:r>
      <w:r w:rsidR="001A0A4A">
        <w:t xml:space="preserve"> to understand dispute resolution</w:t>
      </w:r>
      <w:r w:rsidRPr="7FEC8B66">
        <w:rPr>
          <w:rFonts w:eastAsia="Arial"/>
          <w:noProof/>
        </w:rPr>
        <w:t xml:space="preserve">. An understanding of key terms such as </w:t>
      </w:r>
      <w:r w:rsidR="001E3C2A">
        <w:rPr>
          <w:rFonts w:eastAsia="Arial"/>
          <w:noProof/>
        </w:rPr>
        <w:t xml:space="preserve">rights, responsibilities, rules and law </w:t>
      </w:r>
      <w:r w:rsidRPr="7FEC8B66">
        <w:rPr>
          <w:rFonts w:eastAsia="Arial"/>
          <w:noProof/>
        </w:rPr>
        <w:t>is needed. This learning sequence is de</w:t>
      </w:r>
      <w:r w:rsidR="005649A1" w:rsidRPr="7FEC8B66">
        <w:rPr>
          <w:rFonts w:eastAsia="Arial"/>
          <w:noProof/>
        </w:rPr>
        <w:t>signe</w:t>
      </w:r>
      <w:r w:rsidRPr="7FEC8B66">
        <w:rPr>
          <w:rFonts w:eastAsia="Arial"/>
          <w:noProof/>
        </w:rPr>
        <w:t>d to support</w:t>
      </w:r>
      <w:r w:rsidR="42319FB5" w:rsidRPr="7FEC8B66">
        <w:rPr>
          <w:rFonts w:eastAsia="Arial"/>
          <w:noProof/>
        </w:rPr>
        <w:t xml:space="preserve"> the development of student</w:t>
      </w:r>
      <w:r w:rsidR="555500DF" w:rsidRPr="7FEC8B66">
        <w:rPr>
          <w:rFonts w:eastAsia="Arial"/>
          <w:noProof/>
        </w:rPr>
        <w:t xml:space="preserve"> langu</w:t>
      </w:r>
      <w:r w:rsidR="00220AFB">
        <w:rPr>
          <w:rFonts w:eastAsia="Arial"/>
          <w:noProof/>
        </w:rPr>
        <w:t>a</w:t>
      </w:r>
      <w:r w:rsidR="555500DF" w:rsidRPr="7FEC8B66">
        <w:rPr>
          <w:rFonts w:eastAsia="Arial"/>
          <w:noProof/>
        </w:rPr>
        <w:t>ge and</w:t>
      </w:r>
      <w:r w:rsidRPr="7FEC8B66">
        <w:rPr>
          <w:rFonts w:eastAsia="Arial"/>
          <w:noProof/>
        </w:rPr>
        <w:t xml:space="preserve"> literacy skills in reading and writing </w:t>
      </w:r>
      <w:r w:rsidR="005649A1" w:rsidRPr="7FEC8B66">
        <w:rPr>
          <w:rFonts w:eastAsia="Arial"/>
          <w:noProof/>
        </w:rPr>
        <w:t>including using</w:t>
      </w:r>
      <w:r w:rsidRPr="7FEC8B66">
        <w:rPr>
          <w:rFonts w:eastAsia="Arial"/>
          <w:noProof/>
        </w:rPr>
        <w:t xml:space="preserve"> text structure and vocabulary</w:t>
      </w:r>
      <w:r w:rsidR="429836D8" w:rsidRPr="7FEC8B66">
        <w:rPr>
          <w:rFonts w:eastAsia="Arial"/>
          <w:noProof/>
        </w:rPr>
        <w:t xml:space="preserve"> effectively</w:t>
      </w:r>
      <w:r w:rsidRPr="7FEC8B66">
        <w:rPr>
          <w:rFonts w:eastAsia="Arial"/>
          <w:noProof/>
        </w:rPr>
        <w:t xml:space="preserve"> in context. </w:t>
      </w:r>
      <w:r w:rsidR="00E27F48">
        <w:rPr>
          <w:rFonts w:eastAsia="Arial"/>
          <w:noProof/>
        </w:rPr>
        <w:t>It also provides opportunities for teachers to explicitly teac</w:t>
      </w:r>
      <w:r w:rsidR="00C426A0">
        <w:rPr>
          <w:rFonts w:eastAsia="Arial"/>
          <w:noProof/>
        </w:rPr>
        <w:t>h, reteach and model the skills that students require proficiency in to complete Learning sequence 2, which constitutes a student-directed study of another group</w:t>
      </w:r>
      <w:r w:rsidR="00D42459">
        <w:rPr>
          <w:rFonts w:eastAsia="Arial"/>
          <w:noProof/>
        </w:rPr>
        <w:t xml:space="preserve"> that has experienced disadvantage. </w:t>
      </w:r>
      <w:r w:rsidRPr="7FEC8B66">
        <w:rPr>
          <w:rFonts w:eastAsia="Arial"/>
          <w:noProof/>
        </w:rPr>
        <w:t xml:space="preserve">This sequence should be taught with awareness of the </w:t>
      </w:r>
      <w:hyperlink r:id="rId9">
        <w:r w:rsidR="001C0875" w:rsidRPr="7FEC8B66">
          <w:rPr>
            <w:rStyle w:val="Hyperlink"/>
            <w:rFonts w:eastAsia="Arial"/>
            <w:noProof/>
          </w:rPr>
          <w:t>C</w:t>
        </w:r>
        <w:r w:rsidRPr="7FEC8B66">
          <w:rPr>
            <w:rStyle w:val="Hyperlink"/>
            <w:rFonts w:eastAsia="Arial"/>
            <w:noProof/>
          </w:rPr>
          <w:t xml:space="preserve">ontroversial </w:t>
        </w:r>
        <w:r w:rsidR="0066636C">
          <w:rPr>
            <w:rStyle w:val="Hyperlink"/>
            <w:rFonts w:eastAsia="Arial"/>
            <w:noProof/>
          </w:rPr>
          <w:t>i</w:t>
        </w:r>
        <w:r w:rsidRPr="7FEC8B66">
          <w:rPr>
            <w:rStyle w:val="Hyperlink"/>
            <w:rFonts w:eastAsia="Arial"/>
            <w:noProof/>
          </w:rPr>
          <w:t xml:space="preserve">ssues </w:t>
        </w:r>
        <w:r w:rsidR="001C0875" w:rsidRPr="7FEC8B66">
          <w:rPr>
            <w:rStyle w:val="Hyperlink"/>
            <w:rFonts w:eastAsia="Arial"/>
            <w:noProof/>
          </w:rPr>
          <w:t xml:space="preserve">in </w:t>
        </w:r>
        <w:r w:rsidR="0066636C">
          <w:rPr>
            <w:rStyle w:val="Hyperlink"/>
            <w:rFonts w:eastAsia="Arial"/>
            <w:noProof/>
          </w:rPr>
          <w:t>s</w:t>
        </w:r>
        <w:r w:rsidR="001C0875" w:rsidRPr="7FEC8B66">
          <w:rPr>
            <w:rStyle w:val="Hyperlink"/>
            <w:rFonts w:eastAsia="Arial"/>
            <w:noProof/>
          </w:rPr>
          <w:t>chools</w:t>
        </w:r>
        <w:r w:rsidR="001C0875" w:rsidRPr="0066636C">
          <w:t xml:space="preserve"> policy</w:t>
        </w:r>
      </w:hyperlink>
      <w:r w:rsidRPr="7FEC8B66">
        <w:rPr>
          <w:rFonts w:eastAsia="Arial"/>
          <w:noProof/>
        </w:rPr>
        <w:t>.</w:t>
      </w:r>
    </w:p>
    <w:p w14:paraId="2CFD3284" w14:textId="77777777" w:rsidR="00F15D08" w:rsidRPr="00A97BC7" w:rsidRDefault="00F15D08" w:rsidP="00CE359A">
      <w:pPr>
        <w:rPr>
          <w:rFonts w:eastAsia="Arial"/>
          <w:noProof/>
        </w:rPr>
      </w:pPr>
      <w:r w:rsidRPr="00A97BC7">
        <w:rPr>
          <w:rFonts w:eastAsia="Arial"/>
          <w:noProof/>
        </w:rPr>
        <w:t>Consider the following when adapting this learning sequence to your school context:</w:t>
      </w:r>
    </w:p>
    <w:p w14:paraId="0887C115" w14:textId="570F8619" w:rsidR="00F15D08" w:rsidRPr="0016750D" w:rsidRDefault="00F15D08" w:rsidP="0016750D">
      <w:pPr>
        <w:pStyle w:val="ListBullet"/>
      </w:pPr>
      <w:r w:rsidRPr="0016750D">
        <w:t>The appropriateness of individual sources and content given the age and maturity level of your students.</w:t>
      </w:r>
    </w:p>
    <w:p w14:paraId="5B0705EA" w14:textId="26FFBEB9" w:rsidR="00F15D08" w:rsidRPr="0016750D" w:rsidRDefault="00F15D08" w:rsidP="0016750D">
      <w:pPr>
        <w:pStyle w:val="ListBullet"/>
      </w:pPr>
      <w:r w:rsidRPr="0016750D">
        <w:t>The presence of students with close links to the events discussed in the learning sequence.</w:t>
      </w:r>
      <w:r w:rsidR="5002B12E" w:rsidRPr="0016750D">
        <w:t xml:space="preserve"> This is particularly important when referencing the impact of the legal system and laws upon Aboriginal and Torres Strait Islander </w:t>
      </w:r>
      <w:r w:rsidR="003E0927">
        <w:t>p</w:t>
      </w:r>
      <w:r w:rsidR="5002B12E" w:rsidRPr="0016750D">
        <w:t>eople</w:t>
      </w:r>
      <w:r w:rsidR="003E0927">
        <w:t>s</w:t>
      </w:r>
      <w:r w:rsidR="5002B12E" w:rsidRPr="0016750D">
        <w:t>.</w:t>
      </w:r>
    </w:p>
    <w:p w14:paraId="377AC032" w14:textId="6714F173" w:rsidR="00F15D08" w:rsidRPr="0016750D" w:rsidRDefault="00F15D08" w:rsidP="0016750D">
      <w:pPr>
        <w:pStyle w:val="ListBullet"/>
      </w:pPr>
      <w:r w:rsidRPr="0016750D">
        <w:t xml:space="preserve">The literacy needs of students, especially in relation to reading and understanding </w:t>
      </w:r>
      <w:r w:rsidR="005649A1" w:rsidRPr="0016750D">
        <w:t>legal</w:t>
      </w:r>
      <w:r w:rsidRPr="0016750D">
        <w:t xml:space="preserve"> sources.</w:t>
      </w:r>
    </w:p>
    <w:p w14:paraId="1FB8CBE5" w14:textId="56EF0601" w:rsidR="4AE4468F" w:rsidRDefault="00F15D08" w:rsidP="0016750D">
      <w:pPr>
        <w:pStyle w:val="ListBullet"/>
        <w:rPr>
          <w:noProof/>
        </w:rPr>
      </w:pPr>
      <w:r w:rsidRPr="0016750D">
        <w:t xml:space="preserve">The opportunities to further differentiate the content to better </w:t>
      </w:r>
      <w:r w:rsidR="35912706" w:rsidRPr="0016750D">
        <w:t xml:space="preserve">support </w:t>
      </w:r>
      <w:r w:rsidRPr="0016750D">
        <w:t>your students.</w:t>
      </w:r>
      <w:r w:rsidR="4AE4468F">
        <w:br w:type="page"/>
      </w:r>
    </w:p>
    <w:p w14:paraId="4C43D3B9" w14:textId="77777777" w:rsidR="00C02F82" w:rsidRPr="0014116A" w:rsidRDefault="54F41CBD" w:rsidP="0014116A">
      <w:pPr>
        <w:pStyle w:val="Heading2"/>
      </w:pPr>
      <w:bookmarkStart w:id="5" w:name="_Toc197941727"/>
      <w:r w:rsidRPr="0014116A">
        <w:lastRenderedPageBreak/>
        <w:t>Syllabus content</w:t>
      </w:r>
      <w:bookmarkEnd w:id="5"/>
    </w:p>
    <w:p w14:paraId="73583587" w14:textId="124E4B54" w:rsidR="00CD403E" w:rsidRPr="00CD403E" w:rsidRDefault="00CD403E" w:rsidP="00CD403E">
      <w:pPr>
        <w:pStyle w:val="Caption"/>
      </w:pPr>
      <w:r>
        <w:t xml:space="preserve">Table </w:t>
      </w:r>
      <w:r w:rsidR="004346A7">
        <w:fldChar w:fldCharType="begin"/>
      </w:r>
      <w:r w:rsidR="004346A7">
        <w:instrText xml:space="preserve"> SEQ Table \* ARABIC </w:instrText>
      </w:r>
      <w:r w:rsidR="004346A7">
        <w:fldChar w:fldCharType="separate"/>
      </w:r>
      <w:r w:rsidR="009C4761">
        <w:rPr>
          <w:noProof/>
        </w:rPr>
        <w:t>1</w:t>
      </w:r>
      <w:r w:rsidR="004346A7">
        <w:rPr>
          <w:noProof/>
        </w:rPr>
        <w:fldChar w:fldCharType="end"/>
      </w:r>
      <w:r>
        <w:t xml:space="preserve"> – e</w:t>
      </w:r>
      <w:r w:rsidRPr="000A74D3">
        <w:t xml:space="preserve">xcerpt </w:t>
      </w:r>
      <w:r w:rsidR="009F36FC">
        <w:t>from</w:t>
      </w:r>
      <w:r w:rsidRPr="000A74D3">
        <w:t xml:space="preserve"> Legal Studies Stage 6 Syllabus </w:t>
      </w:r>
      <w:r w:rsidR="009F36FC">
        <w:t>(</w:t>
      </w:r>
      <w:r w:rsidRPr="000A74D3">
        <w:t>2009</w:t>
      </w:r>
      <w:r w:rsidR="009F36FC">
        <w:t>)</w:t>
      </w:r>
    </w:p>
    <w:tbl>
      <w:tblPr>
        <w:tblStyle w:val="Tableheader"/>
        <w:tblW w:w="9602" w:type="dxa"/>
        <w:tblLook w:val="0420" w:firstRow="1" w:lastRow="0" w:firstColumn="0" w:lastColumn="0" w:noHBand="0" w:noVBand="1"/>
        <w:tblDescription w:val="Excerpt from Legal Studies Stage 6 Syllabus (2009)."/>
      </w:tblPr>
      <w:tblGrid>
        <w:gridCol w:w="4801"/>
        <w:gridCol w:w="4801"/>
      </w:tblGrid>
      <w:tr w:rsidR="000A74D3" w:rsidRPr="000A74D3" w14:paraId="6B3A175D" w14:textId="77777777" w:rsidTr="006069BF">
        <w:trPr>
          <w:cnfStyle w:val="100000000000" w:firstRow="1" w:lastRow="0" w:firstColumn="0" w:lastColumn="0" w:oddVBand="0" w:evenVBand="0" w:oddHBand="0" w:evenHBand="0" w:firstRowFirstColumn="0" w:firstRowLastColumn="0" w:lastRowFirstColumn="0" w:lastRowLastColumn="0"/>
        </w:trPr>
        <w:tc>
          <w:tcPr>
            <w:tcW w:w="4801" w:type="dxa"/>
            <w:hideMark/>
          </w:tcPr>
          <w:p w14:paraId="483D81BB" w14:textId="77777777" w:rsidR="000A74D3" w:rsidRPr="001A3A6B" w:rsidRDefault="000A74D3" w:rsidP="00CE359A">
            <w:pPr>
              <w:rPr>
                <w:b w:val="0"/>
                <w:bCs/>
              </w:rPr>
            </w:pPr>
            <w:r w:rsidRPr="001A3A6B">
              <w:rPr>
                <w:bCs/>
              </w:rPr>
              <w:t>Students learn about:</w:t>
            </w:r>
          </w:p>
        </w:tc>
        <w:tc>
          <w:tcPr>
            <w:tcW w:w="4801" w:type="dxa"/>
            <w:hideMark/>
          </w:tcPr>
          <w:p w14:paraId="7AA6C756" w14:textId="77777777" w:rsidR="000A74D3" w:rsidRPr="001A3A6B" w:rsidRDefault="000A74D3" w:rsidP="00CE359A">
            <w:pPr>
              <w:rPr>
                <w:b w:val="0"/>
                <w:bCs/>
              </w:rPr>
            </w:pPr>
            <w:r w:rsidRPr="001A3A6B">
              <w:rPr>
                <w:bCs/>
              </w:rPr>
              <w:t>Students learn to:</w:t>
            </w:r>
          </w:p>
        </w:tc>
      </w:tr>
      <w:tr w:rsidR="000A74D3" w:rsidRPr="000A74D3" w14:paraId="78995592" w14:textId="77777777" w:rsidTr="006069BF">
        <w:trPr>
          <w:cnfStyle w:val="000000100000" w:firstRow="0" w:lastRow="0" w:firstColumn="0" w:lastColumn="0" w:oddVBand="0" w:evenVBand="0" w:oddHBand="1" w:evenHBand="0" w:firstRowFirstColumn="0" w:firstRowLastColumn="0" w:lastRowFirstColumn="0" w:lastRowLastColumn="0"/>
        </w:trPr>
        <w:tc>
          <w:tcPr>
            <w:tcW w:w="4801" w:type="dxa"/>
            <w:hideMark/>
          </w:tcPr>
          <w:p w14:paraId="02AC2ABF" w14:textId="43BD3642" w:rsidR="00380CE1" w:rsidRDefault="00505420" w:rsidP="00A85E34">
            <w:pPr>
              <w:pStyle w:val="ListBullet"/>
              <w:numPr>
                <w:ilvl w:val="0"/>
                <w:numId w:val="0"/>
              </w:numPr>
              <w:ind w:left="26"/>
            </w:pPr>
            <w:r w:rsidRPr="00505420">
              <w:t>Issues that involve an Australian in a domestic jurisdiction, or Australian citizen(s) in another jurisdiction, focusing on the mechanisms for achieving justice and the responsiveness of the legal system when attempts are made to achieve justice.</w:t>
            </w:r>
          </w:p>
          <w:p w14:paraId="286651FB" w14:textId="77777777" w:rsidR="00125294" w:rsidRPr="003E0927" w:rsidRDefault="00125294" w:rsidP="00125294">
            <w:pPr>
              <w:pStyle w:val="ListBullet"/>
              <w:numPr>
                <w:ilvl w:val="0"/>
                <w:numId w:val="0"/>
              </w:numPr>
              <w:ind w:left="567" w:hanging="567"/>
              <w:rPr>
                <w:rStyle w:val="Strong"/>
              </w:rPr>
            </w:pPr>
            <w:r w:rsidRPr="003E0927">
              <w:rPr>
                <w:rStyle w:val="Strong"/>
              </w:rPr>
              <w:t>Topics that may be studied include:</w:t>
            </w:r>
          </w:p>
          <w:p w14:paraId="79F31EC8" w14:textId="77777777" w:rsidR="00125294" w:rsidRPr="003E0927" w:rsidRDefault="00125294" w:rsidP="003E0927">
            <w:pPr>
              <w:pStyle w:val="ListBullet"/>
            </w:pPr>
            <w:r w:rsidRPr="003E0927">
              <w:t>groups or individuals suffering disadvantage:</w:t>
            </w:r>
          </w:p>
          <w:p w14:paraId="7AF9BA76" w14:textId="77777777" w:rsidR="00125294" w:rsidRDefault="00125294" w:rsidP="003E0927">
            <w:pPr>
              <w:pStyle w:val="ListBullet2"/>
              <w:ind w:left="1166" w:hanging="599"/>
            </w:pPr>
            <w:r w:rsidRPr="00125294">
              <w:t>Aboriginal and Torres Strait Islander Peoples</w:t>
            </w:r>
          </w:p>
          <w:p w14:paraId="07799EA1" w14:textId="77777777" w:rsidR="00125294" w:rsidRDefault="00125294" w:rsidP="003E0927">
            <w:pPr>
              <w:pStyle w:val="ListBullet2"/>
              <w:ind w:left="1166" w:hanging="599"/>
            </w:pPr>
            <w:r w:rsidRPr="00125294">
              <w:t>people who have a mental illness or an intellectual or physical disability</w:t>
            </w:r>
          </w:p>
          <w:p w14:paraId="480FBA54" w14:textId="77777777" w:rsidR="00125294" w:rsidRDefault="00125294" w:rsidP="003E0927">
            <w:pPr>
              <w:pStyle w:val="ListBullet2"/>
              <w:ind w:left="1166" w:hanging="599"/>
            </w:pPr>
            <w:r w:rsidRPr="00125294">
              <w:t>migrants</w:t>
            </w:r>
          </w:p>
          <w:p w14:paraId="4AE3CCEA" w14:textId="233DE360" w:rsidR="00125294" w:rsidRDefault="00125294" w:rsidP="003E0927">
            <w:pPr>
              <w:pStyle w:val="ListBullet2"/>
              <w:ind w:left="1166" w:hanging="599"/>
            </w:pPr>
            <w:r w:rsidRPr="00125294">
              <w:t>people who are socio</w:t>
            </w:r>
            <w:r w:rsidR="00A85E34">
              <w:t>-</w:t>
            </w:r>
            <w:r w:rsidRPr="00125294">
              <w:t>economically disadvantage</w:t>
            </w:r>
            <w:r>
              <w:t>d</w:t>
            </w:r>
          </w:p>
          <w:p w14:paraId="08BAA1AA" w14:textId="77777777" w:rsidR="00125294" w:rsidRDefault="00125294" w:rsidP="003E0927">
            <w:pPr>
              <w:pStyle w:val="ListBullet2"/>
              <w:ind w:left="1166" w:hanging="599"/>
            </w:pPr>
            <w:r w:rsidRPr="00125294">
              <w:t>members of other groups covered by human rights legislation, including anti</w:t>
            </w:r>
            <w:r>
              <w:t>-</w:t>
            </w:r>
            <w:r w:rsidRPr="00125294">
              <w:t>discrimination legislation</w:t>
            </w:r>
          </w:p>
          <w:p w14:paraId="37090C5F" w14:textId="77777777" w:rsidR="00125294" w:rsidRDefault="00125294" w:rsidP="003E0927">
            <w:pPr>
              <w:pStyle w:val="ListBullet2"/>
              <w:ind w:left="1166" w:hanging="599"/>
            </w:pPr>
            <w:r w:rsidRPr="00125294">
              <w:t>women</w:t>
            </w:r>
          </w:p>
          <w:p w14:paraId="26948762" w14:textId="77777777" w:rsidR="00125294" w:rsidRPr="003E0927" w:rsidRDefault="00125294" w:rsidP="003E0927">
            <w:pPr>
              <w:pStyle w:val="ListBullet"/>
            </w:pPr>
            <w:r w:rsidRPr="003E0927">
              <w:t>events which highlight legal issues</w:t>
            </w:r>
          </w:p>
          <w:p w14:paraId="1AE52A95" w14:textId="4ED73415" w:rsidR="00125294" w:rsidRPr="003E0927" w:rsidRDefault="00125294" w:rsidP="003E0927">
            <w:pPr>
              <w:pStyle w:val="ListBullet"/>
            </w:pPr>
            <w:r w:rsidRPr="003E0927">
              <w:t xml:space="preserve">individuals or groups in conflict with the </w:t>
            </w:r>
            <w:r w:rsidRPr="003E0927">
              <w:lastRenderedPageBreak/>
              <w:t>state</w:t>
            </w:r>
          </w:p>
          <w:p w14:paraId="7E242C9F" w14:textId="6C3DD36F" w:rsidR="000A74D3" w:rsidRPr="000A74D3" w:rsidRDefault="00125294" w:rsidP="003E0927">
            <w:pPr>
              <w:pStyle w:val="ListBullet"/>
            </w:pPr>
            <w:r w:rsidRPr="003E0927">
              <w:t>criminal or civil cases that raise issues of interest to students.</w:t>
            </w:r>
          </w:p>
        </w:tc>
        <w:tc>
          <w:tcPr>
            <w:tcW w:w="4801" w:type="dxa"/>
            <w:hideMark/>
          </w:tcPr>
          <w:p w14:paraId="65E326F6" w14:textId="77777777" w:rsidR="005F759C" w:rsidRPr="003E0927" w:rsidRDefault="005F759C" w:rsidP="003E0927">
            <w:pPr>
              <w:pStyle w:val="ListBullet"/>
            </w:pPr>
            <w:r w:rsidRPr="003E0927">
              <w:lastRenderedPageBreak/>
              <w:t xml:space="preserve">examine at least </w:t>
            </w:r>
            <w:r w:rsidRPr="000E5C51">
              <w:rPr>
                <w:rStyle w:val="Strong"/>
              </w:rPr>
              <w:t>two</w:t>
            </w:r>
            <w:r w:rsidRPr="003E0927">
              <w:t xml:space="preserve"> contemporary issues that involve Australian citizen(s) in either a domestic or another jurisdiction</w:t>
            </w:r>
          </w:p>
          <w:p w14:paraId="13131C88" w14:textId="77777777" w:rsidR="005F759C" w:rsidRPr="003E0927" w:rsidRDefault="005F759C" w:rsidP="003E0927">
            <w:pPr>
              <w:pStyle w:val="ListBullet"/>
            </w:pPr>
            <w:r w:rsidRPr="003E0927">
              <w:t>describe the legal and non-legal responses to this issue</w:t>
            </w:r>
          </w:p>
          <w:p w14:paraId="5F2C19C0" w14:textId="20385F5F" w:rsidR="00BF0E1F" w:rsidRPr="00BF0E1F" w:rsidRDefault="005F759C" w:rsidP="003E0927">
            <w:pPr>
              <w:pStyle w:val="ListBullet"/>
            </w:pPr>
            <w:r w:rsidRPr="003E0927">
              <w:t>evaluate the effectiveness of the legal and non-legal responses to this issue.</w:t>
            </w:r>
            <w:r w:rsidR="003E0927">
              <w:t xml:space="preserve"> </w:t>
            </w:r>
            <w:r w:rsidR="00BF0E1F" w:rsidRPr="00BF0E1F">
              <w:rPr>
                <w:b/>
                <w:bCs/>
              </w:rPr>
              <w:t>Criteria to evaluate effectiveness could include:</w:t>
            </w:r>
          </w:p>
          <w:p w14:paraId="6FA83051" w14:textId="77777777" w:rsidR="00BF0E1F" w:rsidRDefault="00BF0E1F" w:rsidP="003E0927">
            <w:pPr>
              <w:pStyle w:val="ListBullet2"/>
              <w:ind w:left="1044" w:hanging="477"/>
            </w:pPr>
            <w:r w:rsidRPr="00BF0E1F">
              <w:t>resource efficiency</w:t>
            </w:r>
          </w:p>
          <w:p w14:paraId="14365052" w14:textId="77777777" w:rsidR="00BF0E1F" w:rsidRDefault="00BF0E1F" w:rsidP="003E0927">
            <w:pPr>
              <w:pStyle w:val="ListBullet2"/>
              <w:ind w:left="1044" w:hanging="477"/>
            </w:pPr>
            <w:r w:rsidRPr="00BF0E1F">
              <w:t>accessibility</w:t>
            </w:r>
          </w:p>
          <w:p w14:paraId="47D54C97" w14:textId="77777777" w:rsidR="00BF0E1F" w:rsidRDefault="00BF0E1F" w:rsidP="003E0927">
            <w:pPr>
              <w:pStyle w:val="ListBullet2"/>
              <w:ind w:left="1044" w:hanging="477"/>
            </w:pPr>
            <w:r w:rsidRPr="00BF0E1F">
              <w:t>enforceability</w:t>
            </w:r>
          </w:p>
          <w:p w14:paraId="2EFEC958" w14:textId="77777777" w:rsidR="00BF0E1F" w:rsidRDefault="00BF0E1F" w:rsidP="003E0927">
            <w:pPr>
              <w:pStyle w:val="ListBullet2"/>
              <w:ind w:left="1044" w:hanging="477"/>
            </w:pPr>
            <w:r w:rsidRPr="00BF0E1F">
              <w:t>responsiveness</w:t>
            </w:r>
          </w:p>
          <w:p w14:paraId="3FB60067" w14:textId="77777777" w:rsidR="00BF0E1F" w:rsidRDefault="00BF0E1F" w:rsidP="003E0927">
            <w:pPr>
              <w:pStyle w:val="ListBullet2"/>
              <w:ind w:left="1044" w:hanging="477"/>
            </w:pPr>
            <w:r w:rsidRPr="00BF0E1F">
              <w:t>protection of individual rights</w:t>
            </w:r>
          </w:p>
          <w:p w14:paraId="24F1E0EC" w14:textId="77777777" w:rsidR="00BF0E1F" w:rsidRDefault="00BF0E1F" w:rsidP="003E0927">
            <w:pPr>
              <w:pStyle w:val="ListBullet2"/>
              <w:ind w:left="1044" w:hanging="477"/>
            </w:pPr>
            <w:r w:rsidRPr="00BF0E1F">
              <w:t>meeting society’s needs</w:t>
            </w:r>
          </w:p>
          <w:p w14:paraId="3CE2EC2F" w14:textId="77777777" w:rsidR="00BF0E1F" w:rsidRDefault="00BF0E1F" w:rsidP="003E0927">
            <w:pPr>
              <w:pStyle w:val="ListBullet2"/>
              <w:ind w:left="1044" w:hanging="477"/>
            </w:pPr>
            <w:r w:rsidRPr="00BF0E1F">
              <w:t>application of the rule of law</w:t>
            </w:r>
          </w:p>
          <w:p w14:paraId="33DB214D" w14:textId="71FE1E72" w:rsidR="000A74D3" w:rsidRPr="000A74D3" w:rsidRDefault="00BF0E1F" w:rsidP="003E0927">
            <w:pPr>
              <w:pStyle w:val="ListBullet2"/>
              <w:ind w:left="1044" w:hanging="477"/>
            </w:pPr>
            <w:r w:rsidRPr="00BF0E1F">
              <w:t>has justice been achieved?</w:t>
            </w:r>
          </w:p>
        </w:tc>
      </w:tr>
    </w:tbl>
    <w:p w14:paraId="332AEA24" w14:textId="6F03A0C3" w:rsidR="00797C02" w:rsidRPr="0014116A" w:rsidRDefault="35D0B27B" w:rsidP="0014116A">
      <w:pPr>
        <w:pStyle w:val="Heading2"/>
      </w:pPr>
      <w:bookmarkStart w:id="6" w:name="_Toc164852831"/>
      <w:bookmarkStart w:id="7" w:name="_Toc112681291"/>
      <w:r>
        <w:br w:type="page"/>
      </w:r>
      <w:bookmarkStart w:id="8" w:name="_Toc197941728"/>
      <w:bookmarkEnd w:id="6"/>
      <w:r w:rsidR="008011A6" w:rsidRPr="0014116A">
        <w:lastRenderedPageBreak/>
        <w:t>Legal and non-legal issues associated with disadvantage</w:t>
      </w:r>
      <w:bookmarkEnd w:id="8"/>
    </w:p>
    <w:p w14:paraId="1A6B6A28" w14:textId="5BC190FF" w:rsidR="4223BF7C" w:rsidRPr="00E56833" w:rsidRDefault="4223BF7C" w:rsidP="00CE359A">
      <w:pPr>
        <w:pStyle w:val="FeatureBox2"/>
        <w:rPr>
          <w:rFonts w:eastAsia="Arial"/>
          <w:color w:val="000000" w:themeColor="text1"/>
          <w:szCs w:val="22"/>
        </w:rPr>
      </w:pPr>
      <w:r w:rsidRPr="00E56833">
        <w:rPr>
          <w:rFonts w:eastAsia="Arial"/>
          <w:b/>
          <w:bCs/>
          <w:color w:val="000000" w:themeColor="text1"/>
          <w:szCs w:val="22"/>
        </w:rPr>
        <w:t>Note</w:t>
      </w:r>
      <w:r w:rsidRPr="000E5C51">
        <w:rPr>
          <w:rFonts w:eastAsia="Arial"/>
          <w:color w:val="000000" w:themeColor="text1"/>
          <w:szCs w:val="22"/>
        </w:rPr>
        <w:t>:</w:t>
      </w:r>
      <w:r w:rsidRPr="00E56833">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10">
        <w:r w:rsidRPr="00E56833">
          <w:rPr>
            <w:rStyle w:val="Hyperlink"/>
            <w:rFonts w:eastAsia="Arial"/>
            <w:szCs w:val="22"/>
          </w:rPr>
          <w:t>Sharing success criteria</w:t>
        </w:r>
      </w:hyperlink>
      <w:r w:rsidRPr="00E56833">
        <w:rPr>
          <w:rFonts w:eastAsia="Arial"/>
          <w:color w:val="000000" w:themeColor="text1"/>
          <w:szCs w:val="22"/>
        </w:rPr>
        <w:t>.</w:t>
      </w:r>
    </w:p>
    <w:p w14:paraId="25C7963C" w14:textId="35CF2E7F" w:rsidR="001E2166" w:rsidRPr="00E56833" w:rsidRDefault="4223BF7C" w:rsidP="00F862C4">
      <w:pPr>
        <w:pStyle w:val="Heading3"/>
      </w:pPr>
      <w:bookmarkStart w:id="9" w:name="_Toc197941729"/>
      <w:r w:rsidRPr="00E56833">
        <w:t>Learning intention</w:t>
      </w:r>
      <w:r w:rsidR="00FD6F02">
        <w:t>s</w:t>
      </w:r>
      <w:bookmarkEnd w:id="9"/>
    </w:p>
    <w:p w14:paraId="33F2F413" w14:textId="024101F2" w:rsidR="4223BF7C" w:rsidRPr="00E56833" w:rsidRDefault="00355189" w:rsidP="00CE359A">
      <w:pPr>
        <w:rPr>
          <w:rFonts w:eastAsia="Arial"/>
          <w:color w:val="000000" w:themeColor="text1"/>
          <w:szCs w:val="22"/>
        </w:rPr>
      </w:pPr>
      <w:r>
        <w:rPr>
          <w:rFonts w:eastAsia="Arial"/>
          <w:color w:val="000000" w:themeColor="text1"/>
          <w:szCs w:val="22"/>
        </w:rPr>
        <w:t>We are learning</w:t>
      </w:r>
      <w:r w:rsidR="4223BF7C" w:rsidRPr="00E56833">
        <w:rPr>
          <w:rFonts w:eastAsia="Arial"/>
          <w:color w:val="000000" w:themeColor="text1"/>
          <w:szCs w:val="22"/>
        </w:rPr>
        <w:t>:</w:t>
      </w:r>
    </w:p>
    <w:p w14:paraId="292636FB" w14:textId="3CBBB186" w:rsidR="6CE6670C" w:rsidRDefault="00796AA5" w:rsidP="00CE359A">
      <w:pPr>
        <w:pStyle w:val="ListBullet"/>
        <w:rPr>
          <w:szCs w:val="22"/>
        </w:rPr>
      </w:pPr>
      <w:r>
        <w:rPr>
          <w:szCs w:val="22"/>
        </w:rPr>
        <w:t xml:space="preserve">to </w:t>
      </w:r>
      <w:r w:rsidR="00F926A9">
        <w:rPr>
          <w:szCs w:val="22"/>
        </w:rPr>
        <w:t xml:space="preserve">understand </w:t>
      </w:r>
      <w:r w:rsidR="008011A6">
        <w:rPr>
          <w:szCs w:val="22"/>
        </w:rPr>
        <w:t xml:space="preserve">the legal issues associated with disadvantage experienced by Aboriginal and Torres Strait Islander </w:t>
      </w:r>
      <w:r w:rsidR="00271AFA">
        <w:rPr>
          <w:szCs w:val="22"/>
        </w:rPr>
        <w:t>p</w:t>
      </w:r>
      <w:r w:rsidR="008011A6">
        <w:rPr>
          <w:szCs w:val="22"/>
        </w:rPr>
        <w:t>eoples</w:t>
      </w:r>
    </w:p>
    <w:p w14:paraId="0D6FA672" w14:textId="3CE6CD2D" w:rsidR="008011A6" w:rsidRPr="008011A6" w:rsidRDefault="00796AA5" w:rsidP="008011A6">
      <w:pPr>
        <w:pStyle w:val="ListBullet"/>
        <w:rPr>
          <w:szCs w:val="22"/>
        </w:rPr>
      </w:pPr>
      <w:r>
        <w:rPr>
          <w:szCs w:val="22"/>
        </w:rPr>
        <w:t xml:space="preserve">to </w:t>
      </w:r>
      <w:r w:rsidR="008011A6">
        <w:rPr>
          <w:szCs w:val="22"/>
        </w:rPr>
        <w:t xml:space="preserve">understand the non-legal issues associated with disadvantage experienced by Aboriginal and Torres Strait Islander </w:t>
      </w:r>
      <w:r w:rsidR="00271AFA">
        <w:rPr>
          <w:szCs w:val="22"/>
        </w:rPr>
        <w:t>p</w:t>
      </w:r>
      <w:r w:rsidR="008011A6">
        <w:rPr>
          <w:szCs w:val="22"/>
        </w:rPr>
        <w:t>eoples</w:t>
      </w:r>
      <w:r w:rsidR="000E5C51">
        <w:rPr>
          <w:szCs w:val="22"/>
        </w:rPr>
        <w:t>.</w:t>
      </w:r>
    </w:p>
    <w:p w14:paraId="3613F10C" w14:textId="77777777" w:rsidR="001E2166" w:rsidRPr="00E56833" w:rsidRDefault="4223BF7C" w:rsidP="00F862C4">
      <w:pPr>
        <w:pStyle w:val="Heading3"/>
      </w:pPr>
      <w:bookmarkStart w:id="10" w:name="_Toc197941730"/>
      <w:r w:rsidRPr="00E56833">
        <w:t>Success criteria</w:t>
      </w:r>
      <w:bookmarkEnd w:id="10"/>
    </w:p>
    <w:p w14:paraId="38291740" w14:textId="60A2FE50" w:rsidR="4223BF7C" w:rsidRPr="00E56833" w:rsidRDefault="00355189" w:rsidP="00CE359A">
      <w:pPr>
        <w:rPr>
          <w:rFonts w:eastAsia="Arial"/>
          <w:color w:val="000000" w:themeColor="text1"/>
          <w:szCs w:val="22"/>
        </w:rPr>
      </w:pPr>
      <w:r>
        <w:rPr>
          <w:rFonts w:eastAsia="Arial"/>
          <w:color w:val="000000" w:themeColor="text1"/>
          <w:szCs w:val="22"/>
        </w:rPr>
        <w:t>I</w:t>
      </w:r>
      <w:r w:rsidR="4223BF7C" w:rsidRPr="00462FCE">
        <w:rPr>
          <w:rFonts w:eastAsia="Arial"/>
          <w:color w:val="000000" w:themeColor="text1"/>
          <w:szCs w:val="22"/>
        </w:rPr>
        <w:t xml:space="preserve"> can</w:t>
      </w:r>
      <w:r w:rsidR="4223BF7C" w:rsidRPr="00E56833">
        <w:rPr>
          <w:rFonts w:eastAsia="Arial"/>
          <w:color w:val="000000" w:themeColor="text1"/>
          <w:szCs w:val="22"/>
        </w:rPr>
        <w:t>:</w:t>
      </w:r>
    </w:p>
    <w:p w14:paraId="1F624B5E" w14:textId="33A9A785" w:rsidR="30500DD1" w:rsidRPr="00E56833" w:rsidRDefault="002863A5" w:rsidP="00CE359A">
      <w:pPr>
        <w:pStyle w:val="ListBullet"/>
        <w:rPr>
          <w:rFonts w:eastAsia="Arial"/>
          <w:color w:val="000000" w:themeColor="text1"/>
          <w:szCs w:val="22"/>
        </w:rPr>
      </w:pPr>
      <w:r>
        <w:rPr>
          <w:rFonts w:eastAsia="Arial"/>
          <w:color w:val="000000" w:themeColor="text1"/>
          <w:szCs w:val="22"/>
        </w:rPr>
        <w:t xml:space="preserve">generate an evidenced 3-slide presentation </w:t>
      </w:r>
      <w:r w:rsidR="00355189">
        <w:rPr>
          <w:rFonts w:eastAsia="Arial"/>
          <w:color w:val="000000" w:themeColor="text1"/>
          <w:szCs w:val="22"/>
        </w:rPr>
        <w:t>outlining</w:t>
      </w:r>
      <w:r>
        <w:rPr>
          <w:rFonts w:eastAsia="Arial"/>
          <w:color w:val="000000" w:themeColor="text1"/>
          <w:szCs w:val="22"/>
        </w:rPr>
        <w:t xml:space="preserve"> a legal issue </w:t>
      </w:r>
      <w:r>
        <w:rPr>
          <w:szCs w:val="22"/>
        </w:rPr>
        <w:t xml:space="preserve">associated with disadvantage experienced by Aboriginal and Torres Strait Islander </w:t>
      </w:r>
      <w:r w:rsidR="00271AFA">
        <w:rPr>
          <w:szCs w:val="22"/>
        </w:rPr>
        <w:t>p</w:t>
      </w:r>
      <w:r>
        <w:rPr>
          <w:szCs w:val="22"/>
        </w:rPr>
        <w:t>eoples</w:t>
      </w:r>
    </w:p>
    <w:p w14:paraId="7051C2E4" w14:textId="34966374" w:rsidR="30500DD1" w:rsidRPr="002863A5" w:rsidRDefault="002863A5" w:rsidP="002863A5">
      <w:pPr>
        <w:pStyle w:val="ListBullet"/>
        <w:rPr>
          <w:rFonts w:eastAsia="Arial"/>
          <w:color w:val="000000" w:themeColor="text1"/>
          <w:szCs w:val="22"/>
        </w:rPr>
      </w:pPr>
      <w:r>
        <w:rPr>
          <w:rFonts w:eastAsia="Arial"/>
          <w:color w:val="000000" w:themeColor="text1"/>
          <w:szCs w:val="22"/>
        </w:rPr>
        <w:t xml:space="preserve">generate an evidenced 3-slide presentation </w:t>
      </w:r>
      <w:r w:rsidR="00355189">
        <w:rPr>
          <w:rFonts w:eastAsia="Arial"/>
          <w:color w:val="000000" w:themeColor="text1"/>
          <w:szCs w:val="22"/>
        </w:rPr>
        <w:t>outlining</w:t>
      </w:r>
      <w:r>
        <w:rPr>
          <w:rFonts w:eastAsia="Arial"/>
          <w:color w:val="000000" w:themeColor="text1"/>
          <w:szCs w:val="22"/>
        </w:rPr>
        <w:t xml:space="preserve"> a non-legal issue </w:t>
      </w:r>
      <w:r>
        <w:rPr>
          <w:szCs w:val="22"/>
        </w:rPr>
        <w:t xml:space="preserve">associated with disadvantage experienced by Aboriginal and Torres Strait Islander </w:t>
      </w:r>
      <w:r w:rsidR="00271AFA">
        <w:rPr>
          <w:szCs w:val="22"/>
        </w:rPr>
        <w:t>p</w:t>
      </w:r>
      <w:r>
        <w:rPr>
          <w:szCs w:val="22"/>
        </w:rPr>
        <w:t>eoples</w:t>
      </w:r>
      <w:r w:rsidR="000E5C51">
        <w:rPr>
          <w:szCs w:val="22"/>
        </w:rPr>
        <w:t>.</w:t>
      </w:r>
    </w:p>
    <w:p w14:paraId="0311C590" w14:textId="05B7AAD7" w:rsidR="009B6635" w:rsidRPr="0043664D" w:rsidRDefault="76551EA0" w:rsidP="00CE359A">
      <w:pPr>
        <w:pStyle w:val="FeatureBox2"/>
      </w:pPr>
      <w:r w:rsidRPr="00E56833">
        <w:rPr>
          <w:rFonts w:eastAsia="Calibri"/>
          <w:b/>
          <w:bCs/>
          <w:szCs w:val="22"/>
        </w:rPr>
        <w:t>N</w:t>
      </w:r>
      <w:r w:rsidR="46B09057" w:rsidRPr="00E56833">
        <w:rPr>
          <w:rFonts w:eastAsia="Calibri"/>
          <w:b/>
          <w:bCs/>
          <w:szCs w:val="22"/>
        </w:rPr>
        <w:t>ote</w:t>
      </w:r>
      <w:r w:rsidR="3EC7F526" w:rsidRPr="000E5C51">
        <w:rPr>
          <w:rFonts w:eastAsia="Calibri"/>
          <w:szCs w:val="22"/>
        </w:rPr>
        <w:t>:</w:t>
      </w:r>
      <w:r w:rsidR="3EC7F526" w:rsidRPr="00E56833">
        <w:rPr>
          <w:rFonts w:eastAsia="Calibri"/>
          <w:szCs w:val="22"/>
        </w:rPr>
        <w:t xml:space="preserve"> </w:t>
      </w:r>
      <w:r w:rsidR="000E5C51">
        <w:t>t</w:t>
      </w:r>
      <w:r w:rsidR="0043664D" w:rsidRPr="004C68E9">
        <w:t xml:space="preserve">his resource includes topics that may be considered controversial or sensitive. Teachers are to respect the diverse views and experiences of all students and approach discussions in a manner that is impartial, free from harassment and discrimination, supportive of students’ wellbeing needs and aligned with the department’s Code of conduct, Anti-racism policy, </w:t>
      </w:r>
      <w:hyperlink r:id="rId11">
        <w:r w:rsidR="0043664D" w:rsidRPr="00E56833">
          <w:rPr>
            <w:rStyle w:val="Hyperlink"/>
            <w:rFonts w:eastAsia="Arial"/>
            <w:noProof/>
            <w:szCs w:val="22"/>
          </w:rPr>
          <w:t xml:space="preserve">Controversial </w:t>
        </w:r>
        <w:r w:rsidR="00305282">
          <w:rPr>
            <w:rStyle w:val="Hyperlink"/>
            <w:rFonts w:eastAsia="Arial"/>
            <w:noProof/>
            <w:szCs w:val="22"/>
          </w:rPr>
          <w:t>i</w:t>
        </w:r>
        <w:r w:rsidR="0043664D" w:rsidRPr="00E56833">
          <w:rPr>
            <w:rStyle w:val="Hyperlink"/>
            <w:rFonts w:eastAsia="Arial"/>
            <w:noProof/>
            <w:szCs w:val="22"/>
          </w:rPr>
          <w:t xml:space="preserve">ssues in </w:t>
        </w:r>
        <w:r w:rsidR="00305282">
          <w:rPr>
            <w:rStyle w:val="Hyperlink"/>
            <w:rFonts w:eastAsia="Arial"/>
            <w:noProof/>
            <w:szCs w:val="22"/>
          </w:rPr>
          <w:t>s</w:t>
        </w:r>
        <w:r w:rsidR="0043664D" w:rsidRPr="00E56833">
          <w:rPr>
            <w:rStyle w:val="Hyperlink"/>
            <w:rFonts w:eastAsia="Arial"/>
            <w:noProof/>
            <w:szCs w:val="22"/>
          </w:rPr>
          <w:t>chools</w:t>
        </w:r>
        <w:r w:rsidR="0043664D" w:rsidRPr="00F862C4">
          <w:t xml:space="preserve"> policy</w:t>
        </w:r>
      </w:hyperlink>
      <w:r w:rsidR="0043664D" w:rsidRPr="004C68E9">
        <w:t>, and values in NSW public schools. Teachers should facilitate rational discourse and objective study while tailoring the content to meet the unique needs of their students. Where possible, teachers should consult with the school’s wellbeing team before using contexts that may be sensitive for some students.</w:t>
      </w:r>
    </w:p>
    <w:p w14:paraId="3D41FA15" w14:textId="3DB1AF12" w:rsidR="00FF47AF" w:rsidRPr="00E56833" w:rsidRDefault="009B6635" w:rsidP="00CE359A">
      <w:pPr>
        <w:pStyle w:val="FeatureBox"/>
        <w:rPr>
          <w:b/>
          <w:bCs/>
          <w:szCs w:val="22"/>
        </w:rPr>
      </w:pPr>
      <w:r w:rsidRPr="00E56833">
        <w:rPr>
          <w:b/>
          <w:bCs/>
          <w:szCs w:val="22"/>
        </w:rPr>
        <w:lastRenderedPageBreak/>
        <w:t>Defining</w:t>
      </w:r>
      <w:r w:rsidR="000366CA">
        <w:rPr>
          <w:b/>
          <w:bCs/>
          <w:szCs w:val="22"/>
        </w:rPr>
        <w:t xml:space="preserve"> </w:t>
      </w:r>
      <w:r w:rsidR="00E86824">
        <w:rPr>
          <w:b/>
          <w:bCs/>
          <w:szCs w:val="22"/>
        </w:rPr>
        <w:t xml:space="preserve">socio-economic advantage and </w:t>
      </w:r>
      <w:r w:rsidR="00FA2806">
        <w:rPr>
          <w:b/>
          <w:bCs/>
          <w:szCs w:val="22"/>
        </w:rPr>
        <w:t>disadvantage</w:t>
      </w:r>
    </w:p>
    <w:p w14:paraId="1618631A" w14:textId="1E563FD7" w:rsidR="001C350B" w:rsidRPr="001C350B" w:rsidRDefault="00E86824" w:rsidP="001C350B">
      <w:pPr>
        <w:pStyle w:val="FeatureBox"/>
        <w:rPr>
          <w:szCs w:val="22"/>
        </w:rPr>
      </w:pPr>
      <w:r w:rsidRPr="00E86824">
        <w:rPr>
          <w:szCs w:val="22"/>
        </w:rPr>
        <w:t xml:space="preserve">Socio-economic advantage and disadvantage </w:t>
      </w:r>
      <w:proofErr w:type="gramStart"/>
      <w:r w:rsidRPr="00E86824">
        <w:rPr>
          <w:szCs w:val="22"/>
        </w:rPr>
        <w:t>is</w:t>
      </w:r>
      <w:proofErr w:type="gramEnd"/>
      <w:r w:rsidRPr="00E86824">
        <w:rPr>
          <w:szCs w:val="22"/>
        </w:rPr>
        <w:t xml:space="preserve"> defined by the Australian Bureau of Statistics (ABS) as people</w:t>
      </w:r>
      <w:r w:rsidR="00305282">
        <w:rPr>
          <w:szCs w:val="22"/>
        </w:rPr>
        <w:t>’</w:t>
      </w:r>
      <w:r w:rsidRPr="00E86824">
        <w:rPr>
          <w:szCs w:val="22"/>
        </w:rPr>
        <w:t>s access to material and social resources, and their ability to participate in society.</w:t>
      </w:r>
    </w:p>
    <w:p w14:paraId="1D1A86ED" w14:textId="6C20ABFA" w:rsidR="0017270F" w:rsidRPr="0017270F" w:rsidRDefault="0017270F" w:rsidP="0017270F">
      <w:pPr>
        <w:pStyle w:val="FeatureBox3"/>
      </w:pPr>
      <w:r w:rsidRPr="00AE7FF4">
        <w:rPr>
          <w:rStyle w:val="Strong"/>
        </w:rPr>
        <w:t>Check for</w:t>
      </w:r>
      <w:r>
        <w:rPr>
          <w:rStyle w:val="Strong"/>
        </w:rPr>
        <w:t xml:space="preserve"> </w:t>
      </w:r>
      <w:r w:rsidRPr="00AE7FF4">
        <w:rPr>
          <w:rStyle w:val="Strong"/>
        </w:rPr>
        <w:t>understanding</w:t>
      </w:r>
      <w:r w:rsidRPr="00E32DA1">
        <w:rPr>
          <w:rStyle w:val="Strong"/>
          <w:b w:val="0"/>
          <w:bCs w:val="0"/>
        </w:rPr>
        <w:t xml:space="preserve">: </w:t>
      </w:r>
      <w:r w:rsidR="000E5C51">
        <w:rPr>
          <w:rStyle w:val="Strong"/>
          <w:b w:val="0"/>
          <w:bCs w:val="0"/>
        </w:rPr>
        <w:t>u</w:t>
      </w:r>
      <w:r w:rsidRPr="00467DF7">
        <w:rPr>
          <w:rStyle w:val="Strong"/>
          <w:b w:val="0"/>
          <w:bCs w:val="0"/>
        </w:rPr>
        <w:t xml:space="preserve">se a </w:t>
      </w:r>
      <w:hyperlink r:id="rId12" w:history="1">
        <w:r w:rsidRPr="008C75A5">
          <w:rPr>
            <w:rStyle w:val="Hyperlink"/>
          </w:rPr>
          <w:t>Googl</w:t>
        </w:r>
        <w:r w:rsidRPr="008C75A5">
          <w:rPr>
            <w:rStyle w:val="Hyperlink"/>
          </w:rPr>
          <w:t>e</w:t>
        </w:r>
        <w:r w:rsidRPr="008C75A5">
          <w:rPr>
            <w:rStyle w:val="Hyperlink"/>
          </w:rPr>
          <w:t xml:space="preserve"> Form</w:t>
        </w:r>
      </w:hyperlink>
      <w:r w:rsidRPr="00467DF7">
        <w:rPr>
          <w:rStyle w:val="Strong"/>
          <w:b w:val="0"/>
          <w:bCs w:val="0"/>
        </w:rPr>
        <w:t xml:space="preserve"> or similar </w:t>
      </w:r>
      <w:hyperlink r:id="rId13" w:history="1">
        <w:r w:rsidRPr="00467DF7">
          <w:rPr>
            <w:rStyle w:val="Hyperlink"/>
          </w:rPr>
          <w:t>quick response</w:t>
        </w:r>
        <w:r w:rsidRPr="00305282">
          <w:t xml:space="preserve"> activity</w:t>
        </w:r>
      </w:hyperlink>
      <w:r w:rsidRPr="00305282">
        <w:t xml:space="preserve"> </w:t>
      </w:r>
      <w:r w:rsidRPr="00467DF7">
        <w:rPr>
          <w:rStyle w:val="Strong"/>
          <w:b w:val="0"/>
          <w:bCs w:val="0"/>
        </w:rPr>
        <w:t xml:space="preserve">to enable students to record their definitions of </w:t>
      </w:r>
      <w:r>
        <w:rPr>
          <w:rStyle w:val="Strong"/>
          <w:b w:val="0"/>
          <w:bCs w:val="0"/>
        </w:rPr>
        <w:t>‘socio-economic advantage’ and ‘socio-economic disadvantage’</w:t>
      </w:r>
      <w:r w:rsidRPr="00467DF7">
        <w:rPr>
          <w:rStyle w:val="Strong"/>
          <w:b w:val="0"/>
          <w:bCs w:val="0"/>
        </w:rPr>
        <w:t>. Where incorrect definitions are recorded, the teacher should reteach the content to improve student understanding.</w:t>
      </w:r>
    </w:p>
    <w:p w14:paraId="28606F81" w14:textId="2B66918B" w:rsidR="00797C02" w:rsidRPr="00E56833" w:rsidRDefault="007B18C5" w:rsidP="00CE359A">
      <w:pPr>
        <w:rPr>
          <w:szCs w:val="22"/>
        </w:rPr>
      </w:pPr>
      <w:r w:rsidRPr="00E56833">
        <w:rPr>
          <w:szCs w:val="22"/>
        </w:rPr>
        <w:t>D</w:t>
      </w:r>
      <w:r w:rsidR="00797C02" w:rsidRPr="00E56833">
        <w:rPr>
          <w:szCs w:val="22"/>
        </w:rPr>
        <w:t xml:space="preserve">raw on </w:t>
      </w:r>
      <w:r w:rsidRPr="00E56833">
        <w:rPr>
          <w:szCs w:val="22"/>
        </w:rPr>
        <w:t xml:space="preserve">your </w:t>
      </w:r>
      <w:r w:rsidR="00797C02" w:rsidRPr="00E56833">
        <w:rPr>
          <w:szCs w:val="22"/>
        </w:rPr>
        <w:t xml:space="preserve">prior knowledge to brainstorm </w:t>
      </w:r>
      <w:r w:rsidRPr="00E56833">
        <w:rPr>
          <w:szCs w:val="22"/>
        </w:rPr>
        <w:t xml:space="preserve">the definitions of the </w:t>
      </w:r>
      <w:r w:rsidR="00797C02" w:rsidRPr="00E56833">
        <w:rPr>
          <w:szCs w:val="22"/>
        </w:rPr>
        <w:t xml:space="preserve">below terms related to </w:t>
      </w:r>
      <w:r w:rsidR="00FA2806">
        <w:rPr>
          <w:szCs w:val="22"/>
        </w:rPr>
        <w:t>the relationship between law and disadvantage</w:t>
      </w:r>
      <w:r w:rsidR="00E32DA1">
        <w:rPr>
          <w:szCs w:val="22"/>
        </w:rPr>
        <w:t>:</w:t>
      </w:r>
    </w:p>
    <w:p w14:paraId="16A265E8" w14:textId="369E2951" w:rsidR="00797C02" w:rsidRPr="00E56833" w:rsidRDefault="00FA2806" w:rsidP="00AB2249">
      <w:pPr>
        <w:pStyle w:val="ListBullet"/>
        <w:rPr>
          <w:szCs w:val="22"/>
        </w:rPr>
      </w:pPr>
      <w:r>
        <w:rPr>
          <w:szCs w:val="22"/>
        </w:rPr>
        <w:t>disadvantage</w:t>
      </w:r>
    </w:p>
    <w:p w14:paraId="0E6ED1C5" w14:textId="4EEBF981" w:rsidR="00797C02" w:rsidRDefault="00FA2806" w:rsidP="00FA2806">
      <w:pPr>
        <w:pStyle w:val="ListBullet"/>
        <w:rPr>
          <w:szCs w:val="22"/>
        </w:rPr>
      </w:pPr>
      <w:r>
        <w:rPr>
          <w:szCs w:val="22"/>
        </w:rPr>
        <w:t>jurisdiction</w:t>
      </w:r>
    </w:p>
    <w:p w14:paraId="2A3E821E" w14:textId="6C86FE09" w:rsidR="00FA2806" w:rsidRDefault="00FA2806" w:rsidP="00FA2806">
      <w:pPr>
        <w:pStyle w:val="ListBullet"/>
        <w:rPr>
          <w:szCs w:val="22"/>
        </w:rPr>
      </w:pPr>
      <w:r>
        <w:rPr>
          <w:szCs w:val="22"/>
        </w:rPr>
        <w:t>accessibility</w:t>
      </w:r>
    </w:p>
    <w:p w14:paraId="6E939ECB" w14:textId="69F63528" w:rsidR="00FA2806" w:rsidRDefault="00FA2806" w:rsidP="00FA2806">
      <w:pPr>
        <w:pStyle w:val="ListBullet"/>
        <w:rPr>
          <w:szCs w:val="22"/>
        </w:rPr>
      </w:pPr>
      <w:r>
        <w:rPr>
          <w:szCs w:val="22"/>
        </w:rPr>
        <w:t>enforceability</w:t>
      </w:r>
    </w:p>
    <w:p w14:paraId="42AD1E11" w14:textId="02319749" w:rsidR="00FA2806" w:rsidRDefault="00FA2806" w:rsidP="00FA2806">
      <w:pPr>
        <w:pStyle w:val="ListBullet"/>
        <w:rPr>
          <w:szCs w:val="22"/>
        </w:rPr>
      </w:pPr>
      <w:r>
        <w:rPr>
          <w:szCs w:val="22"/>
        </w:rPr>
        <w:t>responsiveness</w:t>
      </w:r>
    </w:p>
    <w:p w14:paraId="75C01622" w14:textId="1C41251D" w:rsidR="00797C02" w:rsidRPr="00FA2806" w:rsidRDefault="00FA2806" w:rsidP="00FA2806">
      <w:pPr>
        <w:pStyle w:val="ListBullet"/>
        <w:rPr>
          <w:szCs w:val="22"/>
        </w:rPr>
      </w:pPr>
      <w:r>
        <w:rPr>
          <w:szCs w:val="22"/>
        </w:rPr>
        <w:t>resource efficiency</w:t>
      </w:r>
      <w:r w:rsidR="00E32DA1">
        <w:rPr>
          <w:szCs w:val="22"/>
        </w:rPr>
        <w:t>.</w:t>
      </w:r>
    </w:p>
    <w:p w14:paraId="5809173D" w14:textId="2C1F46EF" w:rsidR="00E41D7E" w:rsidRPr="00E56833" w:rsidRDefault="007B18C5" w:rsidP="00CE359A">
      <w:pPr>
        <w:rPr>
          <w:szCs w:val="22"/>
        </w:rPr>
      </w:pPr>
      <w:r w:rsidRPr="00E56833">
        <w:rPr>
          <w:szCs w:val="22"/>
        </w:rPr>
        <w:t>C</w:t>
      </w:r>
      <w:r w:rsidR="00797C02" w:rsidRPr="00E56833">
        <w:rPr>
          <w:szCs w:val="22"/>
        </w:rPr>
        <w:t>ollaborate in small groups to construct joint definitions of each of the above terms.</w:t>
      </w:r>
      <w:r w:rsidRPr="00E56833">
        <w:rPr>
          <w:szCs w:val="22"/>
        </w:rPr>
        <w:t xml:space="preserve"> S</w:t>
      </w:r>
      <w:r w:rsidR="00797C02" w:rsidRPr="00E56833">
        <w:rPr>
          <w:szCs w:val="22"/>
        </w:rPr>
        <w:t xml:space="preserve">hare </w:t>
      </w:r>
      <w:r w:rsidRPr="00E56833">
        <w:rPr>
          <w:szCs w:val="22"/>
        </w:rPr>
        <w:t>your</w:t>
      </w:r>
      <w:r w:rsidR="00797C02" w:rsidRPr="00E56833">
        <w:rPr>
          <w:szCs w:val="22"/>
        </w:rPr>
        <w:t xml:space="preserve"> joint definitions with the class.</w:t>
      </w:r>
    </w:p>
    <w:p w14:paraId="094E823F" w14:textId="43D8BFA9" w:rsidR="00E41D7E" w:rsidRPr="00E56833" w:rsidRDefault="00E41D7E" w:rsidP="00CE359A">
      <w:pPr>
        <w:pStyle w:val="FeatureBox2"/>
        <w:rPr>
          <w:szCs w:val="22"/>
          <w:lang w:val="en-US"/>
        </w:rPr>
      </w:pPr>
      <w:r w:rsidRPr="00E56833">
        <w:rPr>
          <w:b/>
          <w:bCs/>
          <w:szCs w:val="22"/>
        </w:rPr>
        <w:t>Note</w:t>
      </w:r>
      <w:r w:rsidRPr="00E32DA1">
        <w:rPr>
          <w:szCs w:val="22"/>
        </w:rPr>
        <w:t>:</w:t>
      </w:r>
      <w:r w:rsidRPr="00E56833">
        <w:rPr>
          <w:szCs w:val="22"/>
        </w:rPr>
        <w:t xml:space="preserve"> </w:t>
      </w:r>
      <w:r w:rsidR="009F1091">
        <w:rPr>
          <w:szCs w:val="22"/>
          <w:lang w:val="en-US"/>
        </w:rPr>
        <w:t>t</w:t>
      </w:r>
      <w:r w:rsidRPr="00E56833">
        <w:rPr>
          <w:szCs w:val="22"/>
          <w:lang w:val="en-US"/>
        </w:rPr>
        <w:t>eachers may use the above activity to assess student preparedness to distinguish between</w:t>
      </w:r>
      <w:r w:rsidR="00FA2806">
        <w:rPr>
          <w:szCs w:val="22"/>
          <w:lang w:val="en-US"/>
        </w:rPr>
        <w:t xml:space="preserve"> criteria for assessing the effectiveness of the law</w:t>
      </w:r>
      <w:r w:rsidRPr="00E56833">
        <w:rPr>
          <w:szCs w:val="22"/>
          <w:lang w:val="en-US"/>
        </w:rPr>
        <w:t>, given the level of complexity of the definitions.</w:t>
      </w:r>
      <w:r w:rsidR="223C6126" w:rsidRPr="00E56833">
        <w:rPr>
          <w:szCs w:val="22"/>
          <w:lang w:val="en-US"/>
        </w:rPr>
        <w:t xml:space="preserve"> For EAL/D students, consider using visuals to support this language-dependent activity to help build conceptual understanding and to connect student</w:t>
      </w:r>
      <w:r w:rsidR="00327DA5">
        <w:rPr>
          <w:szCs w:val="22"/>
          <w:lang w:val="en-US"/>
        </w:rPr>
        <w:t>s</w:t>
      </w:r>
      <w:r w:rsidR="223C6126" w:rsidRPr="00E56833">
        <w:rPr>
          <w:szCs w:val="22"/>
          <w:lang w:val="en-US"/>
        </w:rPr>
        <w:t xml:space="preserve"> with their prior learning. </w:t>
      </w:r>
      <w:r w:rsidR="009A0C22">
        <w:rPr>
          <w:szCs w:val="22"/>
          <w:lang w:val="en-US"/>
        </w:rPr>
        <w:t xml:space="preserve">Give </w:t>
      </w:r>
      <w:r w:rsidR="223C6126" w:rsidRPr="00E56833">
        <w:rPr>
          <w:szCs w:val="22"/>
          <w:lang w:val="en-US"/>
        </w:rPr>
        <w:t>EAL/D students who speak the same home language an opportunity to discuss the definitions in their own language first.</w:t>
      </w:r>
      <w:r w:rsidR="23BB20BE" w:rsidRPr="00E56833">
        <w:rPr>
          <w:szCs w:val="22"/>
          <w:lang w:val="en-US"/>
        </w:rPr>
        <w:t xml:space="preserve"> Teachers should use gradual release of responsibility throughout the activity, including moving between modelled, guided and independent practice.</w:t>
      </w:r>
      <w:r w:rsidR="009A0C22" w:rsidRPr="009A0C22">
        <w:rPr>
          <w:rFonts w:ascii="Segoe UI" w:hAnsi="Segoe UI" w:cs="Segoe UI"/>
          <w:sz w:val="18"/>
          <w:szCs w:val="18"/>
        </w:rPr>
        <w:t xml:space="preserve"> </w:t>
      </w:r>
      <w:r w:rsidR="009A0C22" w:rsidRPr="009A0C22">
        <w:rPr>
          <w:szCs w:val="22"/>
        </w:rPr>
        <w:t>For example, the teacher</w:t>
      </w:r>
      <w:r w:rsidR="009A0C22">
        <w:rPr>
          <w:szCs w:val="22"/>
        </w:rPr>
        <w:t xml:space="preserve"> could</w:t>
      </w:r>
      <w:r w:rsidR="009A0C22" w:rsidRPr="009A0C22">
        <w:rPr>
          <w:szCs w:val="22"/>
        </w:rPr>
        <w:t xml:space="preserve"> model looking up the ‘social determinants of health’ and model how to think of and write the sentence about the contribution</w:t>
      </w:r>
      <w:r w:rsidR="009A0C22">
        <w:rPr>
          <w:szCs w:val="22"/>
        </w:rPr>
        <w:t xml:space="preserve"> of the legal system to social determinants of health</w:t>
      </w:r>
      <w:r w:rsidR="009A0C22" w:rsidRPr="009A0C22">
        <w:rPr>
          <w:szCs w:val="22"/>
        </w:rPr>
        <w:t>.</w:t>
      </w:r>
      <w:r w:rsidR="009A0C22">
        <w:rPr>
          <w:szCs w:val="22"/>
        </w:rPr>
        <w:t xml:space="preserve"> The activity </w:t>
      </w:r>
      <w:r w:rsidR="009A0C22">
        <w:rPr>
          <w:szCs w:val="22"/>
        </w:rPr>
        <w:lastRenderedPageBreak/>
        <w:t>would then be repeated with the teacher guiding students to complete the task and finally students would be released to complete the task independently.</w:t>
      </w:r>
    </w:p>
    <w:p w14:paraId="4ED57170" w14:textId="0790BC12" w:rsidR="00797C02" w:rsidRPr="00E56833" w:rsidRDefault="00DA0D4D" w:rsidP="00CE359A">
      <w:pPr>
        <w:rPr>
          <w:szCs w:val="22"/>
        </w:rPr>
      </w:pPr>
      <w:r>
        <w:rPr>
          <w:szCs w:val="22"/>
        </w:rPr>
        <w:t xml:space="preserve">Conduct a </w:t>
      </w:r>
      <w:hyperlink r:id="rId14" w:history="1">
        <w:r w:rsidR="008F4F0E">
          <w:rPr>
            <w:rStyle w:val="Hyperlink"/>
            <w:szCs w:val="22"/>
          </w:rPr>
          <w:t>Think-Pair-Share</w:t>
        </w:r>
      </w:hyperlink>
      <w:r>
        <w:rPr>
          <w:szCs w:val="22"/>
        </w:rPr>
        <w:t xml:space="preserve"> </w:t>
      </w:r>
      <w:r w:rsidR="008F4F0E">
        <w:rPr>
          <w:szCs w:val="22"/>
        </w:rPr>
        <w:t xml:space="preserve">routine </w:t>
      </w:r>
      <w:r>
        <w:rPr>
          <w:szCs w:val="22"/>
        </w:rPr>
        <w:t>where you compare and discuss your definitions of ‘</w:t>
      </w:r>
      <w:r w:rsidR="00FA2806">
        <w:rPr>
          <w:szCs w:val="22"/>
        </w:rPr>
        <w:t>disadvantage’</w:t>
      </w:r>
      <w:r>
        <w:rPr>
          <w:szCs w:val="22"/>
        </w:rPr>
        <w:t>.</w:t>
      </w:r>
    </w:p>
    <w:p w14:paraId="24D6B580" w14:textId="0F6964C8" w:rsidR="00797C02" w:rsidRPr="00E56833" w:rsidRDefault="003E747E" w:rsidP="00CE359A">
      <w:pPr>
        <w:rPr>
          <w:szCs w:val="22"/>
        </w:rPr>
      </w:pPr>
      <w:r w:rsidRPr="00E56833">
        <w:rPr>
          <w:szCs w:val="22"/>
        </w:rPr>
        <w:t>Engage with</w:t>
      </w:r>
      <w:r w:rsidR="00362C3E">
        <w:rPr>
          <w:szCs w:val="22"/>
        </w:rPr>
        <w:t xml:space="preserve"> the introduction to</w:t>
      </w:r>
      <w:r w:rsidR="00797C02" w:rsidRPr="00E56833">
        <w:rPr>
          <w:szCs w:val="22"/>
        </w:rPr>
        <w:t xml:space="preserve"> </w:t>
      </w:r>
      <w:hyperlink r:id="rId15" w:history="1">
        <w:r w:rsidR="00D63214" w:rsidRPr="00D0340C">
          <w:rPr>
            <w:rStyle w:val="Hyperlink"/>
          </w:rPr>
          <w:t>Social determinants of heal</w:t>
        </w:r>
        <w:r w:rsidR="00D0340C" w:rsidRPr="00D0340C">
          <w:rPr>
            <w:rStyle w:val="Hyperlink"/>
          </w:rPr>
          <w:t>t</w:t>
        </w:r>
        <w:r w:rsidR="00D63214" w:rsidRPr="00D0340C">
          <w:rPr>
            <w:rStyle w:val="Hyperlink"/>
          </w:rPr>
          <w:t>h</w:t>
        </w:r>
      </w:hyperlink>
      <w:r w:rsidR="002D0F60">
        <w:t xml:space="preserve"> </w:t>
      </w:r>
      <w:r w:rsidR="001901C7" w:rsidRPr="00E56833">
        <w:rPr>
          <w:szCs w:val="22"/>
        </w:rPr>
        <w:t>then</w:t>
      </w:r>
      <w:r w:rsidR="00797C02" w:rsidRPr="00E56833">
        <w:rPr>
          <w:szCs w:val="22"/>
        </w:rPr>
        <w:t xml:space="preserve"> answer the following questions:</w:t>
      </w:r>
    </w:p>
    <w:p w14:paraId="5BFDB64E" w14:textId="41B8D193" w:rsidR="00797C02" w:rsidRDefault="00362C3E" w:rsidP="00CE359A">
      <w:pPr>
        <w:pStyle w:val="ListBullet"/>
        <w:rPr>
          <w:szCs w:val="22"/>
        </w:rPr>
      </w:pPr>
      <w:r>
        <w:rPr>
          <w:szCs w:val="22"/>
        </w:rPr>
        <w:t>Create a list of the 10 social determinants of health that are identified by the World Health Organisation (WHO).</w:t>
      </w:r>
    </w:p>
    <w:p w14:paraId="3C01F6D4" w14:textId="569A5267" w:rsidR="00DA0D4D" w:rsidRPr="00E56833" w:rsidRDefault="00EB7067" w:rsidP="00CE359A">
      <w:pPr>
        <w:pStyle w:val="ListBullet"/>
        <w:rPr>
          <w:szCs w:val="22"/>
        </w:rPr>
      </w:pPr>
      <w:r>
        <w:rPr>
          <w:szCs w:val="22"/>
        </w:rPr>
        <w:t xml:space="preserve">Choose 3 social determinants of health on your list and write a </w:t>
      </w:r>
      <w:r w:rsidR="00431499">
        <w:rPr>
          <w:szCs w:val="22"/>
        </w:rPr>
        <w:t>one</w:t>
      </w:r>
      <w:r>
        <w:rPr>
          <w:szCs w:val="22"/>
        </w:rPr>
        <w:t xml:space="preserve">-sentence explanation about how the legal system contributes to </w:t>
      </w:r>
      <w:r w:rsidR="00431499">
        <w:rPr>
          <w:szCs w:val="22"/>
        </w:rPr>
        <w:t xml:space="preserve">each of those </w:t>
      </w:r>
      <w:r>
        <w:rPr>
          <w:szCs w:val="22"/>
        </w:rPr>
        <w:t>determinant</w:t>
      </w:r>
      <w:r w:rsidR="00431499">
        <w:rPr>
          <w:szCs w:val="22"/>
        </w:rPr>
        <w:t>s</w:t>
      </w:r>
      <w:r>
        <w:rPr>
          <w:szCs w:val="22"/>
        </w:rPr>
        <w:t xml:space="preserve">. For example, the </w:t>
      </w:r>
      <w:r w:rsidR="008A7124">
        <w:rPr>
          <w:szCs w:val="22"/>
        </w:rPr>
        <w:t>law can support job security by prohibiting unfair dismissal.</w:t>
      </w:r>
    </w:p>
    <w:p w14:paraId="6BCCDAF0" w14:textId="43711C63" w:rsidR="005D42AE" w:rsidRPr="005D42AE" w:rsidRDefault="00915B2F" w:rsidP="005D42AE">
      <w:pPr>
        <w:pStyle w:val="ListBullet"/>
        <w:rPr>
          <w:szCs w:val="22"/>
        </w:rPr>
      </w:pPr>
      <w:r>
        <w:rPr>
          <w:szCs w:val="22"/>
        </w:rPr>
        <w:t>Use your examples to explain why the legal system might contribute to socio-economic advantage or, alternatively, disadvantage.</w:t>
      </w:r>
    </w:p>
    <w:p w14:paraId="2D09CC12" w14:textId="4B79A7CC" w:rsidR="00B76A66" w:rsidRPr="00E56833" w:rsidRDefault="000960F8" w:rsidP="00B76A66">
      <w:pPr>
        <w:pStyle w:val="FeatureBox"/>
        <w:rPr>
          <w:b/>
          <w:bCs/>
          <w:szCs w:val="22"/>
        </w:rPr>
      </w:pPr>
      <w:r>
        <w:rPr>
          <w:b/>
          <w:bCs/>
          <w:szCs w:val="22"/>
        </w:rPr>
        <w:t>A</w:t>
      </w:r>
      <w:r w:rsidR="00327DA5">
        <w:rPr>
          <w:b/>
          <w:bCs/>
          <w:szCs w:val="22"/>
        </w:rPr>
        <w:t>dvantage</w:t>
      </w:r>
      <w:r>
        <w:rPr>
          <w:b/>
          <w:bCs/>
          <w:szCs w:val="22"/>
        </w:rPr>
        <w:t xml:space="preserve">, </w:t>
      </w:r>
      <w:r w:rsidR="00327DA5">
        <w:rPr>
          <w:b/>
          <w:bCs/>
          <w:szCs w:val="22"/>
        </w:rPr>
        <w:t>disadvantage</w:t>
      </w:r>
      <w:r>
        <w:rPr>
          <w:b/>
          <w:bCs/>
          <w:szCs w:val="22"/>
        </w:rPr>
        <w:t xml:space="preserve"> and the legal system</w:t>
      </w:r>
    </w:p>
    <w:p w14:paraId="6BE6A72D" w14:textId="10930D17" w:rsidR="00B76A66" w:rsidRPr="001C350B" w:rsidRDefault="002A7D35" w:rsidP="00B76A66">
      <w:pPr>
        <w:pStyle w:val="FeatureBox"/>
        <w:rPr>
          <w:szCs w:val="22"/>
        </w:rPr>
      </w:pPr>
      <w:r>
        <w:rPr>
          <w:szCs w:val="22"/>
        </w:rPr>
        <w:t>One of the social resources that contributes to a person’s advantage or disadvantage is their ability to</w:t>
      </w:r>
      <w:r w:rsidR="00366FC5">
        <w:rPr>
          <w:szCs w:val="22"/>
        </w:rPr>
        <w:t xml:space="preserve"> understand</w:t>
      </w:r>
      <w:r w:rsidR="00F9248A">
        <w:rPr>
          <w:szCs w:val="22"/>
        </w:rPr>
        <w:t>,</w:t>
      </w:r>
      <w:r>
        <w:rPr>
          <w:szCs w:val="22"/>
        </w:rPr>
        <w:t xml:space="preserve"> </w:t>
      </w:r>
      <w:r w:rsidR="00366FC5">
        <w:rPr>
          <w:szCs w:val="22"/>
        </w:rPr>
        <w:t>interact with</w:t>
      </w:r>
      <w:r w:rsidR="00F9248A">
        <w:rPr>
          <w:szCs w:val="22"/>
        </w:rPr>
        <w:t xml:space="preserve"> and make use of</w:t>
      </w:r>
      <w:r w:rsidR="00366FC5">
        <w:rPr>
          <w:szCs w:val="22"/>
        </w:rPr>
        <w:t xml:space="preserve"> the legal system.</w:t>
      </w:r>
    </w:p>
    <w:p w14:paraId="71FF07E1" w14:textId="350D89F7" w:rsidR="003E74D8" w:rsidRPr="003E74D8" w:rsidRDefault="003E74D8" w:rsidP="003E74D8">
      <w:pPr>
        <w:pStyle w:val="FeatureBox2"/>
        <w:rPr>
          <w:rFonts w:eastAsia="Calibri"/>
          <w:szCs w:val="22"/>
        </w:rPr>
      </w:pPr>
      <w:r w:rsidRPr="00E56833">
        <w:rPr>
          <w:rFonts w:eastAsia="Calibri"/>
          <w:b/>
          <w:bCs/>
          <w:szCs w:val="22"/>
        </w:rPr>
        <w:t>Note</w:t>
      </w:r>
      <w:r w:rsidRPr="00E32DA1">
        <w:rPr>
          <w:rFonts w:eastAsia="Calibri"/>
          <w:szCs w:val="22"/>
        </w:rPr>
        <w:t>:</w:t>
      </w:r>
      <w:r w:rsidRPr="00E56833">
        <w:rPr>
          <w:rFonts w:eastAsia="Calibri"/>
          <w:szCs w:val="22"/>
        </w:rPr>
        <w:t xml:space="preserve"> </w:t>
      </w:r>
      <w:r>
        <w:rPr>
          <w:color w:val="000000" w:themeColor="text1"/>
          <w:szCs w:val="22"/>
          <w:lang w:val="en-US"/>
        </w:rPr>
        <w:t>t</w:t>
      </w:r>
      <w:r w:rsidRPr="00E56833">
        <w:rPr>
          <w:color w:val="000000" w:themeColor="text1"/>
          <w:szCs w:val="22"/>
          <w:lang w:val="en-US"/>
        </w:rPr>
        <w:t>eachers should consider the</w:t>
      </w:r>
      <w:r w:rsidRPr="00E56833">
        <w:rPr>
          <w:rFonts w:eastAsia="Arial"/>
          <w:noProof/>
          <w:szCs w:val="22"/>
        </w:rPr>
        <w:t xml:space="preserve"> </w:t>
      </w:r>
      <w:hyperlink r:id="rId16">
        <w:r w:rsidRPr="00E56833">
          <w:rPr>
            <w:rStyle w:val="Hyperlink"/>
            <w:rFonts w:eastAsia="Arial"/>
            <w:noProof/>
            <w:szCs w:val="22"/>
          </w:rPr>
          <w:t xml:space="preserve">Controversial </w:t>
        </w:r>
        <w:r w:rsidR="00431499">
          <w:rPr>
            <w:rStyle w:val="Hyperlink"/>
            <w:rFonts w:eastAsia="Arial"/>
            <w:noProof/>
            <w:szCs w:val="22"/>
          </w:rPr>
          <w:t>i</w:t>
        </w:r>
        <w:r w:rsidRPr="00E56833">
          <w:rPr>
            <w:rStyle w:val="Hyperlink"/>
            <w:rFonts w:eastAsia="Arial"/>
            <w:noProof/>
            <w:szCs w:val="22"/>
          </w:rPr>
          <w:t xml:space="preserve">ssues in </w:t>
        </w:r>
        <w:r w:rsidR="00431499">
          <w:rPr>
            <w:rStyle w:val="Hyperlink"/>
            <w:rFonts w:eastAsia="Arial"/>
            <w:noProof/>
            <w:szCs w:val="22"/>
          </w:rPr>
          <w:t>s</w:t>
        </w:r>
        <w:r w:rsidRPr="00E56833">
          <w:rPr>
            <w:rStyle w:val="Hyperlink"/>
            <w:rFonts w:eastAsia="Arial"/>
            <w:noProof/>
            <w:szCs w:val="22"/>
          </w:rPr>
          <w:t>chools</w:t>
        </w:r>
        <w:r w:rsidRPr="00431499">
          <w:t xml:space="preserve"> policy</w:t>
        </w:r>
      </w:hyperlink>
      <w:r w:rsidRPr="00E56833">
        <w:rPr>
          <w:rFonts w:eastAsia="Arial"/>
          <w:noProof/>
          <w:szCs w:val="22"/>
        </w:rPr>
        <w:t xml:space="preserve"> </w:t>
      </w:r>
      <w:r w:rsidRPr="00E56833">
        <w:rPr>
          <w:color w:val="000000" w:themeColor="text1"/>
          <w:szCs w:val="22"/>
          <w:lang w:val="en-US"/>
        </w:rPr>
        <w:t>and ensure all material</w:t>
      </w:r>
      <w:r>
        <w:rPr>
          <w:color w:val="000000" w:themeColor="text1"/>
          <w:szCs w:val="22"/>
          <w:lang w:val="en-US"/>
        </w:rPr>
        <w:t xml:space="preserve"> related to disadvantage</w:t>
      </w:r>
      <w:r w:rsidRPr="00E56833">
        <w:rPr>
          <w:color w:val="000000" w:themeColor="text1"/>
          <w:szCs w:val="22"/>
          <w:lang w:val="en-US"/>
        </w:rPr>
        <w:t xml:space="preserve"> is appropriate for individual classroom and school context</w:t>
      </w:r>
      <w:r w:rsidRPr="00E56833">
        <w:rPr>
          <w:rFonts w:eastAsia="Calibri"/>
          <w:szCs w:val="22"/>
        </w:rPr>
        <w:t>.</w:t>
      </w:r>
    </w:p>
    <w:p w14:paraId="558EC5D4" w14:textId="1C6C3AC6" w:rsidR="00B76A66" w:rsidRPr="00B76A66" w:rsidRDefault="00B11010" w:rsidP="00B76A66">
      <w:pPr>
        <w:pStyle w:val="ListBullet"/>
        <w:numPr>
          <w:ilvl w:val="0"/>
          <w:numId w:val="0"/>
        </w:numPr>
        <w:rPr>
          <w:szCs w:val="22"/>
        </w:rPr>
      </w:pPr>
      <w:r>
        <w:t xml:space="preserve">Engage in </w:t>
      </w:r>
      <w:hyperlink r:id="rId17" w:history="1">
        <w:r w:rsidR="00431499">
          <w:rPr>
            <w:rStyle w:val="Hyperlink"/>
          </w:rPr>
          <w:t>note taking</w:t>
        </w:r>
      </w:hyperlink>
      <w:r w:rsidR="00B76A66">
        <w:rPr>
          <w:szCs w:val="22"/>
        </w:rPr>
        <w:t xml:space="preserve"> as the teacher ex</w:t>
      </w:r>
      <w:r w:rsidR="00F9248A">
        <w:rPr>
          <w:szCs w:val="22"/>
        </w:rPr>
        <w:t>plains the relationship between advantage, disadvantage and the legal system</w:t>
      </w:r>
      <w:r w:rsidR="00B04DC8">
        <w:rPr>
          <w:szCs w:val="22"/>
        </w:rPr>
        <w:t xml:space="preserve"> on the basis of the definitions provided above</w:t>
      </w:r>
      <w:r w:rsidR="00F9248A">
        <w:rPr>
          <w:szCs w:val="22"/>
        </w:rPr>
        <w:t>.</w:t>
      </w:r>
    </w:p>
    <w:p w14:paraId="6BE11656" w14:textId="3296862F" w:rsidR="00D31D1F" w:rsidRDefault="0099776C" w:rsidP="009D4948">
      <w:pPr>
        <w:rPr>
          <w:szCs w:val="22"/>
        </w:rPr>
      </w:pPr>
      <w:r>
        <w:rPr>
          <w:szCs w:val="22"/>
        </w:rPr>
        <w:t>Using the work that you have done on social determinants of health, b</w:t>
      </w:r>
      <w:r w:rsidR="00572728">
        <w:rPr>
          <w:szCs w:val="22"/>
        </w:rPr>
        <w:t xml:space="preserve">rainstorm </w:t>
      </w:r>
      <w:proofErr w:type="gramStart"/>
      <w:r w:rsidR="00572728">
        <w:rPr>
          <w:szCs w:val="22"/>
        </w:rPr>
        <w:t>all of</w:t>
      </w:r>
      <w:proofErr w:type="gramEnd"/>
      <w:r>
        <w:rPr>
          <w:szCs w:val="22"/>
        </w:rPr>
        <w:t xml:space="preserve"> </w:t>
      </w:r>
      <w:r w:rsidR="0096620C">
        <w:rPr>
          <w:szCs w:val="22"/>
        </w:rPr>
        <w:t xml:space="preserve">the </w:t>
      </w:r>
      <w:r w:rsidR="00226BD8">
        <w:rPr>
          <w:szCs w:val="22"/>
        </w:rPr>
        <w:t xml:space="preserve">reasons why a person might experience disadvantage in relation to the legal system. </w:t>
      </w:r>
      <w:r w:rsidR="00770718">
        <w:rPr>
          <w:szCs w:val="22"/>
        </w:rPr>
        <w:t xml:space="preserve">Create a </w:t>
      </w:r>
      <w:hyperlink r:id="rId18" w:history="1">
        <w:r w:rsidR="00770718" w:rsidRPr="00572728">
          <w:rPr>
            <w:rStyle w:val="Hyperlink"/>
            <w:szCs w:val="22"/>
          </w:rPr>
          <w:t>concept map</w:t>
        </w:r>
      </w:hyperlink>
      <w:r w:rsidR="00572728">
        <w:rPr>
          <w:szCs w:val="22"/>
        </w:rPr>
        <w:t xml:space="preserve"> to record your thoughts.</w:t>
      </w:r>
    </w:p>
    <w:p w14:paraId="3F9477DC" w14:textId="3D485232" w:rsidR="00B04DC8" w:rsidRPr="00335101" w:rsidRDefault="00335101" w:rsidP="00335101">
      <w:pPr>
        <w:pStyle w:val="FeatureBox3"/>
      </w:pPr>
      <w:r>
        <w:rPr>
          <w:b/>
          <w:bCs/>
        </w:rPr>
        <w:t>Modelled practice</w:t>
      </w:r>
      <w:r w:rsidRPr="00E32DA1">
        <w:t xml:space="preserve">: </w:t>
      </w:r>
      <w:r w:rsidRPr="001A441D">
        <w:t>demonstrate to students how to go through th</w:t>
      </w:r>
      <w:r>
        <w:t>e</w:t>
      </w:r>
      <w:r w:rsidRPr="001A441D">
        <w:t xml:space="preserve"> research task</w:t>
      </w:r>
      <w:r>
        <w:t xml:space="preserve"> below</w:t>
      </w:r>
      <w:r w:rsidRPr="001A441D">
        <w:t xml:space="preserve"> to elicit deeper understanding of the question</w:t>
      </w:r>
      <w:r>
        <w:t>.</w:t>
      </w:r>
    </w:p>
    <w:p w14:paraId="14606B14" w14:textId="42FAFE2A" w:rsidR="00DE44A8" w:rsidRDefault="0025573B" w:rsidP="00E96FF5">
      <w:pPr>
        <w:rPr>
          <w:szCs w:val="22"/>
        </w:rPr>
      </w:pPr>
      <w:r>
        <w:rPr>
          <w:szCs w:val="22"/>
        </w:rPr>
        <w:lastRenderedPageBreak/>
        <w:t xml:space="preserve">Conduct independent research on </w:t>
      </w:r>
      <w:r w:rsidR="00DE44A8">
        <w:rPr>
          <w:szCs w:val="22"/>
        </w:rPr>
        <w:t>one of the reasons that you identified</w:t>
      </w:r>
      <w:r w:rsidR="00671774">
        <w:rPr>
          <w:szCs w:val="22"/>
        </w:rPr>
        <w:t xml:space="preserve"> above </w:t>
      </w:r>
      <w:r w:rsidR="00E96FF5">
        <w:rPr>
          <w:szCs w:val="22"/>
        </w:rPr>
        <w:t>to explain</w:t>
      </w:r>
      <w:r w:rsidR="00DE44A8">
        <w:rPr>
          <w:szCs w:val="22"/>
        </w:rPr>
        <w:t xml:space="preserve"> why a person might experience disadvantage in relation to the legal system. </w:t>
      </w:r>
      <w:r w:rsidR="00E96FF5">
        <w:rPr>
          <w:szCs w:val="22"/>
        </w:rPr>
        <w:t>Determine whether you</w:t>
      </w:r>
      <w:r w:rsidR="006F75EE">
        <w:rPr>
          <w:szCs w:val="22"/>
        </w:rPr>
        <w:t>r explanation of disadvantage involves any of the following criteria that define the effectiveness of the law:</w:t>
      </w:r>
    </w:p>
    <w:p w14:paraId="39C6016D" w14:textId="77777777" w:rsidR="006F75EE" w:rsidRDefault="006F75EE" w:rsidP="006F75EE">
      <w:pPr>
        <w:pStyle w:val="ListBullet"/>
        <w:rPr>
          <w:szCs w:val="22"/>
        </w:rPr>
      </w:pPr>
      <w:r>
        <w:rPr>
          <w:szCs w:val="22"/>
        </w:rPr>
        <w:t>accessibility</w:t>
      </w:r>
    </w:p>
    <w:p w14:paraId="7C3186BD" w14:textId="77777777" w:rsidR="006F75EE" w:rsidRDefault="006F75EE" w:rsidP="006F75EE">
      <w:pPr>
        <w:pStyle w:val="ListBullet"/>
        <w:rPr>
          <w:szCs w:val="22"/>
        </w:rPr>
      </w:pPr>
      <w:r>
        <w:rPr>
          <w:szCs w:val="22"/>
        </w:rPr>
        <w:t>enforceability</w:t>
      </w:r>
    </w:p>
    <w:p w14:paraId="130B0031" w14:textId="77777777" w:rsidR="006F75EE" w:rsidRDefault="006F75EE" w:rsidP="006F75EE">
      <w:pPr>
        <w:pStyle w:val="ListBullet"/>
        <w:rPr>
          <w:szCs w:val="22"/>
        </w:rPr>
      </w:pPr>
      <w:r>
        <w:rPr>
          <w:szCs w:val="22"/>
        </w:rPr>
        <w:t>responsiveness</w:t>
      </w:r>
    </w:p>
    <w:p w14:paraId="28131146" w14:textId="55BFDB7B" w:rsidR="006F75EE" w:rsidRPr="00FA2806" w:rsidRDefault="006F75EE" w:rsidP="006F75EE">
      <w:pPr>
        <w:pStyle w:val="ListBullet"/>
        <w:rPr>
          <w:szCs w:val="22"/>
        </w:rPr>
      </w:pPr>
      <w:r>
        <w:rPr>
          <w:szCs w:val="22"/>
        </w:rPr>
        <w:t>resource efficiency</w:t>
      </w:r>
      <w:r w:rsidR="006243DD">
        <w:rPr>
          <w:szCs w:val="22"/>
        </w:rPr>
        <w:t>.</w:t>
      </w:r>
    </w:p>
    <w:p w14:paraId="191773EF" w14:textId="05217DE2" w:rsidR="0025573B" w:rsidRDefault="0025573B" w:rsidP="0025573B">
      <w:pPr>
        <w:rPr>
          <w:szCs w:val="22"/>
        </w:rPr>
      </w:pPr>
      <w:r>
        <w:rPr>
          <w:szCs w:val="22"/>
        </w:rPr>
        <w:t xml:space="preserve">Create an </w:t>
      </w:r>
      <w:hyperlink r:id="rId19" w:history="1">
        <w:r w:rsidRPr="00781730">
          <w:rPr>
            <w:rStyle w:val="Hyperlink"/>
            <w:szCs w:val="22"/>
          </w:rPr>
          <w:t>affinity diagram</w:t>
        </w:r>
      </w:hyperlink>
      <w:r>
        <w:rPr>
          <w:szCs w:val="22"/>
        </w:rPr>
        <w:t xml:space="preserve"> to organise your findings regarding</w:t>
      </w:r>
      <w:r w:rsidR="00A75F2B">
        <w:rPr>
          <w:szCs w:val="22"/>
        </w:rPr>
        <w:t xml:space="preserve"> your chosen</w:t>
      </w:r>
      <w:r w:rsidR="00A75F2B" w:rsidRPr="00A75F2B">
        <w:rPr>
          <w:szCs w:val="22"/>
        </w:rPr>
        <w:t xml:space="preserve"> </w:t>
      </w:r>
      <w:r w:rsidR="00A75F2B">
        <w:rPr>
          <w:szCs w:val="22"/>
        </w:rPr>
        <w:t>reason that explains why a person might experience disadvantage in relation to the legal system</w:t>
      </w:r>
      <w:r>
        <w:rPr>
          <w:szCs w:val="22"/>
        </w:rPr>
        <w:t>. Identify on your diagram</w:t>
      </w:r>
      <w:r w:rsidR="00A75F2B">
        <w:rPr>
          <w:szCs w:val="22"/>
        </w:rPr>
        <w:t xml:space="preserve"> which of the above criteria </w:t>
      </w:r>
      <w:r>
        <w:rPr>
          <w:szCs w:val="22"/>
        </w:rPr>
        <w:t xml:space="preserve">you think </w:t>
      </w:r>
      <w:r w:rsidR="00A75F2B">
        <w:rPr>
          <w:szCs w:val="22"/>
        </w:rPr>
        <w:t>is</w:t>
      </w:r>
      <w:r>
        <w:rPr>
          <w:szCs w:val="22"/>
        </w:rPr>
        <w:t xml:space="preserve"> most influential in </w:t>
      </w:r>
      <w:r w:rsidR="00A75F2B">
        <w:rPr>
          <w:szCs w:val="22"/>
        </w:rPr>
        <w:t>generating disadvantage.</w:t>
      </w:r>
    </w:p>
    <w:p w14:paraId="33C7495A" w14:textId="4BEFAD89" w:rsidR="0025573B" w:rsidRDefault="0025573B" w:rsidP="0025573B">
      <w:r>
        <w:t xml:space="preserve">Conduct a </w:t>
      </w:r>
      <w:hyperlink r:id="rId20" w:history="1">
        <w:r w:rsidRPr="00D60C0F">
          <w:rPr>
            <w:rStyle w:val="Hyperlink"/>
          </w:rPr>
          <w:t>gallery walk</w:t>
        </w:r>
      </w:hyperlink>
      <w:r>
        <w:t xml:space="preserve"> to examine the diagrams created by the class. Create a tally on your diagram during the walk </w:t>
      </w:r>
      <w:r w:rsidR="00CD0E49">
        <w:t xml:space="preserve">of the criteria </w:t>
      </w:r>
      <w:r>
        <w:t xml:space="preserve">that were identified as most influential </w:t>
      </w:r>
      <w:r w:rsidR="00CD0E49">
        <w:t>in contributing to disadvantage.</w:t>
      </w:r>
    </w:p>
    <w:p w14:paraId="060E2A8A" w14:textId="03054EBD" w:rsidR="0025573B" w:rsidRDefault="00CD0E49" w:rsidP="009D4948">
      <w:pPr>
        <w:rPr>
          <w:szCs w:val="22"/>
        </w:rPr>
      </w:pPr>
      <w:r>
        <w:rPr>
          <w:szCs w:val="22"/>
        </w:rPr>
        <w:t xml:space="preserve">Engage in a </w:t>
      </w:r>
      <w:hyperlink r:id="rId21" w:history="1">
        <w:r w:rsidR="0096620C">
          <w:rPr>
            <w:rStyle w:val="Hyperlink"/>
            <w:szCs w:val="22"/>
          </w:rPr>
          <w:t>Think-Pair-Share</w:t>
        </w:r>
      </w:hyperlink>
      <w:r>
        <w:rPr>
          <w:szCs w:val="22"/>
        </w:rPr>
        <w:t xml:space="preserve"> </w:t>
      </w:r>
      <w:r w:rsidR="0096620C">
        <w:rPr>
          <w:szCs w:val="22"/>
        </w:rPr>
        <w:t xml:space="preserve">routine </w:t>
      </w:r>
      <w:r>
        <w:rPr>
          <w:szCs w:val="22"/>
        </w:rPr>
        <w:t xml:space="preserve">with a peer. Compare your tallies and discuss why certain criteria were more influential in </w:t>
      </w:r>
      <w:r w:rsidR="000E2290">
        <w:rPr>
          <w:szCs w:val="22"/>
        </w:rPr>
        <w:t xml:space="preserve">contributing to disadvantage </w:t>
      </w:r>
      <w:r>
        <w:rPr>
          <w:szCs w:val="22"/>
        </w:rPr>
        <w:t>than others given the</w:t>
      </w:r>
      <w:r w:rsidR="000E2290">
        <w:rPr>
          <w:szCs w:val="22"/>
        </w:rPr>
        <w:t xml:space="preserve"> reasons for disadvantage that were</w:t>
      </w:r>
      <w:r>
        <w:rPr>
          <w:szCs w:val="22"/>
        </w:rPr>
        <w:t xml:space="preserve"> selected by the class.</w:t>
      </w:r>
    </w:p>
    <w:p w14:paraId="383AB4A7" w14:textId="3DF24514" w:rsidR="00D31D1F" w:rsidRPr="00E56833" w:rsidRDefault="00D31D1F" w:rsidP="00D31D1F">
      <w:pPr>
        <w:pStyle w:val="FeatureBox"/>
        <w:rPr>
          <w:b/>
          <w:bCs/>
          <w:szCs w:val="22"/>
        </w:rPr>
      </w:pPr>
      <w:r>
        <w:rPr>
          <w:b/>
          <w:bCs/>
          <w:szCs w:val="22"/>
        </w:rPr>
        <w:t xml:space="preserve">Aboriginal and Torres Strait Islander </w:t>
      </w:r>
      <w:r w:rsidR="000B13ED">
        <w:rPr>
          <w:b/>
          <w:bCs/>
          <w:szCs w:val="22"/>
        </w:rPr>
        <w:t>p</w:t>
      </w:r>
      <w:r>
        <w:rPr>
          <w:b/>
          <w:bCs/>
          <w:szCs w:val="22"/>
        </w:rPr>
        <w:t>eoples</w:t>
      </w:r>
      <w:r w:rsidR="00AF5A75">
        <w:rPr>
          <w:b/>
          <w:bCs/>
          <w:szCs w:val="22"/>
        </w:rPr>
        <w:t xml:space="preserve"> and</w:t>
      </w:r>
      <w:r>
        <w:rPr>
          <w:b/>
          <w:bCs/>
          <w:szCs w:val="22"/>
        </w:rPr>
        <w:t xml:space="preserve"> </w:t>
      </w:r>
      <w:r w:rsidR="00AF5A75">
        <w:rPr>
          <w:b/>
          <w:bCs/>
          <w:szCs w:val="22"/>
        </w:rPr>
        <w:t>l</w:t>
      </w:r>
      <w:r>
        <w:rPr>
          <w:b/>
          <w:bCs/>
          <w:szCs w:val="22"/>
        </w:rPr>
        <w:t>egal disadvantage</w:t>
      </w:r>
    </w:p>
    <w:p w14:paraId="13294624" w14:textId="5E4DE243" w:rsidR="002200C0" w:rsidRDefault="00652FCA" w:rsidP="00484FF7">
      <w:pPr>
        <w:pStyle w:val="FeatureBox"/>
        <w:rPr>
          <w:szCs w:val="22"/>
        </w:rPr>
      </w:pPr>
      <w:r>
        <w:rPr>
          <w:szCs w:val="22"/>
        </w:rPr>
        <w:t xml:space="preserve">The Law and Justice Foundation of NSW reports </w:t>
      </w:r>
      <w:r w:rsidR="000A5210" w:rsidRPr="000A5210">
        <w:rPr>
          <w:szCs w:val="22"/>
        </w:rPr>
        <w:t>that Indigenous people are among the most disadvantaged Australians</w:t>
      </w:r>
      <w:r w:rsidR="00021209">
        <w:rPr>
          <w:szCs w:val="22"/>
        </w:rPr>
        <w:t xml:space="preserve">. Indigenous people are especially over-represented among </w:t>
      </w:r>
      <w:r w:rsidR="00F70E15">
        <w:rPr>
          <w:szCs w:val="22"/>
        </w:rPr>
        <w:t xml:space="preserve">groups experiencing </w:t>
      </w:r>
      <w:r w:rsidR="000A5210" w:rsidRPr="000A5210">
        <w:rPr>
          <w:szCs w:val="22"/>
        </w:rPr>
        <w:t>multiple types of socioeconomic disadvantage, including low income, ill-health and disability, unemployment</w:t>
      </w:r>
      <w:r w:rsidR="00F70E15">
        <w:rPr>
          <w:szCs w:val="22"/>
        </w:rPr>
        <w:t xml:space="preserve"> and</w:t>
      </w:r>
      <w:r w:rsidR="000A5210" w:rsidRPr="000A5210">
        <w:rPr>
          <w:szCs w:val="22"/>
        </w:rPr>
        <w:t xml:space="preserve"> disadvantaged housing</w:t>
      </w:r>
      <w:r w:rsidR="00021209">
        <w:rPr>
          <w:szCs w:val="22"/>
        </w:rPr>
        <w:t>.</w:t>
      </w:r>
      <w:r w:rsidR="000A5210" w:rsidRPr="000A5210">
        <w:rPr>
          <w:szCs w:val="22"/>
        </w:rPr>
        <w:t xml:space="preserve"> </w:t>
      </w:r>
      <w:r w:rsidR="00F70E15">
        <w:rPr>
          <w:szCs w:val="22"/>
        </w:rPr>
        <w:t xml:space="preserve">This interaction of different types of socioeconomic disadvantage </w:t>
      </w:r>
      <w:r w:rsidR="00903077">
        <w:rPr>
          <w:szCs w:val="22"/>
        </w:rPr>
        <w:t>creates vulnerability to legal problems</w:t>
      </w:r>
      <w:r>
        <w:rPr>
          <w:szCs w:val="22"/>
        </w:rPr>
        <w:t>.</w:t>
      </w:r>
    </w:p>
    <w:p w14:paraId="66877F5A" w14:textId="1EBE2344" w:rsidR="00393EFE" w:rsidRDefault="003E74D8" w:rsidP="005454D1">
      <w:pPr>
        <w:pStyle w:val="FeatureBox2"/>
        <w:rPr>
          <w:rFonts w:eastAsia="Calibri"/>
          <w:szCs w:val="22"/>
        </w:rPr>
      </w:pPr>
      <w:r w:rsidRPr="00E56833">
        <w:rPr>
          <w:rFonts w:eastAsia="Calibri"/>
          <w:b/>
          <w:bCs/>
          <w:szCs w:val="22"/>
        </w:rPr>
        <w:t>Note</w:t>
      </w:r>
      <w:r w:rsidRPr="00E32DA1">
        <w:rPr>
          <w:rFonts w:eastAsia="Calibri"/>
          <w:szCs w:val="22"/>
        </w:rPr>
        <w:t>:</w:t>
      </w:r>
      <w:r w:rsidRPr="00E56833">
        <w:rPr>
          <w:rFonts w:eastAsia="Calibri"/>
          <w:szCs w:val="22"/>
        </w:rPr>
        <w:t xml:space="preserve"> </w:t>
      </w:r>
      <w:r>
        <w:rPr>
          <w:color w:val="000000" w:themeColor="text1"/>
          <w:szCs w:val="22"/>
          <w:lang w:val="en-US"/>
        </w:rPr>
        <w:t>t</w:t>
      </w:r>
      <w:r w:rsidRPr="00E56833">
        <w:rPr>
          <w:color w:val="000000" w:themeColor="text1"/>
          <w:szCs w:val="22"/>
          <w:lang w:val="en-US"/>
        </w:rPr>
        <w:t>eachers should consider the</w:t>
      </w:r>
      <w:r w:rsidRPr="00E56833">
        <w:rPr>
          <w:rFonts w:eastAsia="Arial"/>
          <w:noProof/>
          <w:szCs w:val="22"/>
        </w:rPr>
        <w:t xml:space="preserve"> </w:t>
      </w:r>
      <w:hyperlink r:id="rId22">
        <w:r w:rsidRPr="00E56833">
          <w:rPr>
            <w:rStyle w:val="Hyperlink"/>
            <w:rFonts w:eastAsia="Arial"/>
            <w:noProof/>
            <w:szCs w:val="22"/>
          </w:rPr>
          <w:t xml:space="preserve">Controversial </w:t>
        </w:r>
        <w:r w:rsidR="007D4749">
          <w:rPr>
            <w:rStyle w:val="Hyperlink"/>
            <w:rFonts w:eastAsia="Arial"/>
            <w:noProof/>
            <w:szCs w:val="22"/>
          </w:rPr>
          <w:t>i</w:t>
        </w:r>
        <w:r w:rsidRPr="00E56833">
          <w:rPr>
            <w:rStyle w:val="Hyperlink"/>
            <w:rFonts w:eastAsia="Arial"/>
            <w:noProof/>
            <w:szCs w:val="22"/>
          </w:rPr>
          <w:t xml:space="preserve">ssues in </w:t>
        </w:r>
        <w:r w:rsidR="007D4749">
          <w:rPr>
            <w:rStyle w:val="Hyperlink"/>
            <w:rFonts w:eastAsia="Arial"/>
            <w:noProof/>
            <w:szCs w:val="22"/>
          </w:rPr>
          <w:t>s</w:t>
        </w:r>
        <w:r w:rsidRPr="00E56833">
          <w:rPr>
            <w:rStyle w:val="Hyperlink"/>
            <w:rFonts w:eastAsia="Arial"/>
            <w:noProof/>
            <w:szCs w:val="22"/>
          </w:rPr>
          <w:t>chools</w:t>
        </w:r>
        <w:r w:rsidRPr="007D4749">
          <w:t xml:space="preserve"> policy</w:t>
        </w:r>
      </w:hyperlink>
      <w:r w:rsidRPr="00E56833">
        <w:rPr>
          <w:rFonts w:eastAsia="Arial"/>
          <w:noProof/>
          <w:szCs w:val="22"/>
        </w:rPr>
        <w:t xml:space="preserve"> </w:t>
      </w:r>
      <w:r w:rsidRPr="00E56833">
        <w:rPr>
          <w:color w:val="000000" w:themeColor="text1"/>
          <w:szCs w:val="22"/>
          <w:lang w:val="en-US"/>
        </w:rPr>
        <w:t>and ensure all material</w:t>
      </w:r>
      <w:r>
        <w:rPr>
          <w:color w:val="000000" w:themeColor="text1"/>
          <w:szCs w:val="22"/>
          <w:lang w:val="en-US"/>
        </w:rPr>
        <w:t xml:space="preserve"> related to Aboriginal and Torres Strait Islander </w:t>
      </w:r>
      <w:r w:rsidR="007D4749">
        <w:rPr>
          <w:color w:val="000000" w:themeColor="text1"/>
          <w:szCs w:val="22"/>
          <w:lang w:val="en-US"/>
        </w:rPr>
        <w:t>p</w:t>
      </w:r>
      <w:r>
        <w:rPr>
          <w:color w:val="000000" w:themeColor="text1"/>
          <w:szCs w:val="22"/>
          <w:lang w:val="en-US"/>
        </w:rPr>
        <w:t>eoples’ experiences of legal disadvantage</w:t>
      </w:r>
      <w:r w:rsidRPr="00E56833">
        <w:rPr>
          <w:color w:val="000000" w:themeColor="text1"/>
          <w:szCs w:val="22"/>
          <w:lang w:val="en-US"/>
        </w:rPr>
        <w:t xml:space="preserve"> is appropriate for individual classroom and school context</w:t>
      </w:r>
      <w:r w:rsidRPr="00E56833">
        <w:rPr>
          <w:rFonts w:eastAsia="Calibri"/>
          <w:szCs w:val="22"/>
        </w:rPr>
        <w:t>.</w:t>
      </w:r>
    </w:p>
    <w:p w14:paraId="249A2BA5" w14:textId="2598017B" w:rsidR="00335101" w:rsidRPr="00335101" w:rsidRDefault="00335101" w:rsidP="00335101">
      <w:pPr>
        <w:pStyle w:val="FeatureBox3"/>
      </w:pPr>
      <w:r>
        <w:rPr>
          <w:b/>
          <w:bCs/>
        </w:rPr>
        <w:lastRenderedPageBreak/>
        <w:t>Etymological spelling techniques</w:t>
      </w:r>
      <w:r w:rsidRPr="00E32DA1">
        <w:t xml:space="preserve">: </w:t>
      </w:r>
      <w:r>
        <w:t xml:space="preserve">teachers may wish to explain the concept of </w:t>
      </w:r>
      <w:r w:rsidR="009541CD">
        <w:t xml:space="preserve">‘terra nullius’ by using an etymological spelling technique. For example, </w:t>
      </w:r>
      <w:r w:rsidRPr="00335101">
        <w:t>terra means ‘land’ and ‘nullius’ means ‘not used or occupied’</w:t>
      </w:r>
      <w:r w:rsidR="009541CD">
        <w:t xml:space="preserve"> </w:t>
      </w:r>
      <w:r w:rsidR="009541CD" w:rsidRPr="00335101">
        <w:t>in Latin</w:t>
      </w:r>
      <w:r w:rsidR="009541CD">
        <w:t>.</w:t>
      </w:r>
      <w:r w:rsidRPr="00335101">
        <w:t xml:space="preserve"> Therefore</w:t>
      </w:r>
      <w:r w:rsidR="009541CD">
        <w:t>,</w:t>
      </w:r>
      <w:r w:rsidRPr="00335101">
        <w:t xml:space="preserve"> together </w:t>
      </w:r>
      <w:r w:rsidR="009541CD">
        <w:t>‘</w:t>
      </w:r>
      <w:r w:rsidRPr="00335101">
        <w:t>terra nulli</w:t>
      </w:r>
      <w:r w:rsidR="009541CD">
        <w:t>u</w:t>
      </w:r>
      <w:r w:rsidRPr="00335101">
        <w:t>s</w:t>
      </w:r>
      <w:r w:rsidR="009541CD">
        <w:t>’</w:t>
      </w:r>
      <w:r w:rsidRPr="00335101">
        <w:t xml:space="preserve"> means </w:t>
      </w:r>
      <w:r w:rsidR="009541CD">
        <w:t>‘</w:t>
      </w:r>
      <w:r w:rsidRPr="00335101">
        <w:t>no one</w:t>
      </w:r>
      <w:r w:rsidR="009541CD">
        <w:t>’</w:t>
      </w:r>
      <w:r w:rsidRPr="00335101">
        <w:t>s land</w:t>
      </w:r>
      <w:r w:rsidR="009541CD">
        <w:t>’.</w:t>
      </w:r>
    </w:p>
    <w:p w14:paraId="12441D3B" w14:textId="038199E4" w:rsidR="00452B31" w:rsidRPr="00E56833" w:rsidRDefault="00452B31" w:rsidP="00452B31">
      <w:pPr>
        <w:pStyle w:val="FeatureBox"/>
        <w:rPr>
          <w:b/>
          <w:bCs/>
          <w:szCs w:val="22"/>
        </w:rPr>
      </w:pPr>
      <w:r>
        <w:rPr>
          <w:b/>
          <w:bCs/>
          <w:szCs w:val="22"/>
        </w:rPr>
        <w:t xml:space="preserve">Historical experiences of legal disadvantage among Aboriginal and Torres Strait Islander </w:t>
      </w:r>
      <w:r w:rsidR="000B13ED">
        <w:rPr>
          <w:b/>
          <w:bCs/>
          <w:szCs w:val="22"/>
        </w:rPr>
        <w:t>p</w:t>
      </w:r>
      <w:r>
        <w:rPr>
          <w:b/>
          <w:bCs/>
          <w:szCs w:val="22"/>
        </w:rPr>
        <w:t>eoples</w:t>
      </w:r>
    </w:p>
    <w:p w14:paraId="2A3CC4AC" w14:textId="5669950B" w:rsidR="00393EFE" w:rsidRDefault="00CC2ED6" w:rsidP="00B53548">
      <w:pPr>
        <w:pStyle w:val="FeatureBox"/>
        <w:rPr>
          <w:szCs w:val="22"/>
        </w:rPr>
      </w:pPr>
      <w:r>
        <w:rPr>
          <w:szCs w:val="22"/>
        </w:rPr>
        <w:t xml:space="preserve">Aboriginal and Torres Strait Islander </w:t>
      </w:r>
      <w:r w:rsidR="007D4749">
        <w:rPr>
          <w:szCs w:val="22"/>
        </w:rPr>
        <w:t>p</w:t>
      </w:r>
      <w:r>
        <w:rPr>
          <w:szCs w:val="22"/>
        </w:rPr>
        <w:t xml:space="preserve">eoples experienced disadvantage in relation to the legal system from first contact with </w:t>
      </w:r>
      <w:r w:rsidR="008A030D">
        <w:rPr>
          <w:szCs w:val="22"/>
        </w:rPr>
        <w:t xml:space="preserve">British colonial administrators. </w:t>
      </w:r>
      <w:r w:rsidR="00B53548">
        <w:rPr>
          <w:szCs w:val="22"/>
        </w:rPr>
        <w:t xml:space="preserve">The legal perspective adopted by these administrators toward the sovereignty of Indigenous </w:t>
      </w:r>
      <w:r w:rsidR="002012EA">
        <w:rPr>
          <w:szCs w:val="22"/>
        </w:rPr>
        <w:t>p</w:t>
      </w:r>
      <w:r w:rsidR="00B53548">
        <w:rPr>
          <w:szCs w:val="22"/>
        </w:rPr>
        <w:t xml:space="preserve">eoples </w:t>
      </w:r>
      <w:r w:rsidR="00393EFE">
        <w:rPr>
          <w:szCs w:val="22"/>
        </w:rPr>
        <w:t>is captured by t</w:t>
      </w:r>
      <w:r w:rsidR="00B53548">
        <w:rPr>
          <w:szCs w:val="22"/>
        </w:rPr>
        <w:t>he Latin term ‘terra nullius’</w:t>
      </w:r>
      <w:r w:rsidR="00393EFE">
        <w:rPr>
          <w:szCs w:val="22"/>
        </w:rPr>
        <w:t>, which</w:t>
      </w:r>
      <w:r w:rsidR="00B53548">
        <w:rPr>
          <w:szCs w:val="22"/>
        </w:rPr>
        <w:t xml:space="preserve"> literally means ‘no one’s land’</w:t>
      </w:r>
      <w:r w:rsidR="00393EFE">
        <w:rPr>
          <w:szCs w:val="22"/>
        </w:rPr>
        <w:t>,</w:t>
      </w:r>
      <w:r w:rsidR="00B53548">
        <w:rPr>
          <w:szCs w:val="22"/>
        </w:rPr>
        <w:t xml:space="preserve"> land belonging to no-one</w:t>
      </w:r>
      <w:r w:rsidR="00393EFE">
        <w:rPr>
          <w:szCs w:val="22"/>
        </w:rPr>
        <w:t xml:space="preserve"> or </w:t>
      </w:r>
      <w:r w:rsidR="00B53548">
        <w:rPr>
          <w:szCs w:val="22"/>
        </w:rPr>
        <w:t>land over which sovereignty is not exercised.</w:t>
      </w:r>
    </w:p>
    <w:p w14:paraId="5A222D4F" w14:textId="0BC923B8" w:rsidR="00452B31" w:rsidRDefault="00B53548" w:rsidP="00452B31">
      <w:pPr>
        <w:pStyle w:val="FeatureBox"/>
        <w:rPr>
          <w:szCs w:val="22"/>
        </w:rPr>
      </w:pPr>
      <w:r>
        <w:rPr>
          <w:szCs w:val="22"/>
        </w:rPr>
        <w:t xml:space="preserve">‘Terra nullius’ has been used retroactively </w:t>
      </w:r>
      <w:r w:rsidR="005D0523">
        <w:rPr>
          <w:szCs w:val="22"/>
        </w:rPr>
        <w:t xml:space="preserve">(meaning applied to an earlier time) </w:t>
      </w:r>
      <w:r>
        <w:rPr>
          <w:szCs w:val="22"/>
        </w:rPr>
        <w:t>to describe the opinion of British colonial administrators regarding the legal status of the territory now known as Australia at the point of first contact in 1770 and throughout the process of colonisation. This status of terra nullius provided the basis under European customary international law for Britain to claim the territory of Australia via occupation.</w:t>
      </w:r>
      <w:r w:rsidR="00247F01">
        <w:rPr>
          <w:szCs w:val="22"/>
        </w:rPr>
        <w:t xml:space="preserve"> Moreover, it established a pattern of selective non-recognition of </w:t>
      </w:r>
      <w:r w:rsidR="0036670A">
        <w:rPr>
          <w:szCs w:val="22"/>
        </w:rPr>
        <w:t xml:space="preserve">the rights of </w:t>
      </w:r>
      <w:r w:rsidR="00247F01">
        <w:rPr>
          <w:szCs w:val="22"/>
        </w:rPr>
        <w:t xml:space="preserve">Aboriginal and Torres Strait Islander </w:t>
      </w:r>
      <w:r w:rsidR="00DE0048">
        <w:rPr>
          <w:szCs w:val="22"/>
        </w:rPr>
        <w:t>p</w:t>
      </w:r>
      <w:r w:rsidR="00247F01">
        <w:rPr>
          <w:szCs w:val="22"/>
        </w:rPr>
        <w:t>eoples under the law.</w:t>
      </w:r>
    </w:p>
    <w:p w14:paraId="3FC449CB" w14:textId="1629D4D0" w:rsidR="006F0C64" w:rsidRPr="006F0C64" w:rsidRDefault="006F0C64" w:rsidP="006F0C64">
      <w:pPr>
        <w:pStyle w:val="FeatureBox3"/>
      </w:pPr>
      <w:r>
        <w:rPr>
          <w:b/>
          <w:bCs/>
        </w:rPr>
        <w:t>Choral reading strategy</w:t>
      </w:r>
      <w:r w:rsidRPr="00E32DA1">
        <w:t xml:space="preserve">: </w:t>
      </w:r>
      <w:r>
        <w:t xml:space="preserve">the teacher may consider reading the text linked below as a class and pausing to clarify definitions and misunderstandings throughout. </w:t>
      </w:r>
      <w:r w:rsidR="009838F3">
        <w:t>Direct questions to students throughout the reading based on the content in the text to check for understanding.</w:t>
      </w:r>
    </w:p>
    <w:p w14:paraId="625C5A41" w14:textId="5B73D1FE" w:rsidR="00B503F5" w:rsidRPr="009838F3" w:rsidRDefault="005D0523" w:rsidP="005F7C9B">
      <w:pPr>
        <w:rPr>
          <w:szCs w:val="22"/>
        </w:rPr>
      </w:pPr>
      <w:r>
        <w:rPr>
          <w:szCs w:val="22"/>
        </w:rPr>
        <w:t xml:space="preserve">Read the text </w:t>
      </w:r>
      <w:hyperlink r:id="rId23" w:history="1">
        <w:r w:rsidR="00B503F5" w:rsidRPr="00B503F5">
          <w:rPr>
            <w:rStyle w:val="Hyperlink"/>
            <w:szCs w:val="22"/>
          </w:rPr>
          <w:t>How was the Law applied to Indigenous People in the Penal Colony of New South Wales?</w:t>
        </w:r>
      </w:hyperlink>
      <w:r>
        <w:rPr>
          <w:szCs w:val="22"/>
        </w:rPr>
        <w:t xml:space="preserve"> together as a class</w:t>
      </w:r>
      <w:r w:rsidR="00EA577B">
        <w:rPr>
          <w:szCs w:val="22"/>
        </w:rPr>
        <w:t>.</w:t>
      </w:r>
      <w:r w:rsidR="00B503F5">
        <w:rPr>
          <w:szCs w:val="22"/>
        </w:rPr>
        <w:t xml:space="preserve"> Read the following sections</w:t>
      </w:r>
      <w:r w:rsidR="009838F3">
        <w:rPr>
          <w:szCs w:val="22"/>
        </w:rPr>
        <w:t xml:space="preserve"> a second time</w:t>
      </w:r>
      <w:r w:rsidR="00B503F5">
        <w:rPr>
          <w:szCs w:val="22"/>
        </w:rPr>
        <w:t xml:space="preserve"> while</w:t>
      </w:r>
      <w:r w:rsidR="00B503F5">
        <w:t xml:space="preserve"> </w:t>
      </w:r>
      <w:hyperlink r:id="rId24" w:history="1">
        <w:r w:rsidR="00B503F5" w:rsidRPr="00DE0048">
          <w:rPr>
            <w:rStyle w:val="Hyperlink"/>
          </w:rPr>
          <w:t>note</w:t>
        </w:r>
        <w:r w:rsidR="00DE0048" w:rsidRPr="00DE0048">
          <w:rPr>
            <w:rStyle w:val="Hyperlink"/>
          </w:rPr>
          <w:t xml:space="preserve"> </w:t>
        </w:r>
        <w:r w:rsidR="00B503F5" w:rsidRPr="00DE0048">
          <w:rPr>
            <w:rStyle w:val="Hyperlink"/>
          </w:rPr>
          <w:t>taking</w:t>
        </w:r>
      </w:hyperlink>
      <w:r w:rsidR="00B503F5" w:rsidRPr="00DE0048">
        <w:t>.</w:t>
      </w:r>
      <w:r w:rsidR="00BA7122">
        <w:rPr>
          <w:szCs w:val="22"/>
        </w:rPr>
        <w:t xml:space="preserve"> Use the</w:t>
      </w:r>
      <w:r w:rsidR="00CE7478">
        <w:rPr>
          <w:szCs w:val="22"/>
        </w:rPr>
        <w:t>se</w:t>
      </w:r>
      <w:r w:rsidR="00BA7122">
        <w:rPr>
          <w:szCs w:val="22"/>
        </w:rPr>
        <w:t xml:space="preserve"> headings to structure your notes:</w:t>
      </w:r>
    </w:p>
    <w:p w14:paraId="5FC809BC" w14:textId="740161B9" w:rsidR="00B503F5" w:rsidRDefault="00BA7122" w:rsidP="00B503F5">
      <w:pPr>
        <w:pStyle w:val="ListBullet"/>
      </w:pPr>
      <w:r>
        <w:t>English tradition in the colonies</w:t>
      </w:r>
    </w:p>
    <w:p w14:paraId="7A6C6A34" w14:textId="01DC9B87" w:rsidR="00BA7122" w:rsidRDefault="00BA7122" w:rsidP="00B503F5">
      <w:pPr>
        <w:pStyle w:val="ListBullet"/>
      </w:pPr>
      <w:r>
        <w:t>Legal status of the Indigenous</w:t>
      </w:r>
    </w:p>
    <w:p w14:paraId="2EAA54AD" w14:textId="773FA096" w:rsidR="00B503F5" w:rsidRPr="00EA577B" w:rsidRDefault="00EA577B" w:rsidP="005F7C9B">
      <w:pPr>
        <w:pStyle w:val="ListBullet"/>
      </w:pPr>
      <w:r>
        <w:t>Conflict in unconquered territories</w:t>
      </w:r>
      <w:r w:rsidR="00CE7478">
        <w:t>.</w:t>
      </w:r>
    </w:p>
    <w:p w14:paraId="6C911BBF" w14:textId="719E2B55" w:rsidR="009838F3" w:rsidRPr="009838F3" w:rsidRDefault="009838F3" w:rsidP="009838F3">
      <w:pPr>
        <w:pStyle w:val="FeatureBox3"/>
      </w:pPr>
      <w:r>
        <w:rPr>
          <w:b/>
          <w:bCs/>
        </w:rPr>
        <w:t>Co-construction</w:t>
      </w:r>
      <w:r w:rsidRPr="00E32DA1">
        <w:t xml:space="preserve">: </w:t>
      </w:r>
      <w:r>
        <w:t xml:space="preserve">consider co-constructing the notes above </w:t>
      </w:r>
      <w:r w:rsidR="000872DD">
        <w:t>according to student needs.</w:t>
      </w:r>
    </w:p>
    <w:p w14:paraId="49162F72" w14:textId="14BD8435" w:rsidR="005F7C9B" w:rsidRPr="00E56833" w:rsidRDefault="00B503F5" w:rsidP="005F7C9B">
      <w:pPr>
        <w:rPr>
          <w:szCs w:val="22"/>
        </w:rPr>
      </w:pPr>
      <w:r>
        <w:rPr>
          <w:szCs w:val="22"/>
        </w:rPr>
        <w:lastRenderedPageBreak/>
        <w:t xml:space="preserve">Use the </w:t>
      </w:r>
      <w:r w:rsidR="00EA577B">
        <w:rPr>
          <w:szCs w:val="22"/>
        </w:rPr>
        <w:t xml:space="preserve">information </w:t>
      </w:r>
      <w:r w:rsidR="00CE7478">
        <w:rPr>
          <w:szCs w:val="22"/>
        </w:rPr>
        <w:t>from</w:t>
      </w:r>
      <w:r w:rsidR="00EA577B">
        <w:rPr>
          <w:szCs w:val="22"/>
        </w:rPr>
        <w:t xml:space="preserve"> </w:t>
      </w:r>
      <w:hyperlink r:id="rId25" w:history="1">
        <w:r w:rsidR="00EA577B" w:rsidRPr="00B503F5">
          <w:rPr>
            <w:rStyle w:val="Hyperlink"/>
            <w:szCs w:val="22"/>
          </w:rPr>
          <w:t>How was the Law applied to Indigenous People in the Penal Colony of New South Wales?</w:t>
        </w:r>
      </w:hyperlink>
      <w:r w:rsidR="00EA577B">
        <w:rPr>
          <w:szCs w:val="22"/>
        </w:rPr>
        <w:t xml:space="preserve"> and your notes to answer the following questions:</w:t>
      </w:r>
    </w:p>
    <w:p w14:paraId="73270C71" w14:textId="2B6F5C4A" w:rsidR="005F7C9B" w:rsidRDefault="003153BD" w:rsidP="005F7C9B">
      <w:pPr>
        <w:pStyle w:val="ListBullet"/>
        <w:rPr>
          <w:szCs w:val="22"/>
        </w:rPr>
      </w:pPr>
      <w:r>
        <w:rPr>
          <w:szCs w:val="22"/>
        </w:rPr>
        <w:t>Describe the</w:t>
      </w:r>
      <w:r w:rsidR="005A086F">
        <w:rPr>
          <w:szCs w:val="22"/>
        </w:rPr>
        <w:t xml:space="preserve"> nature of English legal traditions in colonial New South Wales.</w:t>
      </w:r>
    </w:p>
    <w:p w14:paraId="205A2FA0" w14:textId="5A5DC613" w:rsidR="00D80041" w:rsidRDefault="00D80041" w:rsidP="005F7C9B">
      <w:pPr>
        <w:pStyle w:val="ListBullet"/>
        <w:rPr>
          <w:szCs w:val="22"/>
        </w:rPr>
      </w:pPr>
      <w:r>
        <w:rPr>
          <w:szCs w:val="22"/>
        </w:rPr>
        <w:t xml:space="preserve">What was the legal status of Aboriginal and Torres Strait Islander </w:t>
      </w:r>
      <w:r w:rsidR="00CE7478">
        <w:rPr>
          <w:szCs w:val="22"/>
        </w:rPr>
        <w:t>p</w:t>
      </w:r>
      <w:r>
        <w:rPr>
          <w:szCs w:val="22"/>
        </w:rPr>
        <w:t>eoples in New South Wales when systematic colonisation began in 1788?</w:t>
      </w:r>
    </w:p>
    <w:p w14:paraId="2AB93AF2" w14:textId="792D127F" w:rsidR="001126DD" w:rsidRDefault="001126DD" w:rsidP="005F7C9B">
      <w:pPr>
        <w:pStyle w:val="ListBullet"/>
        <w:rPr>
          <w:szCs w:val="22"/>
        </w:rPr>
      </w:pPr>
      <w:r>
        <w:rPr>
          <w:szCs w:val="22"/>
        </w:rPr>
        <w:t xml:space="preserve">What rights were theoretically conferred on Aboriginal and Torres Strait Islander </w:t>
      </w:r>
      <w:r w:rsidR="00CE7478">
        <w:rPr>
          <w:szCs w:val="22"/>
        </w:rPr>
        <w:t>p</w:t>
      </w:r>
      <w:r>
        <w:rPr>
          <w:szCs w:val="22"/>
        </w:rPr>
        <w:t>eoples in New South Wales from 1788 because of their status under the law?</w:t>
      </w:r>
    </w:p>
    <w:p w14:paraId="6D4E01D2" w14:textId="0BD32A49" w:rsidR="001126DD" w:rsidRDefault="001126DD" w:rsidP="005F7C9B">
      <w:pPr>
        <w:pStyle w:val="ListBullet"/>
        <w:rPr>
          <w:szCs w:val="22"/>
        </w:rPr>
      </w:pPr>
      <w:r>
        <w:rPr>
          <w:szCs w:val="22"/>
        </w:rPr>
        <w:t xml:space="preserve">To what extent were </w:t>
      </w:r>
      <w:r w:rsidR="007E35C3">
        <w:rPr>
          <w:szCs w:val="22"/>
        </w:rPr>
        <w:t xml:space="preserve">Aboriginal and Torres Strait Islander </w:t>
      </w:r>
      <w:r w:rsidR="00CE7478">
        <w:rPr>
          <w:szCs w:val="22"/>
        </w:rPr>
        <w:t>p</w:t>
      </w:r>
      <w:r w:rsidR="007E35C3">
        <w:rPr>
          <w:szCs w:val="22"/>
        </w:rPr>
        <w:t>eoples able to experience the rights that they possessed under the law?</w:t>
      </w:r>
    </w:p>
    <w:p w14:paraId="3C1537B3" w14:textId="6D5B2D80" w:rsidR="005F7C9B" w:rsidRPr="00E56833" w:rsidRDefault="00167591" w:rsidP="005F7C9B">
      <w:pPr>
        <w:pStyle w:val="ListBullet"/>
        <w:rPr>
          <w:szCs w:val="22"/>
        </w:rPr>
      </w:pPr>
      <w:r>
        <w:rPr>
          <w:szCs w:val="22"/>
        </w:rPr>
        <w:t xml:space="preserve">Create a list of the barriers that impeded Aboriginal and Torres Strait Islander </w:t>
      </w:r>
      <w:r w:rsidR="00CE7478">
        <w:rPr>
          <w:szCs w:val="22"/>
        </w:rPr>
        <w:t>p</w:t>
      </w:r>
      <w:r>
        <w:rPr>
          <w:szCs w:val="22"/>
        </w:rPr>
        <w:t>eoples from accessing the law in colonial New South Wales.</w:t>
      </w:r>
    </w:p>
    <w:p w14:paraId="15069031" w14:textId="63590818" w:rsidR="005F7C9B" w:rsidRDefault="00167591" w:rsidP="005F7C9B">
      <w:pPr>
        <w:pStyle w:val="ListBullet"/>
        <w:rPr>
          <w:szCs w:val="22"/>
        </w:rPr>
      </w:pPr>
      <w:r>
        <w:rPr>
          <w:szCs w:val="22"/>
        </w:rPr>
        <w:t xml:space="preserve">Explain why disputes in colonial New South Wales, between Aboriginal and Torres Strait Islander </w:t>
      </w:r>
      <w:r w:rsidR="00CE7478">
        <w:rPr>
          <w:szCs w:val="22"/>
        </w:rPr>
        <w:t>p</w:t>
      </w:r>
      <w:r>
        <w:rPr>
          <w:szCs w:val="22"/>
        </w:rPr>
        <w:t xml:space="preserve">eoples and colonists and within Aboriginal and Torres Strait Islander </w:t>
      </w:r>
      <w:r w:rsidR="00E63F97">
        <w:rPr>
          <w:szCs w:val="22"/>
        </w:rPr>
        <w:t>C</w:t>
      </w:r>
      <w:r>
        <w:rPr>
          <w:szCs w:val="22"/>
        </w:rPr>
        <w:t>ommunities</w:t>
      </w:r>
      <w:r w:rsidR="003153BD">
        <w:rPr>
          <w:szCs w:val="22"/>
        </w:rPr>
        <w:t>, were rarely resolved in a court.</w:t>
      </w:r>
    </w:p>
    <w:p w14:paraId="5761A3C6" w14:textId="46A09336" w:rsidR="001143F6" w:rsidRPr="005D42AE" w:rsidRDefault="001143F6" w:rsidP="005F7C9B">
      <w:pPr>
        <w:pStyle w:val="ListBullet"/>
        <w:rPr>
          <w:szCs w:val="22"/>
        </w:rPr>
      </w:pPr>
      <w:r>
        <w:rPr>
          <w:szCs w:val="22"/>
        </w:rPr>
        <w:t xml:space="preserve">To what extent did Aboriginal and Torres Strait Islander </w:t>
      </w:r>
      <w:r w:rsidR="00CE7478">
        <w:rPr>
          <w:szCs w:val="22"/>
        </w:rPr>
        <w:t>p</w:t>
      </w:r>
      <w:r>
        <w:rPr>
          <w:szCs w:val="22"/>
        </w:rPr>
        <w:t xml:space="preserve">eoples experience </w:t>
      </w:r>
      <w:r w:rsidR="00BA008B">
        <w:rPr>
          <w:szCs w:val="22"/>
        </w:rPr>
        <w:t>legal disadvantage during the first stages of colonisation in the late eighteenth and early nineteenth centuries?</w:t>
      </w:r>
    </w:p>
    <w:p w14:paraId="60689E1B" w14:textId="2D9BDC7F" w:rsidR="007A17F4" w:rsidRPr="00D56B1C" w:rsidRDefault="007A17F4" w:rsidP="007A17F4">
      <w:pPr>
        <w:pStyle w:val="FeatureBox2"/>
      </w:pPr>
      <w:r>
        <w:rPr>
          <w:b/>
          <w:bCs/>
        </w:rPr>
        <w:t>Note</w:t>
      </w:r>
      <w:r w:rsidRPr="00E32DA1">
        <w:t xml:space="preserve">: </w:t>
      </w:r>
      <w:r>
        <w:t>the Australian Law Reform Commission</w:t>
      </w:r>
      <w:r w:rsidR="00B27FB9">
        <w:t>,</w:t>
      </w:r>
      <w:r>
        <w:t xml:space="preserve"> </w:t>
      </w:r>
      <w:r w:rsidR="00B27FB9">
        <w:t>R</w:t>
      </w:r>
      <w:r>
        <w:t xml:space="preserve">eport 31, </w:t>
      </w:r>
      <w:hyperlink r:id="rId26" w:history="1">
        <w:r w:rsidRPr="004B3077">
          <w:rPr>
            <w:rStyle w:val="Hyperlink"/>
          </w:rPr>
          <w:t>Recognition of Aboriginal Customary Laws – Australian Law as Applied to Aborigines</w:t>
        </w:r>
      </w:hyperlink>
      <w:r>
        <w:t xml:space="preserve">, </w:t>
      </w:r>
      <w:r w:rsidR="00A364AC">
        <w:t>1986</w:t>
      </w:r>
      <w:r>
        <w:t xml:space="preserve"> forms the basis of the following activities that engage with historical experiences of disadvantage among Aboriginal and Torres Strait Islander </w:t>
      </w:r>
      <w:r w:rsidR="00AA60ED">
        <w:t>p</w:t>
      </w:r>
      <w:r>
        <w:t xml:space="preserve">eoples. </w:t>
      </w:r>
      <w:r w:rsidR="007E2E76">
        <w:t xml:space="preserve">The extent to which students directly engage with the document should be determined by the teacher </w:t>
      </w:r>
      <w:r w:rsidR="00AA60ED">
        <w:t>based on</w:t>
      </w:r>
      <w:r w:rsidR="007E2E76">
        <w:t xml:space="preserve"> </w:t>
      </w:r>
      <w:r w:rsidR="0020766A">
        <w:t xml:space="preserve">their </w:t>
      </w:r>
      <w:r w:rsidR="007E2E76">
        <w:t>pre-existing legal knowledge</w:t>
      </w:r>
      <w:r w:rsidR="00A90BFF">
        <w:t>. Teachers should be aware that the word ‘Aborigines’ appears in the document and</w:t>
      </w:r>
      <w:r w:rsidR="001C1C41">
        <w:t xml:space="preserve"> remind students about the significance of appropriate ways of referring to people groups.</w:t>
      </w:r>
    </w:p>
    <w:p w14:paraId="3127CE1D" w14:textId="7212487E" w:rsidR="006F57AA" w:rsidRDefault="00FE49F3" w:rsidP="00D31D1F">
      <w:r>
        <w:t xml:space="preserve">Consider the </w:t>
      </w:r>
      <w:r w:rsidR="00941FCC">
        <w:t>information</w:t>
      </w:r>
      <w:r>
        <w:t xml:space="preserve"> below</w:t>
      </w:r>
      <w:r w:rsidR="00115A2A">
        <w:t xml:space="preserve">, which summarises </w:t>
      </w:r>
      <w:r>
        <w:t xml:space="preserve">the application of British law to Aboriginal and Torres Strait Islander </w:t>
      </w:r>
      <w:r w:rsidR="00AA60ED">
        <w:t>p</w:t>
      </w:r>
      <w:r>
        <w:t>eoples</w:t>
      </w:r>
      <w:r w:rsidR="00115A2A">
        <w:t xml:space="preserve"> in colonial New South Wales</w:t>
      </w:r>
      <w:r>
        <w:t xml:space="preserve"> before </w:t>
      </w:r>
      <w:r w:rsidR="00E63F97">
        <w:t>completing the case analysis activity which follows.</w:t>
      </w:r>
    </w:p>
    <w:p w14:paraId="7EF30F38" w14:textId="24C6A9D7" w:rsidR="0052511D" w:rsidRDefault="00AA60ED" w:rsidP="00C93B1C">
      <w:pPr>
        <w:pStyle w:val="FeatureBox"/>
      </w:pPr>
      <w:r>
        <w:lastRenderedPageBreak/>
        <w:t>‘</w:t>
      </w:r>
      <w:r w:rsidR="0052511D" w:rsidRPr="0052511D">
        <w:t>The</w:t>
      </w:r>
      <w:r w:rsidR="0052511D">
        <w:t xml:space="preserve"> [British]</w:t>
      </w:r>
      <w:r w:rsidR="0052511D" w:rsidRPr="0052511D">
        <w:t xml:space="preserve"> Colonial Office treated Australia, for the purposes of its acquisition and the application of English law, as a settled colony</w:t>
      </w:r>
      <w:r>
        <w:t xml:space="preserve"> </w:t>
      </w:r>
      <w:r w:rsidR="0052511D">
        <w:t>…</w:t>
      </w:r>
      <w:r w:rsidR="00C93B1C">
        <w:t xml:space="preserve"> </w:t>
      </w:r>
      <w:r w:rsidR="0052511D" w:rsidRPr="0052511D">
        <w:t>there were no treaties concluded with Aboriginal group, and no arrangements were made with them to acquire their land, or to regulate dealings between them and the colonists</w:t>
      </w:r>
      <w:r w:rsidR="0072381A">
        <w:t xml:space="preserve">. </w:t>
      </w:r>
      <w:r w:rsidR="0052511D">
        <w:t xml:space="preserve">[Aboriginal and Torres Strait Islander </w:t>
      </w:r>
      <w:r w:rsidR="00B95FE9">
        <w:t>p</w:t>
      </w:r>
      <w:r w:rsidR="0052511D">
        <w:t xml:space="preserve">eoples] </w:t>
      </w:r>
      <w:r w:rsidR="0052511D" w:rsidRPr="0052511D">
        <w:t>were treated as individuals, not as groups or communities.</w:t>
      </w:r>
      <w:r>
        <w:t>’</w:t>
      </w:r>
    </w:p>
    <w:p w14:paraId="230CE372" w14:textId="3EE59879" w:rsidR="00C93B1C" w:rsidRDefault="00AA60ED" w:rsidP="00C93B1C">
      <w:pPr>
        <w:pStyle w:val="FeatureBox"/>
      </w:pPr>
      <w:r>
        <w:t>‘</w:t>
      </w:r>
      <w:r w:rsidR="0052511D" w:rsidRPr="0052511D">
        <w:t xml:space="preserve">The decision to classify the </w:t>
      </w:r>
      <w:r w:rsidR="00A9673D">
        <w:t>“</w:t>
      </w:r>
      <w:r w:rsidR="0052511D" w:rsidRPr="0052511D">
        <w:t>new</w:t>
      </w:r>
      <w:r w:rsidR="00A9673D">
        <w:t>”</w:t>
      </w:r>
      <w:r w:rsidR="0052511D" w:rsidRPr="0052511D">
        <w:t xml:space="preserve"> country of Australia as a settled colony, rather than as conquered or ceded, meant that the new settlers brought with them the general body of English law, including the criminal law.</w:t>
      </w:r>
      <w:r>
        <w:t>’</w:t>
      </w:r>
    </w:p>
    <w:p w14:paraId="68AC5490" w14:textId="440A24BF" w:rsidR="00A364AC" w:rsidRDefault="00AA60ED" w:rsidP="00C93B1C">
      <w:pPr>
        <w:pStyle w:val="FeatureBox"/>
      </w:pPr>
      <w:r>
        <w:t>‘</w:t>
      </w:r>
      <w:r w:rsidR="0052511D" w:rsidRPr="0052511D">
        <w:t xml:space="preserve">The application of that law to Aborigines was in practice less certain, especially for offences (especially killings) committed by one Aborigine against another. For some </w:t>
      </w:r>
      <w:proofErr w:type="gramStart"/>
      <w:r w:rsidR="0052511D" w:rsidRPr="0052511D">
        <w:t>time</w:t>
      </w:r>
      <w:proofErr w:type="gramEnd"/>
      <w:r w:rsidR="0052511D" w:rsidRPr="0052511D">
        <w:t xml:space="preserve"> the practice was to apply English law at least to offences committed by colonists against Aborigines and by Aborigines against colonists, </w:t>
      </w:r>
      <w:proofErr w:type="gramStart"/>
      <w:r w:rsidR="0052511D" w:rsidRPr="0052511D">
        <w:t>so as to</w:t>
      </w:r>
      <w:proofErr w:type="gramEnd"/>
      <w:r w:rsidR="0052511D" w:rsidRPr="0052511D">
        <w:t xml:space="preserve"> provide a measure of protection for each group against the other.</w:t>
      </w:r>
      <w:r w:rsidR="00CA364E">
        <w:t>’</w:t>
      </w:r>
    </w:p>
    <w:p w14:paraId="376A3D78" w14:textId="596F9305" w:rsidR="000067A6" w:rsidRPr="000067A6" w:rsidRDefault="00A364AC" w:rsidP="00F862C4">
      <w:pPr>
        <w:pStyle w:val="Imageattributioncaption"/>
      </w:pPr>
      <w:r>
        <w:t xml:space="preserve">Source: </w:t>
      </w:r>
      <w:hyperlink r:id="rId27" w:history="1">
        <w:r w:rsidR="00A9673D" w:rsidRPr="004B3077">
          <w:rPr>
            <w:rStyle w:val="Hyperlink"/>
          </w:rPr>
          <w:t>Recognition of Aboriginal Customary Laws – Australian Law as Applied to Aborigines</w:t>
        </w:r>
      </w:hyperlink>
      <w:r w:rsidR="00A9673D">
        <w:t xml:space="preserve"> by the </w:t>
      </w:r>
      <w:r>
        <w:t>Australian Law Reform Commission</w:t>
      </w:r>
      <w:r w:rsidR="00A9673D">
        <w:t xml:space="preserve"> is licensed under </w:t>
      </w:r>
      <w:hyperlink r:id="rId28" w:history="1">
        <w:r w:rsidR="00A9673D" w:rsidRPr="00A9673D">
          <w:rPr>
            <w:rStyle w:val="Hyperlink"/>
          </w:rPr>
          <w:t>CC BY-NC-ND 3.0</w:t>
        </w:r>
      </w:hyperlink>
      <w:r w:rsidR="00A9673D">
        <w:t>.</w:t>
      </w:r>
    </w:p>
    <w:p w14:paraId="2199583E" w14:textId="661D67AE" w:rsidR="000067A6" w:rsidRPr="00E56833" w:rsidRDefault="000067A6" w:rsidP="000067A6">
      <w:pPr>
        <w:pStyle w:val="FeatureBox2"/>
        <w:rPr>
          <w:szCs w:val="22"/>
        </w:rPr>
      </w:pPr>
      <w:r w:rsidRPr="00E56833">
        <w:rPr>
          <w:b/>
          <w:bCs/>
          <w:szCs w:val="22"/>
        </w:rPr>
        <w:t>Note</w:t>
      </w:r>
      <w:r w:rsidRPr="00E32DA1">
        <w:rPr>
          <w:szCs w:val="22"/>
        </w:rPr>
        <w:t>:</w:t>
      </w:r>
      <w:r w:rsidRPr="00E56833">
        <w:rPr>
          <w:szCs w:val="22"/>
        </w:rPr>
        <w:t xml:space="preserve"> the following activity can be converted to a </w:t>
      </w:r>
      <w:hyperlink r:id="rId29">
        <w:r w:rsidRPr="00E56833">
          <w:rPr>
            <w:rStyle w:val="Hyperlink"/>
            <w:szCs w:val="22"/>
          </w:rPr>
          <w:t>jigsaw activity</w:t>
        </w:r>
      </w:hyperlink>
      <w:r w:rsidRPr="00E56833">
        <w:rPr>
          <w:szCs w:val="22"/>
        </w:rPr>
        <w:t xml:space="preserve"> with groups allocated to specific cases to suit student ability level and prior knowledge. Teachers should model the desired response as a part of their explanation of the task. EAL/D students will require support to access and understand the text </w:t>
      </w:r>
      <w:r w:rsidR="00216AB9" w:rsidRPr="00E56833">
        <w:rPr>
          <w:szCs w:val="22"/>
        </w:rPr>
        <w:t>to</w:t>
      </w:r>
      <w:r w:rsidRPr="00E56833">
        <w:rPr>
          <w:szCs w:val="22"/>
        </w:rPr>
        <w:t xml:space="preserve"> work through the different stages of the jigsaw activity.</w:t>
      </w:r>
      <w:r w:rsidR="009D03BA">
        <w:rPr>
          <w:szCs w:val="22"/>
        </w:rPr>
        <w:t xml:space="preserve"> Teachers may wish to distribute a hard copy of Table </w:t>
      </w:r>
      <w:r w:rsidR="006E52E9">
        <w:rPr>
          <w:szCs w:val="22"/>
        </w:rPr>
        <w:t>2</w:t>
      </w:r>
      <w:r w:rsidR="009D03BA">
        <w:rPr>
          <w:szCs w:val="22"/>
        </w:rPr>
        <w:t xml:space="preserve"> to all students.</w:t>
      </w:r>
    </w:p>
    <w:p w14:paraId="31AFAED8" w14:textId="0F376CBC" w:rsidR="00390786" w:rsidRDefault="000067A6" w:rsidP="000067A6">
      <w:pPr>
        <w:rPr>
          <w:szCs w:val="22"/>
        </w:rPr>
      </w:pPr>
      <w:r w:rsidRPr="00E56833">
        <w:rPr>
          <w:szCs w:val="22"/>
        </w:rPr>
        <w:t>Break into groups of 3 to 4 students and explore each of the</w:t>
      </w:r>
      <w:r>
        <w:rPr>
          <w:szCs w:val="22"/>
        </w:rPr>
        <w:t xml:space="preserve"> major determinations regarding the legal status of </w:t>
      </w:r>
      <w:r>
        <w:t xml:space="preserve">Aboriginal and Torres Strait Islander </w:t>
      </w:r>
      <w:r w:rsidR="0085045D">
        <w:t>p</w:t>
      </w:r>
      <w:r>
        <w:t xml:space="preserve">eoples in colonial New South Wales. </w:t>
      </w:r>
      <w:r>
        <w:rPr>
          <w:szCs w:val="22"/>
        </w:rPr>
        <w:t>Complete each column of the table by identifying</w:t>
      </w:r>
      <w:r w:rsidR="00E32DA1">
        <w:rPr>
          <w:szCs w:val="22"/>
        </w:rPr>
        <w:t xml:space="preserve"> the</w:t>
      </w:r>
      <w:r w:rsidR="00390786">
        <w:rPr>
          <w:szCs w:val="22"/>
        </w:rPr>
        <w:t>:</w:t>
      </w:r>
    </w:p>
    <w:p w14:paraId="372E1970" w14:textId="09D54198" w:rsidR="00390786" w:rsidRDefault="000067A6" w:rsidP="00E32DA1">
      <w:pPr>
        <w:pStyle w:val="ListBullet"/>
      </w:pPr>
      <w:r w:rsidRPr="00390786">
        <w:t>type of decision (case, policy</w:t>
      </w:r>
      <w:r w:rsidR="00390786" w:rsidRPr="00390786">
        <w:t xml:space="preserve"> or report)</w:t>
      </w:r>
    </w:p>
    <w:p w14:paraId="5B869F82" w14:textId="513A2225" w:rsidR="00390786" w:rsidRDefault="00390786" w:rsidP="00E32DA1">
      <w:pPr>
        <w:pStyle w:val="ListBullet"/>
      </w:pPr>
      <w:r w:rsidRPr="00390786">
        <w:t>legal argument in the document</w:t>
      </w:r>
    </w:p>
    <w:p w14:paraId="12DB0E47" w14:textId="37DFDCAF" w:rsidR="000067A6" w:rsidRPr="00D04367" w:rsidRDefault="00390786" w:rsidP="00E32DA1">
      <w:pPr>
        <w:pStyle w:val="ListBullet"/>
      </w:pPr>
      <w:r>
        <w:t>impact of the legal argument</w:t>
      </w:r>
      <w:r w:rsidRPr="00390786">
        <w:t xml:space="preserve"> on </w:t>
      </w:r>
      <w:r>
        <w:t xml:space="preserve">Aboriginal and Torres Strait Islander </w:t>
      </w:r>
      <w:r w:rsidR="0085045D">
        <w:t>p</w:t>
      </w:r>
      <w:r>
        <w:t>eoples in relation to their access to the law.</w:t>
      </w:r>
    </w:p>
    <w:p w14:paraId="171E6AEC" w14:textId="5FA2EE6B" w:rsidR="00D04367" w:rsidRPr="00D04367" w:rsidRDefault="00D04367" w:rsidP="00D04367">
      <w:pPr>
        <w:pStyle w:val="FeatureBox3"/>
      </w:pPr>
      <w:r>
        <w:rPr>
          <w:b/>
          <w:bCs/>
        </w:rPr>
        <w:t>Worked example</w:t>
      </w:r>
      <w:r w:rsidRPr="00E32DA1">
        <w:t xml:space="preserve">: </w:t>
      </w:r>
      <w:r>
        <w:t xml:space="preserve">an example of how to complete the table below is provided in the first row of the table. The teacher should highlight this worked example to students and may wish to guide </w:t>
      </w:r>
      <w:r>
        <w:lastRenderedPageBreak/>
        <w:t>students in completing the second row of the table to develop student understanding of the process.</w:t>
      </w:r>
    </w:p>
    <w:p w14:paraId="78BF85C4" w14:textId="56099900" w:rsidR="000067A6" w:rsidRPr="00026540" w:rsidRDefault="000067A6" w:rsidP="000067A6">
      <w:pPr>
        <w:pStyle w:val="Caption"/>
      </w:pPr>
      <w:bookmarkStart w:id="11" w:name="_Ref176160184"/>
      <w:r>
        <w:t xml:space="preserve">Table </w:t>
      </w:r>
      <w:r>
        <w:fldChar w:fldCharType="begin"/>
      </w:r>
      <w:r>
        <w:instrText xml:space="preserve"> SEQ Table \* ARABIC </w:instrText>
      </w:r>
      <w:r>
        <w:fldChar w:fldCharType="separate"/>
      </w:r>
      <w:r w:rsidR="009C4761">
        <w:rPr>
          <w:noProof/>
        </w:rPr>
        <w:t>2</w:t>
      </w:r>
      <w:r>
        <w:rPr>
          <w:noProof/>
        </w:rPr>
        <w:fldChar w:fldCharType="end"/>
      </w:r>
      <w:bookmarkEnd w:id="11"/>
      <w:r>
        <w:t xml:space="preserve"> – legal analysis scaffold</w:t>
      </w:r>
    </w:p>
    <w:tbl>
      <w:tblPr>
        <w:tblStyle w:val="Tableheader"/>
        <w:tblW w:w="9634" w:type="dxa"/>
        <w:tblLayout w:type="fixed"/>
        <w:tblLook w:val="04A0" w:firstRow="1" w:lastRow="0" w:firstColumn="1" w:lastColumn="0" w:noHBand="0" w:noVBand="1"/>
        <w:tblDescription w:val="Table containing columns labelled decision, type, legal argument and impact for access to law. Each row includes a link to a different legal case. The first row has been completed, there are blank cells for students to complete."/>
      </w:tblPr>
      <w:tblGrid>
        <w:gridCol w:w="2405"/>
        <w:gridCol w:w="1134"/>
        <w:gridCol w:w="3047"/>
        <w:gridCol w:w="3048"/>
      </w:tblGrid>
      <w:tr w:rsidR="009D03BA" w14:paraId="7E480DDB" w14:textId="77777777" w:rsidTr="009D0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7BB772" w14:textId="52868C69" w:rsidR="009D03BA" w:rsidRDefault="009D03BA" w:rsidP="00B105B6">
            <w:pPr>
              <w:pStyle w:val="ListBullet"/>
              <w:numPr>
                <w:ilvl w:val="0"/>
                <w:numId w:val="0"/>
              </w:numPr>
            </w:pPr>
            <w:r>
              <w:t>Decision</w:t>
            </w:r>
          </w:p>
        </w:tc>
        <w:tc>
          <w:tcPr>
            <w:tcW w:w="1134" w:type="dxa"/>
          </w:tcPr>
          <w:p w14:paraId="33398B5F" w14:textId="43869E76" w:rsidR="009D03BA" w:rsidRDefault="009D03BA" w:rsidP="00B105B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Type</w:t>
            </w:r>
          </w:p>
        </w:tc>
        <w:tc>
          <w:tcPr>
            <w:tcW w:w="3047" w:type="dxa"/>
          </w:tcPr>
          <w:p w14:paraId="41A49820" w14:textId="45B483C4" w:rsidR="009D03BA" w:rsidRDefault="009D03BA" w:rsidP="00B105B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Legal argument</w:t>
            </w:r>
          </w:p>
        </w:tc>
        <w:tc>
          <w:tcPr>
            <w:tcW w:w="3048" w:type="dxa"/>
          </w:tcPr>
          <w:p w14:paraId="626CCA95" w14:textId="7E21F1AF" w:rsidR="009D03BA" w:rsidRDefault="009D03BA" w:rsidP="00B105B6">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Impact for access to law</w:t>
            </w:r>
          </w:p>
        </w:tc>
      </w:tr>
      <w:tr w:rsidR="009D03BA" w14:paraId="7F700670" w14:textId="77777777" w:rsidTr="009D03B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6432DA72" w14:textId="64283979" w:rsidR="009D03BA" w:rsidRPr="009D03BA" w:rsidRDefault="009D03BA" w:rsidP="009D03BA">
            <w:pPr>
              <w:spacing w:line="336" w:lineRule="auto"/>
              <w:rPr>
                <w:b w:val="0"/>
                <w:bCs/>
                <w:szCs w:val="22"/>
              </w:rPr>
            </w:pPr>
            <w:hyperlink r:id="rId30" w:anchor=":~:text=Colonial%20Office%20policy,of%20the%20offence%E2%80%99" w:history="1">
              <w:r w:rsidRPr="009D03BA">
                <w:rPr>
                  <w:rStyle w:val="Hyperlink"/>
                  <w:b w:val="0"/>
                  <w:bCs/>
                  <w:szCs w:val="22"/>
                </w:rPr>
                <w:t>Colonial policy from 1788 under Governor Phillip</w:t>
              </w:r>
            </w:hyperlink>
          </w:p>
        </w:tc>
        <w:tc>
          <w:tcPr>
            <w:tcW w:w="1134" w:type="dxa"/>
          </w:tcPr>
          <w:p w14:paraId="0DF334E3" w14:textId="3D3EA17F" w:rsidR="009D03BA" w:rsidRDefault="000979EB"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Policy</w:t>
            </w:r>
          </w:p>
        </w:tc>
        <w:tc>
          <w:tcPr>
            <w:tcW w:w="3047" w:type="dxa"/>
          </w:tcPr>
          <w:p w14:paraId="4640AA67" w14:textId="23B46413" w:rsidR="009D03BA" w:rsidRDefault="004A2A8D"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Indigenous peoples are subject to and protected by British law</w:t>
            </w:r>
          </w:p>
        </w:tc>
        <w:tc>
          <w:tcPr>
            <w:tcW w:w="3048" w:type="dxa"/>
          </w:tcPr>
          <w:p w14:paraId="39D60543" w14:textId="64ABA3C2" w:rsidR="009D03BA" w:rsidRDefault="00D04367"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Indigenous peoples can theoretically access the law for dispute resolution</w:t>
            </w:r>
          </w:p>
        </w:tc>
      </w:tr>
      <w:tr w:rsidR="009D03BA" w14:paraId="3211B91B" w14:textId="77777777" w:rsidTr="009D03BA">
        <w:trPr>
          <w:cnfStyle w:val="000000010000" w:firstRow="0" w:lastRow="0" w:firstColumn="0" w:lastColumn="0" w:oddVBand="0" w:evenVBand="0" w:oddHBand="0" w:evenHBand="1"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07B3F3AC" w14:textId="502AED42" w:rsidR="009D03BA" w:rsidRPr="009D03BA" w:rsidRDefault="009D03BA" w:rsidP="009D03BA">
            <w:pPr>
              <w:spacing w:line="336" w:lineRule="auto"/>
              <w:rPr>
                <w:b w:val="0"/>
                <w:bCs/>
                <w:szCs w:val="22"/>
              </w:rPr>
            </w:pPr>
            <w:hyperlink r:id="rId31" w:anchor=":~:text=Similarly%2C%20Governor%20King,whites%E2%80%99.%5B28%5D" w:history="1">
              <w:r w:rsidRPr="009D03BA">
                <w:rPr>
                  <w:rStyle w:val="Hyperlink"/>
                  <w:b w:val="0"/>
                  <w:bCs/>
                  <w:szCs w:val="22"/>
                </w:rPr>
                <w:t>Port Regulations of 1800 under Governor King</w:t>
              </w:r>
            </w:hyperlink>
          </w:p>
        </w:tc>
        <w:tc>
          <w:tcPr>
            <w:tcW w:w="1134" w:type="dxa"/>
          </w:tcPr>
          <w:p w14:paraId="1D97C010"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7" w:type="dxa"/>
          </w:tcPr>
          <w:p w14:paraId="61AFF097"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8" w:type="dxa"/>
          </w:tcPr>
          <w:p w14:paraId="35ADB556"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9D03BA" w14:paraId="79896A68" w14:textId="77777777" w:rsidTr="009D03B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237E2146" w14:textId="35F76796" w:rsidR="009D03BA" w:rsidRPr="009D03BA" w:rsidRDefault="009D03BA" w:rsidP="009D03BA">
            <w:pPr>
              <w:spacing w:line="336" w:lineRule="auto"/>
              <w:rPr>
                <w:b w:val="0"/>
                <w:bCs/>
                <w:szCs w:val="22"/>
              </w:rPr>
            </w:pPr>
            <w:hyperlink r:id="rId32" w:anchor=":~:text=In%20his%20Port%20Regulations%20and,foreigners%20residing%20there.%5B29%5D" w:history="1">
              <w:r w:rsidRPr="009D03BA">
                <w:rPr>
                  <w:rStyle w:val="Hyperlink"/>
                  <w:b w:val="0"/>
                  <w:bCs/>
                  <w:szCs w:val="22"/>
                </w:rPr>
                <w:t>Port Regulations and Orders of 1810 under Governor Macquarie</w:t>
              </w:r>
            </w:hyperlink>
          </w:p>
        </w:tc>
        <w:tc>
          <w:tcPr>
            <w:tcW w:w="1134" w:type="dxa"/>
          </w:tcPr>
          <w:p w14:paraId="38CF3E51"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7" w:type="dxa"/>
          </w:tcPr>
          <w:p w14:paraId="019672A3"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8" w:type="dxa"/>
          </w:tcPr>
          <w:p w14:paraId="03B87617"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9D03BA" w14:paraId="475E3351" w14:textId="77777777" w:rsidTr="009D03BA">
        <w:trPr>
          <w:cnfStyle w:val="000000010000" w:firstRow="0" w:lastRow="0" w:firstColumn="0" w:lastColumn="0" w:oddVBand="0" w:evenVBand="0" w:oddHBand="0" w:evenHBand="1"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27C41F7A" w14:textId="3C4A6839" w:rsidR="009D03BA" w:rsidRPr="009D03BA" w:rsidRDefault="009D03BA" w:rsidP="009D03BA">
            <w:pPr>
              <w:spacing w:line="336" w:lineRule="auto"/>
              <w:rPr>
                <w:b w:val="0"/>
                <w:bCs/>
                <w:szCs w:val="22"/>
              </w:rPr>
            </w:pPr>
            <w:hyperlink r:id="rId33" w:anchor=":~:text=But%20Macquarie%E2%80%99s%20famous,laws.%5B31%5D" w:history="1">
              <w:r w:rsidRPr="009D03BA">
                <w:rPr>
                  <w:rStyle w:val="Hyperlink"/>
                  <w:b w:val="0"/>
                  <w:bCs/>
                  <w:szCs w:val="22"/>
                </w:rPr>
                <w:t>Proclamation to the Aborigines (4 May 1816), Governor Macquarie</w:t>
              </w:r>
            </w:hyperlink>
          </w:p>
        </w:tc>
        <w:tc>
          <w:tcPr>
            <w:tcW w:w="1134" w:type="dxa"/>
          </w:tcPr>
          <w:p w14:paraId="29F8635D"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7" w:type="dxa"/>
          </w:tcPr>
          <w:p w14:paraId="3908AAAC"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8" w:type="dxa"/>
          </w:tcPr>
          <w:p w14:paraId="1C8851B1"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9D03BA" w14:paraId="0E125B82" w14:textId="77777777" w:rsidTr="009D03B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03E37236" w14:textId="0199F8C5" w:rsidR="009D03BA" w:rsidRDefault="009D03BA" w:rsidP="00E32DA1">
            <w:pPr>
              <w:spacing w:line="336" w:lineRule="auto"/>
            </w:pPr>
            <w:hyperlink r:id="rId34" w:anchor=":~:text=40.%20Jack,prosecuted.%5B25%5D" w:history="1">
              <w:r w:rsidRPr="009D03BA">
                <w:rPr>
                  <w:rStyle w:val="Hyperlink"/>
                  <w:b w:val="0"/>
                  <w:szCs w:val="22"/>
                </w:rPr>
                <w:t>Jack Congo Murrell’s Case</w:t>
              </w:r>
              <w:r>
                <w:rPr>
                  <w:rStyle w:val="Hyperlink"/>
                  <w:b w:val="0"/>
                  <w:szCs w:val="22"/>
                </w:rPr>
                <w:t xml:space="preserve">, </w:t>
              </w:r>
              <w:r w:rsidRPr="009D03BA">
                <w:rPr>
                  <w:rStyle w:val="Hyperlink"/>
                  <w:b w:val="0"/>
                </w:rPr>
                <w:t>1836</w:t>
              </w:r>
            </w:hyperlink>
          </w:p>
        </w:tc>
        <w:tc>
          <w:tcPr>
            <w:tcW w:w="1134" w:type="dxa"/>
          </w:tcPr>
          <w:p w14:paraId="47A1358B"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7" w:type="dxa"/>
          </w:tcPr>
          <w:p w14:paraId="0E8FEA9E"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8" w:type="dxa"/>
          </w:tcPr>
          <w:p w14:paraId="42287010"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9D03BA" w14:paraId="6B3286C1" w14:textId="77777777" w:rsidTr="009D03BA">
        <w:trPr>
          <w:cnfStyle w:val="000000010000" w:firstRow="0" w:lastRow="0" w:firstColumn="0" w:lastColumn="0" w:oddVBand="0" w:evenVBand="0" w:oddHBand="0" w:evenHBand="1"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74C227E6" w14:textId="47BC61A7" w:rsidR="009D03BA" w:rsidRPr="009D03BA" w:rsidRDefault="009D03BA" w:rsidP="009D03BA">
            <w:pPr>
              <w:spacing w:line="336" w:lineRule="auto"/>
              <w:rPr>
                <w:b w:val="0"/>
                <w:bCs/>
                <w:szCs w:val="22"/>
              </w:rPr>
            </w:pPr>
            <w:hyperlink r:id="rId35" w:anchor=":~:text=As%20has%20been,the%20Australian%20colonies." w:history="1">
              <w:r w:rsidRPr="009D03BA">
                <w:rPr>
                  <w:rStyle w:val="Hyperlink"/>
                  <w:b w:val="0"/>
                  <w:bCs/>
                  <w:szCs w:val="22"/>
                </w:rPr>
                <w:t>Report of the Select Committee into Aborigines in British Settlements, 1837</w:t>
              </w:r>
            </w:hyperlink>
          </w:p>
        </w:tc>
        <w:tc>
          <w:tcPr>
            <w:tcW w:w="1134" w:type="dxa"/>
          </w:tcPr>
          <w:p w14:paraId="57818802"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7" w:type="dxa"/>
          </w:tcPr>
          <w:p w14:paraId="1F4B8C78"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048" w:type="dxa"/>
          </w:tcPr>
          <w:p w14:paraId="3058A5F8" w14:textId="77777777" w:rsidR="009D03BA" w:rsidRDefault="009D03BA" w:rsidP="00B105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9D03BA" w14:paraId="6F236B07" w14:textId="77777777" w:rsidTr="009D03B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2405" w:type="dxa"/>
          </w:tcPr>
          <w:p w14:paraId="433A8389" w14:textId="0091D732" w:rsidR="009D03BA" w:rsidRPr="009D03BA" w:rsidRDefault="009D03BA" w:rsidP="009D03BA">
            <w:pPr>
              <w:spacing w:line="336" w:lineRule="auto"/>
              <w:rPr>
                <w:b w:val="0"/>
                <w:bCs/>
                <w:szCs w:val="22"/>
              </w:rPr>
            </w:pPr>
            <w:hyperlink r:id="rId36" w:anchor=":~:text=44.%20Grey%E2%80%99s,law.%5B42%5D" w:history="1">
              <w:r w:rsidRPr="009D03BA">
                <w:rPr>
                  <w:rStyle w:val="Hyperlink"/>
                  <w:b w:val="0"/>
                  <w:bCs/>
                  <w:szCs w:val="22"/>
                </w:rPr>
                <w:t>Report on the Application of British laws to Aborigines (Grey’s Report), 1840</w:t>
              </w:r>
            </w:hyperlink>
          </w:p>
        </w:tc>
        <w:tc>
          <w:tcPr>
            <w:tcW w:w="1134" w:type="dxa"/>
          </w:tcPr>
          <w:p w14:paraId="36D4EE0B"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7" w:type="dxa"/>
          </w:tcPr>
          <w:p w14:paraId="21BCFC95"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048" w:type="dxa"/>
          </w:tcPr>
          <w:p w14:paraId="6A3298C6" w14:textId="77777777" w:rsidR="009D03BA" w:rsidRDefault="009D03BA" w:rsidP="00B105B6">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4A250E62" w14:textId="6073AB52" w:rsidR="006721EE" w:rsidRDefault="006721EE" w:rsidP="006721EE">
      <w:pPr>
        <w:rPr>
          <w:szCs w:val="22"/>
        </w:rPr>
      </w:pPr>
      <w:r>
        <w:rPr>
          <w:szCs w:val="22"/>
        </w:rPr>
        <w:t xml:space="preserve">Create an </w:t>
      </w:r>
      <w:hyperlink r:id="rId37" w:history="1">
        <w:r w:rsidRPr="00781730">
          <w:rPr>
            <w:rStyle w:val="Hyperlink"/>
            <w:szCs w:val="22"/>
          </w:rPr>
          <w:t>affinity diagram</w:t>
        </w:r>
      </w:hyperlink>
      <w:r>
        <w:rPr>
          <w:szCs w:val="22"/>
        </w:rPr>
        <w:t xml:space="preserve"> to summarise the findings that you have recorded in your table in terms of </w:t>
      </w:r>
      <w:r w:rsidR="00396613">
        <w:rPr>
          <w:szCs w:val="22"/>
        </w:rPr>
        <w:t xml:space="preserve">the disadvantage experienced by </w:t>
      </w:r>
      <w:r w:rsidR="00396613">
        <w:t xml:space="preserve">Aboriginal and Torres Strait Islander </w:t>
      </w:r>
      <w:r w:rsidR="007C61DF">
        <w:t>p</w:t>
      </w:r>
      <w:r w:rsidR="00396613">
        <w:t>eoples</w:t>
      </w:r>
      <w:r>
        <w:rPr>
          <w:szCs w:val="22"/>
        </w:rPr>
        <w:t>. Identify on your diagram which of the criteria</w:t>
      </w:r>
      <w:r w:rsidR="00396613">
        <w:rPr>
          <w:szCs w:val="22"/>
        </w:rPr>
        <w:t xml:space="preserve"> below</w:t>
      </w:r>
      <w:r>
        <w:rPr>
          <w:szCs w:val="22"/>
        </w:rPr>
        <w:t xml:space="preserve"> you think is most influential in generating disadvantage</w:t>
      </w:r>
      <w:r w:rsidR="007C61DF">
        <w:rPr>
          <w:szCs w:val="22"/>
        </w:rPr>
        <w:t>:</w:t>
      </w:r>
    </w:p>
    <w:p w14:paraId="05575D0F" w14:textId="77777777" w:rsidR="00396613" w:rsidRDefault="00396613" w:rsidP="00396613">
      <w:pPr>
        <w:pStyle w:val="ListBullet"/>
        <w:rPr>
          <w:szCs w:val="22"/>
        </w:rPr>
      </w:pPr>
      <w:r>
        <w:rPr>
          <w:szCs w:val="22"/>
        </w:rPr>
        <w:t>accessibility</w:t>
      </w:r>
    </w:p>
    <w:p w14:paraId="0399CDB0" w14:textId="77777777" w:rsidR="00396613" w:rsidRDefault="00396613" w:rsidP="00396613">
      <w:pPr>
        <w:pStyle w:val="ListBullet"/>
        <w:rPr>
          <w:szCs w:val="22"/>
        </w:rPr>
      </w:pPr>
      <w:r>
        <w:rPr>
          <w:szCs w:val="22"/>
        </w:rPr>
        <w:t>enforceability</w:t>
      </w:r>
    </w:p>
    <w:p w14:paraId="3E74861F" w14:textId="77777777" w:rsidR="00396613" w:rsidRDefault="00396613" w:rsidP="00396613">
      <w:pPr>
        <w:pStyle w:val="ListBullet"/>
        <w:rPr>
          <w:szCs w:val="22"/>
        </w:rPr>
      </w:pPr>
      <w:r>
        <w:rPr>
          <w:szCs w:val="22"/>
        </w:rPr>
        <w:t>responsiveness</w:t>
      </w:r>
    </w:p>
    <w:p w14:paraId="174A1B0C" w14:textId="66195BDC" w:rsidR="00396613" w:rsidRPr="00FA2806" w:rsidRDefault="00396613" w:rsidP="00396613">
      <w:pPr>
        <w:pStyle w:val="ListBullet"/>
        <w:rPr>
          <w:szCs w:val="22"/>
        </w:rPr>
      </w:pPr>
      <w:r>
        <w:rPr>
          <w:szCs w:val="22"/>
        </w:rPr>
        <w:t>resource efficiency</w:t>
      </w:r>
      <w:r w:rsidR="001739D8">
        <w:rPr>
          <w:szCs w:val="22"/>
        </w:rPr>
        <w:t>.</w:t>
      </w:r>
    </w:p>
    <w:p w14:paraId="67A2DA17" w14:textId="575BD2E0" w:rsidR="006721EE" w:rsidRDefault="00396613" w:rsidP="006721EE">
      <w:r>
        <w:t xml:space="preserve">Examine the text below, which provides a summary of the status of Aboriginal and Torres Strait Islander </w:t>
      </w:r>
      <w:r w:rsidR="007C61DF">
        <w:t>p</w:t>
      </w:r>
      <w:r>
        <w:t>eoples before the law during the colonial period.</w:t>
      </w:r>
    </w:p>
    <w:p w14:paraId="27401E7D" w14:textId="7D869ABA" w:rsidR="006721EE" w:rsidRPr="002D43D5" w:rsidRDefault="00396613" w:rsidP="006721EE">
      <w:pPr>
        <w:rPr>
          <w:szCs w:val="22"/>
        </w:rPr>
      </w:pPr>
      <w:r>
        <w:rPr>
          <w:szCs w:val="22"/>
        </w:rPr>
        <w:t xml:space="preserve">Engage in a </w:t>
      </w:r>
      <w:hyperlink r:id="rId38" w:history="1">
        <w:r w:rsidR="007C61DF">
          <w:rPr>
            <w:rStyle w:val="Hyperlink"/>
            <w:szCs w:val="22"/>
          </w:rPr>
          <w:t>Think-Pair-Share</w:t>
        </w:r>
      </w:hyperlink>
      <w:r>
        <w:rPr>
          <w:szCs w:val="22"/>
        </w:rPr>
        <w:t xml:space="preserve"> </w:t>
      </w:r>
      <w:r w:rsidR="007C61DF">
        <w:rPr>
          <w:szCs w:val="22"/>
        </w:rPr>
        <w:t xml:space="preserve">routine </w:t>
      </w:r>
      <w:r>
        <w:rPr>
          <w:szCs w:val="22"/>
        </w:rPr>
        <w:t xml:space="preserve">with a peer to consider the extent to which your </w:t>
      </w:r>
      <w:r w:rsidR="005E4C0C">
        <w:rPr>
          <w:szCs w:val="22"/>
        </w:rPr>
        <w:t>a</w:t>
      </w:r>
      <w:r>
        <w:rPr>
          <w:szCs w:val="22"/>
        </w:rPr>
        <w:t xml:space="preserve">ffinity diagrams align with the </w:t>
      </w:r>
      <w:r w:rsidR="005E4C0C">
        <w:rPr>
          <w:szCs w:val="22"/>
        </w:rPr>
        <w:t xml:space="preserve">conclusions of the </w:t>
      </w:r>
      <w:r w:rsidR="005E4C0C">
        <w:t>Australian Law Reform Commission</w:t>
      </w:r>
      <w:r w:rsidR="002D43D5">
        <w:t xml:space="preserve"> (ALRC)</w:t>
      </w:r>
      <w:r w:rsidR="005E4C0C">
        <w:t xml:space="preserve">. </w:t>
      </w:r>
      <w:r w:rsidR="002917FC">
        <w:t>Adjust</w:t>
      </w:r>
      <w:r w:rsidR="005E4C0C">
        <w:t xml:space="preserve"> your affinity diagram as necessary to incorporate the </w:t>
      </w:r>
      <w:r w:rsidR="002D43D5">
        <w:t>ALRC’s findings.</w:t>
      </w:r>
    </w:p>
    <w:p w14:paraId="61DE5E7A" w14:textId="70B4C132" w:rsidR="006721EE" w:rsidRDefault="00B95FE9" w:rsidP="006721EE">
      <w:pPr>
        <w:pStyle w:val="FeatureBox"/>
      </w:pPr>
      <w:r>
        <w:t>‘</w:t>
      </w:r>
      <w:r w:rsidR="006721EE">
        <w:t xml:space="preserve">[Debates in colonial Australia about the place of Aboriginal and Torres Strait Islander </w:t>
      </w:r>
      <w:r>
        <w:t>p</w:t>
      </w:r>
      <w:r w:rsidR="006721EE">
        <w:t>eoples in criminal law]</w:t>
      </w:r>
      <w:r>
        <w:t xml:space="preserve"> </w:t>
      </w:r>
      <w:r w:rsidR="006721EE">
        <w:t xml:space="preserve">… </w:t>
      </w:r>
      <w:r w:rsidR="006721EE" w:rsidRPr="00CC7971">
        <w:t>obscured what was perhaps the more fundamental point, which was never questioned or debated — that is, the complete absence of recognition of Aboriginal rights to land, or of the recognition of Aboriginal customary laws in the civil law.</w:t>
      </w:r>
      <w:r>
        <w:t>’</w:t>
      </w:r>
    </w:p>
    <w:p w14:paraId="2ADB4996" w14:textId="2BA7590C" w:rsidR="006721EE" w:rsidRDefault="00B95FE9" w:rsidP="006721EE">
      <w:pPr>
        <w:pStyle w:val="FeatureBox"/>
      </w:pPr>
      <w:r>
        <w:t>‘</w:t>
      </w:r>
      <w:r w:rsidR="006721EE" w:rsidRPr="00CC7971">
        <w:t>Aborigines were not treated as trespassers on Crown land, but the Crown freely alienated land to settlers who then displaced local Aborigines, often by force. Aboriginal marriages were not recognised and rights to the custody of children were precarious or non-existent. Although Aborigines as British subjects had formal capacity to make contracts, to own property, and to sue in the courts, in practice these facilities were irrelevant.</w:t>
      </w:r>
      <w:r>
        <w:t>’</w:t>
      </w:r>
    </w:p>
    <w:p w14:paraId="39A2BC1C" w14:textId="21E2D3DF" w:rsidR="006721EE" w:rsidRDefault="006721EE" w:rsidP="00F862C4">
      <w:pPr>
        <w:pStyle w:val="Imageattributioncaption"/>
      </w:pPr>
      <w:r>
        <w:t xml:space="preserve">Source: </w:t>
      </w:r>
      <w:hyperlink r:id="rId39" w:history="1">
        <w:r w:rsidR="00B95FE9" w:rsidRPr="004B3077">
          <w:rPr>
            <w:rStyle w:val="Hyperlink"/>
          </w:rPr>
          <w:t>Recognition of Aboriginal Customary Laws – Australian Law as Applied to Aborigines</w:t>
        </w:r>
      </w:hyperlink>
      <w:r w:rsidR="00B95FE9">
        <w:t xml:space="preserve"> by the Australian Law Reform Commission is licensed under </w:t>
      </w:r>
      <w:hyperlink r:id="rId40" w:history="1">
        <w:r w:rsidR="00B95FE9" w:rsidRPr="00A9673D">
          <w:rPr>
            <w:rStyle w:val="Hyperlink"/>
          </w:rPr>
          <w:t>CC BY-NC-ND 3.0</w:t>
        </w:r>
      </w:hyperlink>
      <w:r w:rsidR="00B95FE9">
        <w:t>.</w:t>
      </w:r>
    </w:p>
    <w:p w14:paraId="6CF71DDE" w14:textId="76171F81" w:rsidR="000067A6" w:rsidRDefault="000067A6" w:rsidP="000067A6">
      <w:pPr>
        <w:pStyle w:val="FeatureBox2"/>
      </w:pPr>
      <w:r>
        <w:rPr>
          <w:b/>
          <w:bCs/>
          <w:szCs w:val="22"/>
        </w:rPr>
        <w:lastRenderedPageBreak/>
        <w:t>Note</w:t>
      </w:r>
      <w:r w:rsidRPr="00E32DA1">
        <w:rPr>
          <w:szCs w:val="22"/>
        </w:rPr>
        <w:t xml:space="preserve">: </w:t>
      </w:r>
      <w:r>
        <w:rPr>
          <w:szCs w:val="22"/>
        </w:rPr>
        <w:t xml:space="preserve">teachers may use </w:t>
      </w:r>
      <w:hyperlink r:id="rId41" w:anchor=":~:text=provide%20educators%20with%20effective%20structures%20for%20key%20text-types" w:history="1">
        <w:r w:rsidRPr="00AF7B95">
          <w:rPr>
            <w:rStyle w:val="Hyperlink"/>
            <w:szCs w:val="22"/>
          </w:rPr>
          <w:t>writing scaffolds</w:t>
        </w:r>
      </w:hyperlink>
      <w:r>
        <w:rPr>
          <w:szCs w:val="22"/>
        </w:rPr>
        <w:t xml:space="preserve"> to support students in completing the activity below.</w:t>
      </w:r>
    </w:p>
    <w:p w14:paraId="5F41BE6A" w14:textId="038F8687" w:rsidR="000067A6" w:rsidRDefault="000067A6" w:rsidP="000067A6">
      <w:pPr>
        <w:rPr>
          <w:rFonts w:eastAsia="Arial"/>
          <w:color w:val="000000" w:themeColor="text1"/>
          <w:szCs w:val="22"/>
        </w:rPr>
      </w:pPr>
      <w:r>
        <w:t>Use your completed tables</w:t>
      </w:r>
      <w:r w:rsidR="002D43D5">
        <w:t xml:space="preserve"> and affinity diagram</w:t>
      </w:r>
      <w:r>
        <w:t xml:space="preserve"> to individually </w:t>
      </w:r>
      <w:r>
        <w:rPr>
          <w:rFonts w:eastAsia="Arial"/>
          <w:color w:val="000000" w:themeColor="text1"/>
          <w:szCs w:val="22"/>
        </w:rPr>
        <w:t>write a multi-paragraph response</w:t>
      </w:r>
      <w:r w:rsidR="00D37904">
        <w:rPr>
          <w:rFonts w:eastAsia="Arial"/>
          <w:color w:val="000000" w:themeColor="text1"/>
          <w:szCs w:val="22"/>
        </w:rPr>
        <w:t xml:space="preserve"> that </w:t>
      </w:r>
      <w:r w:rsidR="00B55A6A">
        <w:rPr>
          <w:rFonts w:eastAsia="Arial"/>
          <w:color w:val="000000" w:themeColor="text1"/>
          <w:szCs w:val="22"/>
        </w:rPr>
        <w:t>assess</w:t>
      </w:r>
      <w:r w:rsidR="00EC487F">
        <w:rPr>
          <w:rFonts w:eastAsia="Arial"/>
          <w:color w:val="000000" w:themeColor="text1"/>
          <w:szCs w:val="22"/>
        </w:rPr>
        <w:t>es</w:t>
      </w:r>
      <w:r w:rsidR="00D37904">
        <w:rPr>
          <w:rFonts w:eastAsia="Arial"/>
          <w:color w:val="000000" w:themeColor="text1"/>
          <w:szCs w:val="22"/>
        </w:rPr>
        <w:t xml:space="preserve"> the development of law in the colony of New South Wales in relation to </w:t>
      </w:r>
      <w:r w:rsidR="00D37904">
        <w:t xml:space="preserve">Aboriginal and Torres Strait Islander </w:t>
      </w:r>
      <w:r w:rsidR="00A8309E">
        <w:t>p</w:t>
      </w:r>
      <w:r w:rsidR="00D37904">
        <w:t>eoples</w:t>
      </w:r>
      <w:r w:rsidR="00B55A6A">
        <w:t xml:space="preserve"> in terms of disadvantage</w:t>
      </w:r>
      <w:r w:rsidR="00D37904">
        <w:rPr>
          <w:rFonts w:eastAsia="Arial"/>
          <w:color w:val="000000" w:themeColor="text1"/>
          <w:szCs w:val="22"/>
        </w:rPr>
        <w:t>. Include the following in your response:</w:t>
      </w:r>
    </w:p>
    <w:p w14:paraId="7832D095" w14:textId="0F36A1A9" w:rsidR="000067A6" w:rsidRDefault="00A8309E" w:rsidP="00E32DA1">
      <w:pPr>
        <w:pStyle w:val="ListBullet"/>
      </w:pPr>
      <w:r>
        <w:t>a</w:t>
      </w:r>
      <w:r w:rsidR="00D37904">
        <w:t xml:space="preserve">n outline of the changing status of Aboriginal and Torres Strait Islander </w:t>
      </w:r>
      <w:r>
        <w:t>p</w:t>
      </w:r>
      <w:r w:rsidR="00D37904">
        <w:t>eoples before the law from 1788 to 1840</w:t>
      </w:r>
    </w:p>
    <w:p w14:paraId="5078C96E" w14:textId="65EFCCC6" w:rsidR="000067A6" w:rsidRDefault="00A8309E" w:rsidP="00E32DA1">
      <w:pPr>
        <w:pStyle w:val="ListBullet"/>
      </w:pPr>
      <w:r>
        <w:t>a</w:t>
      </w:r>
      <w:r w:rsidR="00B55A6A">
        <w:t xml:space="preserve"> discussion of the legal arguments that shaped debate over the place of Aboriginal and Torres Strait Islander </w:t>
      </w:r>
      <w:r>
        <w:t>p</w:t>
      </w:r>
      <w:r w:rsidR="00B55A6A">
        <w:t>eoples under the law</w:t>
      </w:r>
    </w:p>
    <w:p w14:paraId="3B5BD8FB" w14:textId="5B1CC383" w:rsidR="00B55A6A" w:rsidRDefault="00A8309E" w:rsidP="00E32DA1">
      <w:pPr>
        <w:pStyle w:val="ListBullet"/>
      </w:pPr>
      <w:r>
        <w:t>a</w:t>
      </w:r>
      <w:r w:rsidR="00B55A6A">
        <w:t xml:space="preserve"> judgement about the extent to which </w:t>
      </w:r>
      <w:r w:rsidR="00F85277">
        <w:t xml:space="preserve">the status of Aboriginal and Torres Strait Islander </w:t>
      </w:r>
      <w:r>
        <w:t>p</w:t>
      </w:r>
      <w:r w:rsidR="00F85277">
        <w:t>eoples before the law contributed to disadvantage.</w:t>
      </w:r>
    </w:p>
    <w:p w14:paraId="6453F048" w14:textId="50571823" w:rsidR="000067A6" w:rsidRPr="00712E2A" w:rsidRDefault="00712E2A" w:rsidP="000067A6">
      <w:pPr>
        <w:pStyle w:val="FeatureBox2"/>
      </w:pPr>
      <w:r>
        <w:rPr>
          <w:b/>
          <w:bCs/>
        </w:rPr>
        <w:t>Paragraph construction</w:t>
      </w:r>
      <w:r w:rsidR="000067A6" w:rsidRPr="00E32DA1">
        <w:t>:</w:t>
      </w:r>
      <w:r w:rsidR="000067A6">
        <w:t xml:space="preserve"> </w:t>
      </w:r>
      <w:r w:rsidR="00E32DA1">
        <w:t>s</w:t>
      </w:r>
      <w:r>
        <w:t xml:space="preserve">tudents need to be explicitly taught and retaught how to write a structured paragraph (such as a </w:t>
      </w:r>
      <w:hyperlink r:id="rId42" w:anchor=":~:text=provide%20educators%20with%20effective%20structures%20for%20key%20text-types" w:history="1">
        <w:r w:rsidRPr="00DB3CE6">
          <w:rPr>
            <w:rStyle w:val="Hyperlink"/>
          </w:rPr>
          <w:t>PEEL paragraph</w:t>
        </w:r>
      </w:hyperlink>
      <w:r>
        <w:t xml:space="preserve">) and have the process modelled for them by the teacher. This should be done prior to completing the above activity if students are not yet proficient in paragraph writing. </w:t>
      </w:r>
      <w:r w:rsidRPr="001939A9">
        <w:t>EAL/D learners would benefit from exemplar models that can be deconstructed line by line to show them how effective paragraphs are structured.</w:t>
      </w:r>
    </w:p>
    <w:p w14:paraId="7E5EAE9D" w14:textId="2B4C3F4D" w:rsidR="000067A6" w:rsidRDefault="002A78FA" w:rsidP="002F6B3F">
      <w:r>
        <w:t xml:space="preserve">Engage with the Australian Human Rights Commission’s page </w:t>
      </w:r>
      <w:hyperlink r:id="rId43" w:history="1">
        <w:r w:rsidRPr="002A78FA">
          <w:rPr>
            <w:rStyle w:val="Hyperlink"/>
          </w:rPr>
          <w:t>The history of Aboriginal and Torres Strait Islander peoples advocating for the right to be heard</w:t>
        </w:r>
      </w:hyperlink>
      <w:r>
        <w:t>.</w:t>
      </w:r>
    </w:p>
    <w:p w14:paraId="287A2BBE" w14:textId="779F5775" w:rsidR="00424864" w:rsidRDefault="00424864" w:rsidP="002F6B3F">
      <w:r>
        <w:t xml:space="preserve">Use the content under the heading </w:t>
      </w:r>
      <w:hyperlink r:id="rId44" w:anchor=":~:text=resource%20kit.-,Timeline,-Show%20All" w:history="1">
        <w:r w:rsidRPr="00424864">
          <w:rPr>
            <w:rStyle w:val="Hyperlink"/>
          </w:rPr>
          <w:t>Timeline</w:t>
        </w:r>
      </w:hyperlink>
      <w:r>
        <w:t>, as the basis for generating your own</w:t>
      </w:r>
      <w:r w:rsidR="00FC6369">
        <w:t xml:space="preserve"> annotated</w:t>
      </w:r>
      <w:r>
        <w:t xml:space="preserve"> timeline that records </w:t>
      </w:r>
      <w:r w:rsidR="00FC6369">
        <w:t xml:space="preserve">descriptions of </w:t>
      </w:r>
      <w:r>
        <w:t xml:space="preserve">moments in </w:t>
      </w:r>
      <w:r w:rsidR="00FC6369">
        <w:t xml:space="preserve">the twentieth century history of Aboriginal and Torres Strait Islander </w:t>
      </w:r>
      <w:r w:rsidR="009150A5">
        <w:t>p</w:t>
      </w:r>
      <w:r w:rsidR="00FC6369">
        <w:t xml:space="preserve">eoples experiences of disadvantage before the law. </w:t>
      </w:r>
      <w:r w:rsidR="00CD020F">
        <w:t>Keep this timeline for use in future lessons.</w:t>
      </w:r>
    </w:p>
    <w:p w14:paraId="6CDCB3AE" w14:textId="33C2D38B" w:rsidR="00FC6369" w:rsidRDefault="00FC6369" w:rsidP="002F6B3F">
      <w:r>
        <w:t>Refer to your</w:t>
      </w:r>
      <w:r w:rsidR="00496080">
        <w:t xml:space="preserve"> annotated</w:t>
      </w:r>
      <w:r>
        <w:t xml:space="preserve"> timeline to answer the following question</w:t>
      </w:r>
      <w:r w:rsidR="00496080">
        <w:t>s</w:t>
      </w:r>
      <w:r>
        <w:t>:</w:t>
      </w:r>
    </w:p>
    <w:p w14:paraId="41121731" w14:textId="3F9B266F" w:rsidR="00FC6369" w:rsidRDefault="004961BC" w:rsidP="00E32DA1">
      <w:pPr>
        <w:pStyle w:val="ListBullet"/>
      </w:pPr>
      <w:r>
        <w:t>To what extent was the Government’s refusal to present the petition of William Cooper to King George VI an example of disadvantage before the law?</w:t>
      </w:r>
    </w:p>
    <w:p w14:paraId="7C49349C" w14:textId="40CEC7BD" w:rsidR="004961BC" w:rsidRDefault="00363DAF" w:rsidP="00E32DA1">
      <w:pPr>
        <w:pStyle w:val="ListBullet"/>
      </w:pPr>
      <w:r>
        <w:t>W</w:t>
      </w:r>
      <w:r w:rsidR="00676259">
        <w:t>hat forms of legal disadvantage was the 1965 Freedom Ride intended to publicise?</w:t>
      </w:r>
    </w:p>
    <w:p w14:paraId="12CF9B0C" w14:textId="6DC073D3" w:rsidR="00CD020F" w:rsidRDefault="00CD020F" w:rsidP="00E32DA1">
      <w:pPr>
        <w:pStyle w:val="ListBullet"/>
      </w:pPr>
      <w:r>
        <w:t>To what extent were the goals of the 1965 Freedom Ride achieved?</w:t>
      </w:r>
    </w:p>
    <w:p w14:paraId="47B916B3" w14:textId="42D995DE" w:rsidR="006F57AA" w:rsidRDefault="006423F3" w:rsidP="00E32DA1">
      <w:pPr>
        <w:pStyle w:val="ListBullet"/>
      </w:pPr>
      <w:r>
        <w:lastRenderedPageBreak/>
        <w:t>Describe the impact</w:t>
      </w:r>
      <w:r w:rsidR="00496080">
        <w:t>s</w:t>
      </w:r>
      <w:r>
        <w:t xml:space="preserve"> of the Mabo decisions (1988</w:t>
      </w:r>
      <w:r w:rsidR="00311E9E">
        <w:t xml:space="preserve"> and </w:t>
      </w:r>
      <w:r>
        <w:t>1992) on</w:t>
      </w:r>
      <w:r w:rsidR="00496080">
        <w:t xml:space="preserve"> efforts to address the disadvantage experienced by Aboriginal and Torres Strait Islander </w:t>
      </w:r>
      <w:r w:rsidR="00C5439B">
        <w:t>p</w:t>
      </w:r>
      <w:r w:rsidR="00496080">
        <w:t>eoples in relation to land rights.</w:t>
      </w:r>
    </w:p>
    <w:p w14:paraId="05DBF37C" w14:textId="3EF8B8E4" w:rsidR="00AF5A75" w:rsidRPr="00E56833" w:rsidRDefault="00452B31" w:rsidP="00AF5A75">
      <w:pPr>
        <w:pStyle w:val="FeatureBox"/>
        <w:rPr>
          <w:b/>
          <w:bCs/>
          <w:szCs w:val="22"/>
        </w:rPr>
      </w:pPr>
      <w:r>
        <w:rPr>
          <w:b/>
          <w:bCs/>
          <w:szCs w:val="22"/>
        </w:rPr>
        <w:t>Contemporary e</w:t>
      </w:r>
      <w:r w:rsidR="00AF5A75">
        <w:rPr>
          <w:b/>
          <w:bCs/>
          <w:szCs w:val="22"/>
        </w:rPr>
        <w:t xml:space="preserve">xperiences of legal disadvantage among Aboriginal and Torres Strait Islander </w:t>
      </w:r>
      <w:r w:rsidR="00C5439B">
        <w:rPr>
          <w:b/>
          <w:bCs/>
          <w:szCs w:val="22"/>
        </w:rPr>
        <w:t>p</w:t>
      </w:r>
      <w:r w:rsidR="00AF5A75">
        <w:rPr>
          <w:b/>
          <w:bCs/>
          <w:szCs w:val="22"/>
        </w:rPr>
        <w:t>eoples</w:t>
      </w:r>
    </w:p>
    <w:p w14:paraId="74F0C288" w14:textId="2732EB72" w:rsidR="00FB3813" w:rsidRPr="00AE3CD7" w:rsidRDefault="00AF5A75" w:rsidP="00FB3813">
      <w:pPr>
        <w:pStyle w:val="FeatureBox"/>
        <w:rPr>
          <w:szCs w:val="22"/>
        </w:rPr>
      </w:pPr>
      <w:r>
        <w:rPr>
          <w:szCs w:val="22"/>
        </w:rPr>
        <w:t xml:space="preserve">The Law and Justice Foundation of NSW </w:t>
      </w:r>
      <w:r w:rsidR="00FB0503">
        <w:rPr>
          <w:szCs w:val="22"/>
        </w:rPr>
        <w:t xml:space="preserve">has </w:t>
      </w:r>
      <w:r w:rsidR="00EA589C">
        <w:rPr>
          <w:szCs w:val="22"/>
        </w:rPr>
        <w:t>found that</w:t>
      </w:r>
      <w:r w:rsidR="002E7EE0">
        <w:rPr>
          <w:szCs w:val="22"/>
        </w:rPr>
        <w:t xml:space="preserve"> </w:t>
      </w:r>
      <w:r w:rsidR="00B557B8">
        <w:rPr>
          <w:szCs w:val="22"/>
        </w:rPr>
        <w:t>while Indig</w:t>
      </w:r>
      <w:r w:rsidR="00987DF4">
        <w:rPr>
          <w:szCs w:val="22"/>
        </w:rPr>
        <w:t>enous status did not increase the probability of experiencing legal problems</w:t>
      </w:r>
      <w:r w:rsidR="007A1601">
        <w:rPr>
          <w:szCs w:val="22"/>
        </w:rPr>
        <w:t>, Indigenous people are</w:t>
      </w:r>
      <w:r w:rsidR="00C472F0">
        <w:rPr>
          <w:szCs w:val="22"/>
        </w:rPr>
        <w:t xml:space="preserve"> 1.3 times</w:t>
      </w:r>
      <w:r w:rsidR="007A1601">
        <w:rPr>
          <w:szCs w:val="22"/>
        </w:rPr>
        <w:t xml:space="preserve"> more likely to experience multiple legal problems in comparison to non-Indigenous people.</w:t>
      </w:r>
      <w:r w:rsidR="009453BE" w:rsidRPr="009453BE">
        <w:t xml:space="preserve"> </w:t>
      </w:r>
      <w:r w:rsidR="00790DD7">
        <w:t>Moreover,</w:t>
      </w:r>
      <w:r w:rsidR="008C75A5">
        <w:t xml:space="preserve"> d</w:t>
      </w:r>
      <w:r w:rsidR="00790DD7">
        <w:t xml:space="preserve">isadvantaged Indigenous people are significantly more likely than non-Indigenous people to take no action </w:t>
      </w:r>
      <w:r w:rsidR="006E0CCF">
        <w:t>to defend their legal rights and significantly less likely to finalise legal disputes.</w:t>
      </w:r>
    </w:p>
    <w:p w14:paraId="327BB653" w14:textId="0AF9AEE9" w:rsidR="00B9064A" w:rsidRPr="00B9064A" w:rsidRDefault="00B9064A" w:rsidP="00B9064A">
      <w:pPr>
        <w:pStyle w:val="FeatureBox2"/>
      </w:pPr>
      <w:r>
        <w:rPr>
          <w:b/>
          <w:bCs/>
        </w:rPr>
        <w:t>Note</w:t>
      </w:r>
      <w:r w:rsidRPr="00E32DA1">
        <w:t xml:space="preserve">: </w:t>
      </w:r>
      <w:r>
        <w:t>the</w:t>
      </w:r>
      <w:r w:rsidR="00AC510E">
        <w:t xml:space="preserve"> quotes above include references to their sources. Teachers should highlight this text convention to students and may wish to use this as an opportunity to explicitly teach the style guide that has been adopted by the school.</w:t>
      </w:r>
    </w:p>
    <w:p w14:paraId="31735BBD" w14:textId="61F29645" w:rsidR="00EA589C" w:rsidRDefault="006B77B5" w:rsidP="00EA589C">
      <w:r>
        <w:t xml:space="preserve">Use the information above </w:t>
      </w:r>
      <w:r w:rsidR="00E072E6">
        <w:t xml:space="preserve">as the basis for </w:t>
      </w:r>
      <w:r w:rsidR="003E5B19">
        <w:t>responding to the prompts and questions that follow:</w:t>
      </w:r>
    </w:p>
    <w:p w14:paraId="2AA0310B" w14:textId="0485338A" w:rsidR="00F44E3D" w:rsidRPr="00C5439B" w:rsidRDefault="00F44E3D" w:rsidP="00E32DA1">
      <w:pPr>
        <w:pStyle w:val="ListBullet"/>
      </w:pPr>
      <w:r>
        <w:t xml:space="preserve">Summarise the arguments that are made in the text above by using dot-points to </w:t>
      </w:r>
      <w:hyperlink r:id="rId45" w:history="1">
        <w:r w:rsidRPr="008C75A5">
          <w:rPr>
            <w:rStyle w:val="Hyperlink"/>
            <w:szCs w:val="22"/>
          </w:rPr>
          <w:t xml:space="preserve">take </w:t>
        </w:r>
        <w:r w:rsidRPr="008C75A5">
          <w:rPr>
            <w:rStyle w:val="Hyperlink"/>
            <w:szCs w:val="22"/>
          </w:rPr>
          <w:t>n</w:t>
        </w:r>
        <w:r w:rsidRPr="008C75A5">
          <w:rPr>
            <w:rStyle w:val="Hyperlink"/>
            <w:szCs w:val="22"/>
          </w:rPr>
          <w:t>otes</w:t>
        </w:r>
      </w:hyperlink>
      <w:r w:rsidRPr="00C5439B">
        <w:t>.</w:t>
      </w:r>
    </w:p>
    <w:p w14:paraId="32A45BB4" w14:textId="097EE5FD" w:rsidR="003E5B19" w:rsidRDefault="003E5B19" w:rsidP="00E32DA1">
      <w:pPr>
        <w:pStyle w:val="ListBullet"/>
      </w:pPr>
      <w:r>
        <w:t xml:space="preserve">Generate a list of the ways in which </w:t>
      </w:r>
      <w:r w:rsidRPr="003E5B19">
        <w:t xml:space="preserve">Aboriginal and Torres Strait Islander </w:t>
      </w:r>
      <w:r w:rsidR="00CB1B44">
        <w:t>p</w:t>
      </w:r>
      <w:r w:rsidRPr="003E5B19">
        <w:t>eoples</w:t>
      </w:r>
      <w:r>
        <w:t xml:space="preserve"> may experience disadvantage in relation to the law.</w:t>
      </w:r>
    </w:p>
    <w:p w14:paraId="603F074B" w14:textId="2017DD1E" w:rsidR="00A81C52" w:rsidRDefault="00A81C52" w:rsidP="00E32DA1">
      <w:pPr>
        <w:pStyle w:val="ListBullet"/>
      </w:pPr>
      <w:r>
        <w:t xml:space="preserve">Work with a peer to discuss the extent to which </w:t>
      </w:r>
      <w:r w:rsidRPr="003E5B19">
        <w:t xml:space="preserve">Aboriginal and Torres Strait Islander </w:t>
      </w:r>
      <w:r w:rsidR="00CB1B44">
        <w:t>p</w:t>
      </w:r>
      <w:r w:rsidRPr="003E5B19">
        <w:t>eoples</w:t>
      </w:r>
      <w:r>
        <w:t xml:space="preserve"> experience </w:t>
      </w:r>
      <w:r w:rsidR="00424B0B">
        <w:t xml:space="preserve">disadvantage before the law differently. </w:t>
      </w:r>
      <w:r w:rsidR="004164F8">
        <w:t>To what extent do other forms of disadvantage contribute to disadvantage before the law?</w:t>
      </w:r>
    </w:p>
    <w:p w14:paraId="03CBE554" w14:textId="54308608" w:rsidR="00350D32" w:rsidRDefault="00350D32" w:rsidP="00E32DA1">
      <w:pPr>
        <w:pStyle w:val="ListBullet"/>
      </w:pPr>
      <w:r>
        <w:t>Identify which of the</w:t>
      </w:r>
      <w:r w:rsidR="00380661">
        <w:t xml:space="preserve"> below</w:t>
      </w:r>
      <w:r>
        <w:t xml:space="preserve"> criteria for achieving justice apply to each of the areas of disadvantage that you have iden</w:t>
      </w:r>
      <w:r w:rsidR="00380661">
        <w:t>tified</w:t>
      </w:r>
    </w:p>
    <w:p w14:paraId="6BE5F574" w14:textId="77777777" w:rsidR="00380661" w:rsidRPr="00E32DA1" w:rsidRDefault="00380661" w:rsidP="00E32DA1">
      <w:pPr>
        <w:pStyle w:val="ListBullet2"/>
        <w:ind w:left="1134" w:hanging="567"/>
      </w:pPr>
      <w:r w:rsidRPr="00E32DA1">
        <w:t>accessibility</w:t>
      </w:r>
    </w:p>
    <w:p w14:paraId="700658C7" w14:textId="77777777" w:rsidR="00380661" w:rsidRPr="00E32DA1" w:rsidRDefault="00380661" w:rsidP="00E32DA1">
      <w:pPr>
        <w:pStyle w:val="ListBullet2"/>
        <w:ind w:left="1134" w:hanging="567"/>
      </w:pPr>
      <w:r w:rsidRPr="00E32DA1">
        <w:t>enforceability</w:t>
      </w:r>
    </w:p>
    <w:p w14:paraId="3E88AB07" w14:textId="77777777" w:rsidR="00380661" w:rsidRPr="00E32DA1" w:rsidRDefault="00380661" w:rsidP="00E32DA1">
      <w:pPr>
        <w:pStyle w:val="ListBullet2"/>
        <w:ind w:left="1134" w:hanging="567"/>
      </w:pPr>
      <w:r w:rsidRPr="00E32DA1">
        <w:t>responsiveness</w:t>
      </w:r>
    </w:p>
    <w:p w14:paraId="3BF2C7C0" w14:textId="18ADBF72" w:rsidR="00380661" w:rsidRPr="00E32DA1" w:rsidRDefault="00380661" w:rsidP="00E32DA1">
      <w:pPr>
        <w:pStyle w:val="ListBullet2"/>
        <w:ind w:left="1134" w:hanging="567"/>
      </w:pPr>
      <w:r w:rsidRPr="00E32DA1">
        <w:t>resource efficiency</w:t>
      </w:r>
      <w:r w:rsidR="009B216A" w:rsidRPr="00E32DA1">
        <w:t>.</w:t>
      </w:r>
    </w:p>
    <w:p w14:paraId="6D3A16CF" w14:textId="07ED1167" w:rsidR="00350D32" w:rsidRPr="00EA589C" w:rsidRDefault="00350D32" w:rsidP="00E32DA1">
      <w:pPr>
        <w:pStyle w:val="ListBullet"/>
      </w:pPr>
      <w:r>
        <w:lastRenderedPageBreak/>
        <w:t xml:space="preserve">Write a </w:t>
      </w:r>
      <w:r w:rsidR="00CB1B44">
        <w:t>one</w:t>
      </w:r>
      <w:r>
        <w:t>-</w:t>
      </w:r>
      <w:r w:rsidR="00782AE7">
        <w:t xml:space="preserve">paragraph summary that highlights which criteria for achieving justice </w:t>
      </w:r>
      <w:r w:rsidR="00CB1B44">
        <w:t xml:space="preserve">for </w:t>
      </w:r>
      <w:r w:rsidR="00380661">
        <w:t xml:space="preserve">Aboriginal and Torres Strait Islander </w:t>
      </w:r>
      <w:r w:rsidR="00CB1B44">
        <w:t>p</w:t>
      </w:r>
      <w:r w:rsidR="00380661">
        <w:t>eoples are typically disadvantaged against.</w:t>
      </w:r>
    </w:p>
    <w:p w14:paraId="44401C43" w14:textId="2B2B6975" w:rsidR="66560682" w:rsidRDefault="00FA1CF4" w:rsidP="008C75A5">
      <w:r w:rsidRPr="00CF00B8">
        <w:rPr>
          <w:szCs w:val="22"/>
        </w:rPr>
        <w:t>As a class, discuss the question:</w:t>
      </w:r>
      <w:r w:rsidR="008B1FA5" w:rsidRPr="00CF00B8">
        <w:rPr>
          <w:szCs w:val="22"/>
        </w:rPr>
        <w:t xml:space="preserve"> </w:t>
      </w:r>
      <w:r w:rsidR="00CB1B44">
        <w:rPr>
          <w:szCs w:val="22"/>
        </w:rPr>
        <w:t>‘</w:t>
      </w:r>
      <w:r w:rsidR="00CF00B8" w:rsidRPr="00CF00B8">
        <w:rPr>
          <w:szCs w:val="22"/>
        </w:rPr>
        <w:t xml:space="preserve">Against which criteria for achieving justice are </w:t>
      </w:r>
      <w:r w:rsidR="00CF00B8">
        <w:t xml:space="preserve">Aboriginal and Torres Strait Islander </w:t>
      </w:r>
      <w:r w:rsidR="00CB1B44">
        <w:t>p</w:t>
      </w:r>
      <w:r w:rsidR="00CF00B8">
        <w:t>eoples typically most disadvantaged?</w:t>
      </w:r>
      <w:r w:rsidR="00CB1B44">
        <w:t>’</w:t>
      </w:r>
      <w:r w:rsidR="00CF00B8">
        <w:t xml:space="preserve"> </w:t>
      </w:r>
      <w:r w:rsidR="008B1FA5">
        <w:rPr>
          <w:szCs w:val="22"/>
        </w:rPr>
        <w:t xml:space="preserve">Work together to generate a </w:t>
      </w:r>
      <w:hyperlink r:id="rId46" w:history="1">
        <w:r w:rsidRPr="00572728">
          <w:rPr>
            <w:rStyle w:val="Hyperlink"/>
            <w:szCs w:val="22"/>
          </w:rPr>
          <w:t>concept map</w:t>
        </w:r>
      </w:hyperlink>
      <w:r w:rsidR="008B1FA5">
        <w:rPr>
          <w:szCs w:val="22"/>
        </w:rPr>
        <w:t xml:space="preserve"> that records your responses.</w:t>
      </w:r>
      <w:r w:rsidR="66560682">
        <w:br w:type="page"/>
      </w:r>
    </w:p>
    <w:p w14:paraId="0040F857" w14:textId="426C4376" w:rsidR="00864661" w:rsidRPr="0014116A" w:rsidRDefault="009810C7" w:rsidP="0014116A">
      <w:pPr>
        <w:pStyle w:val="Heading2"/>
      </w:pPr>
      <w:bookmarkStart w:id="12" w:name="_Toc197941731"/>
      <w:r w:rsidRPr="0014116A">
        <w:lastRenderedPageBreak/>
        <w:t>Evaluating l</w:t>
      </w:r>
      <w:r w:rsidR="00864661" w:rsidRPr="0014116A">
        <w:t xml:space="preserve">egal and non-legal </w:t>
      </w:r>
      <w:r w:rsidR="00C378CC" w:rsidRPr="0014116A">
        <w:t>responses to</w:t>
      </w:r>
      <w:r w:rsidR="00864661" w:rsidRPr="0014116A">
        <w:t xml:space="preserve"> disadvantage</w:t>
      </w:r>
      <w:bookmarkEnd w:id="12"/>
    </w:p>
    <w:p w14:paraId="76C3619C" w14:textId="332CFE98" w:rsidR="00864661" w:rsidRPr="00E56833" w:rsidRDefault="00864661" w:rsidP="00864661">
      <w:pPr>
        <w:pStyle w:val="FeatureBox2"/>
        <w:rPr>
          <w:rFonts w:eastAsia="Arial"/>
          <w:color w:val="000000" w:themeColor="text1"/>
          <w:szCs w:val="22"/>
        </w:rPr>
      </w:pPr>
      <w:r w:rsidRPr="00E56833">
        <w:rPr>
          <w:rFonts w:eastAsia="Arial"/>
          <w:b/>
          <w:bCs/>
          <w:color w:val="000000" w:themeColor="text1"/>
          <w:szCs w:val="22"/>
        </w:rPr>
        <w:t>Note</w:t>
      </w:r>
      <w:r w:rsidRPr="00E32DA1">
        <w:rPr>
          <w:rFonts w:eastAsia="Arial"/>
          <w:color w:val="000000" w:themeColor="text1"/>
          <w:szCs w:val="22"/>
        </w:rPr>
        <w:t>:</w:t>
      </w:r>
      <w:r w:rsidRPr="00E56833">
        <w:rPr>
          <w:rFonts w:eastAsia="Arial"/>
          <w:color w:val="000000" w:themeColor="text1"/>
          <w:szCs w:val="22"/>
        </w:rPr>
        <w:t xml:space="preserve"> these learning intentions and success criteria are general and should be contextualised to suit your school and students’ needs. Success criteria can be differentiated depending on the starting point of diverse students. For more information on this explicit teaching strategy, see </w:t>
      </w:r>
      <w:hyperlink r:id="rId47">
        <w:r w:rsidRPr="00E56833">
          <w:rPr>
            <w:rStyle w:val="Hyperlink"/>
            <w:rFonts w:eastAsia="Arial"/>
            <w:szCs w:val="22"/>
          </w:rPr>
          <w:t>Sharing success criteria</w:t>
        </w:r>
      </w:hyperlink>
      <w:r w:rsidRPr="00E56833">
        <w:rPr>
          <w:rFonts w:eastAsia="Arial"/>
          <w:color w:val="000000" w:themeColor="text1"/>
          <w:szCs w:val="22"/>
        </w:rPr>
        <w:t>.</w:t>
      </w:r>
    </w:p>
    <w:p w14:paraId="4084A19F" w14:textId="587CB594" w:rsidR="00864661" w:rsidRPr="00E56833" w:rsidRDefault="00864661" w:rsidP="00F862C4">
      <w:pPr>
        <w:pStyle w:val="Heading3"/>
      </w:pPr>
      <w:bookmarkStart w:id="13" w:name="_Toc197941732"/>
      <w:r w:rsidRPr="00E56833">
        <w:t>Learning intention</w:t>
      </w:r>
      <w:r w:rsidR="00545086">
        <w:t>s</w:t>
      </w:r>
      <w:bookmarkEnd w:id="13"/>
    </w:p>
    <w:p w14:paraId="3B3925A8" w14:textId="6DBA7260" w:rsidR="00864661" w:rsidRPr="00E56833" w:rsidRDefault="00AC510E" w:rsidP="00864661">
      <w:pPr>
        <w:rPr>
          <w:rFonts w:eastAsia="Arial"/>
          <w:color w:val="000000" w:themeColor="text1"/>
          <w:szCs w:val="22"/>
        </w:rPr>
      </w:pPr>
      <w:r>
        <w:rPr>
          <w:rFonts w:eastAsia="Arial"/>
          <w:color w:val="000000" w:themeColor="text1"/>
          <w:szCs w:val="22"/>
        </w:rPr>
        <w:t>We are learning</w:t>
      </w:r>
      <w:r w:rsidR="00864661" w:rsidRPr="00E56833">
        <w:rPr>
          <w:rFonts w:eastAsia="Arial"/>
          <w:color w:val="000000" w:themeColor="text1"/>
          <w:szCs w:val="22"/>
        </w:rPr>
        <w:t>:</w:t>
      </w:r>
    </w:p>
    <w:p w14:paraId="1A667028" w14:textId="459B2505" w:rsidR="00864661" w:rsidRDefault="00594463" w:rsidP="00864661">
      <w:pPr>
        <w:pStyle w:val="ListBullet"/>
        <w:rPr>
          <w:szCs w:val="22"/>
        </w:rPr>
      </w:pPr>
      <w:r>
        <w:rPr>
          <w:szCs w:val="22"/>
        </w:rPr>
        <w:t xml:space="preserve">to </w:t>
      </w:r>
      <w:r w:rsidR="00C378CC">
        <w:rPr>
          <w:szCs w:val="22"/>
        </w:rPr>
        <w:t>understand</w:t>
      </w:r>
      <w:r w:rsidR="00864661">
        <w:rPr>
          <w:szCs w:val="22"/>
        </w:rPr>
        <w:t xml:space="preserve"> legal </w:t>
      </w:r>
      <w:r w:rsidR="00C378CC">
        <w:rPr>
          <w:szCs w:val="22"/>
        </w:rPr>
        <w:t>responses</w:t>
      </w:r>
      <w:r w:rsidR="00864661">
        <w:rPr>
          <w:szCs w:val="22"/>
        </w:rPr>
        <w:t xml:space="preserve"> </w:t>
      </w:r>
      <w:r w:rsidR="00C378CC">
        <w:rPr>
          <w:szCs w:val="22"/>
        </w:rPr>
        <w:t xml:space="preserve">to </w:t>
      </w:r>
      <w:r w:rsidR="00864661">
        <w:rPr>
          <w:szCs w:val="22"/>
        </w:rPr>
        <w:t xml:space="preserve">disadvantage experienced by Aboriginal and Torres Strait Islander </w:t>
      </w:r>
      <w:r w:rsidR="008843C7">
        <w:rPr>
          <w:szCs w:val="22"/>
        </w:rPr>
        <w:t>p</w:t>
      </w:r>
      <w:r w:rsidR="00864661">
        <w:rPr>
          <w:szCs w:val="22"/>
        </w:rPr>
        <w:t>eoples</w:t>
      </w:r>
    </w:p>
    <w:p w14:paraId="66E96501" w14:textId="5262274E" w:rsidR="00864661" w:rsidRPr="008011A6" w:rsidRDefault="00594463" w:rsidP="00864661">
      <w:pPr>
        <w:pStyle w:val="ListBullet"/>
        <w:rPr>
          <w:szCs w:val="22"/>
        </w:rPr>
      </w:pPr>
      <w:r>
        <w:rPr>
          <w:szCs w:val="22"/>
        </w:rPr>
        <w:t xml:space="preserve">to </w:t>
      </w:r>
      <w:r w:rsidR="00864661">
        <w:rPr>
          <w:szCs w:val="22"/>
        </w:rPr>
        <w:t xml:space="preserve">understand non-legal </w:t>
      </w:r>
      <w:r w:rsidR="00C378CC">
        <w:rPr>
          <w:szCs w:val="22"/>
        </w:rPr>
        <w:t>responses</w:t>
      </w:r>
      <w:r w:rsidR="00864661">
        <w:rPr>
          <w:szCs w:val="22"/>
        </w:rPr>
        <w:t xml:space="preserve"> </w:t>
      </w:r>
      <w:r w:rsidR="00C378CC">
        <w:rPr>
          <w:szCs w:val="22"/>
        </w:rPr>
        <w:t xml:space="preserve">to </w:t>
      </w:r>
      <w:r w:rsidR="00864661">
        <w:rPr>
          <w:szCs w:val="22"/>
        </w:rPr>
        <w:t xml:space="preserve">disadvantage experienced by Aboriginal and Torres Strait Islander </w:t>
      </w:r>
      <w:r w:rsidR="008843C7">
        <w:rPr>
          <w:szCs w:val="22"/>
        </w:rPr>
        <w:t>p</w:t>
      </w:r>
      <w:r w:rsidR="00864661">
        <w:rPr>
          <w:szCs w:val="22"/>
        </w:rPr>
        <w:t>eoples</w:t>
      </w:r>
      <w:r w:rsidR="00E32DA1">
        <w:rPr>
          <w:szCs w:val="22"/>
        </w:rPr>
        <w:t>.</w:t>
      </w:r>
    </w:p>
    <w:p w14:paraId="22D4B33A" w14:textId="77777777" w:rsidR="00864661" w:rsidRPr="00E56833" w:rsidRDefault="00864661" w:rsidP="00F862C4">
      <w:pPr>
        <w:pStyle w:val="Heading3"/>
      </w:pPr>
      <w:bookmarkStart w:id="14" w:name="_Toc197941733"/>
      <w:r w:rsidRPr="00E56833">
        <w:t>Success criteria</w:t>
      </w:r>
      <w:bookmarkEnd w:id="14"/>
    </w:p>
    <w:p w14:paraId="54EC8612" w14:textId="15724AFB" w:rsidR="00864661" w:rsidRPr="00E56833" w:rsidRDefault="00AC510E" w:rsidP="00864661">
      <w:pPr>
        <w:rPr>
          <w:rFonts w:eastAsia="Arial"/>
          <w:color w:val="000000" w:themeColor="text1"/>
          <w:szCs w:val="22"/>
        </w:rPr>
      </w:pPr>
      <w:r>
        <w:rPr>
          <w:rFonts w:eastAsia="Arial"/>
          <w:color w:val="000000" w:themeColor="text1"/>
          <w:szCs w:val="22"/>
        </w:rPr>
        <w:t>I can</w:t>
      </w:r>
      <w:r w:rsidR="00864661" w:rsidRPr="00E56833">
        <w:rPr>
          <w:rFonts w:eastAsia="Arial"/>
          <w:color w:val="000000" w:themeColor="text1"/>
          <w:szCs w:val="22"/>
        </w:rPr>
        <w:t>:</w:t>
      </w:r>
    </w:p>
    <w:p w14:paraId="10E03DC1" w14:textId="5400FC93" w:rsidR="00864661" w:rsidRPr="00E56833" w:rsidRDefault="00C378CC" w:rsidP="00864661">
      <w:pPr>
        <w:pStyle w:val="ListBullet"/>
        <w:rPr>
          <w:rFonts w:eastAsia="Arial"/>
          <w:color w:val="000000" w:themeColor="text1"/>
          <w:szCs w:val="22"/>
        </w:rPr>
      </w:pPr>
      <w:r>
        <w:rPr>
          <w:rFonts w:eastAsia="Arial"/>
          <w:color w:val="000000" w:themeColor="text1"/>
          <w:szCs w:val="22"/>
        </w:rPr>
        <w:t xml:space="preserve">write a </w:t>
      </w:r>
      <w:r w:rsidR="008843C7">
        <w:rPr>
          <w:rFonts w:eastAsia="Arial"/>
          <w:color w:val="000000" w:themeColor="text1"/>
          <w:szCs w:val="22"/>
        </w:rPr>
        <w:t>one</w:t>
      </w:r>
      <w:r>
        <w:rPr>
          <w:rFonts w:eastAsia="Arial"/>
          <w:color w:val="000000" w:themeColor="text1"/>
          <w:szCs w:val="22"/>
        </w:rPr>
        <w:t xml:space="preserve">-paragraph </w:t>
      </w:r>
      <w:r w:rsidR="00986EB4">
        <w:rPr>
          <w:rFonts w:eastAsia="Arial"/>
          <w:color w:val="000000" w:themeColor="text1"/>
          <w:szCs w:val="22"/>
        </w:rPr>
        <w:t>evaluation</w:t>
      </w:r>
      <w:r>
        <w:rPr>
          <w:rFonts w:eastAsia="Arial"/>
          <w:color w:val="000000" w:themeColor="text1"/>
          <w:szCs w:val="22"/>
        </w:rPr>
        <w:t xml:space="preserve"> of </w:t>
      </w:r>
      <w:r>
        <w:rPr>
          <w:szCs w:val="22"/>
        </w:rPr>
        <w:t xml:space="preserve">legal responses to disadvantage experienced by Aboriginal and Torres Strait Islander </w:t>
      </w:r>
      <w:r w:rsidR="008843C7">
        <w:rPr>
          <w:szCs w:val="22"/>
        </w:rPr>
        <w:t>p</w:t>
      </w:r>
      <w:r>
        <w:rPr>
          <w:szCs w:val="22"/>
        </w:rPr>
        <w:t>eoples</w:t>
      </w:r>
    </w:p>
    <w:p w14:paraId="05ADC718" w14:textId="54D744AA" w:rsidR="00864661" w:rsidRPr="00C378CC" w:rsidRDefault="00C378CC" w:rsidP="00C378CC">
      <w:pPr>
        <w:pStyle w:val="ListBullet"/>
        <w:rPr>
          <w:rFonts w:eastAsia="Arial"/>
          <w:color w:val="000000" w:themeColor="text1"/>
          <w:szCs w:val="22"/>
        </w:rPr>
      </w:pPr>
      <w:r>
        <w:rPr>
          <w:rFonts w:eastAsia="Arial"/>
          <w:color w:val="000000" w:themeColor="text1"/>
          <w:szCs w:val="22"/>
        </w:rPr>
        <w:t xml:space="preserve">write a </w:t>
      </w:r>
      <w:r w:rsidR="008843C7">
        <w:rPr>
          <w:rFonts w:eastAsia="Arial"/>
          <w:color w:val="000000" w:themeColor="text1"/>
          <w:szCs w:val="22"/>
        </w:rPr>
        <w:t>one</w:t>
      </w:r>
      <w:r>
        <w:rPr>
          <w:rFonts w:eastAsia="Arial"/>
          <w:color w:val="000000" w:themeColor="text1"/>
          <w:szCs w:val="22"/>
        </w:rPr>
        <w:t xml:space="preserve">-paragraph </w:t>
      </w:r>
      <w:r w:rsidR="00986EB4">
        <w:rPr>
          <w:rFonts w:eastAsia="Arial"/>
          <w:color w:val="000000" w:themeColor="text1"/>
          <w:szCs w:val="22"/>
        </w:rPr>
        <w:t>evaluation</w:t>
      </w:r>
      <w:r>
        <w:rPr>
          <w:rFonts w:eastAsia="Arial"/>
          <w:color w:val="000000" w:themeColor="text1"/>
          <w:szCs w:val="22"/>
        </w:rPr>
        <w:t xml:space="preserve"> of non-</w:t>
      </w:r>
      <w:r>
        <w:rPr>
          <w:szCs w:val="22"/>
        </w:rPr>
        <w:t xml:space="preserve">legal responses to disadvantage experienced by Aboriginal and Torres Strait Islander </w:t>
      </w:r>
      <w:r w:rsidR="008843C7">
        <w:rPr>
          <w:szCs w:val="22"/>
        </w:rPr>
        <w:t>p</w:t>
      </w:r>
      <w:r>
        <w:rPr>
          <w:szCs w:val="22"/>
        </w:rPr>
        <w:t>eoples</w:t>
      </w:r>
      <w:r w:rsidR="00E32DA1">
        <w:rPr>
          <w:szCs w:val="22"/>
        </w:rPr>
        <w:t>.</w:t>
      </w:r>
    </w:p>
    <w:p w14:paraId="320F3CA3" w14:textId="27FA34B4" w:rsidR="00C378CC" w:rsidRPr="007B42D5" w:rsidRDefault="00864661" w:rsidP="007B42D5">
      <w:pPr>
        <w:pStyle w:val="FeatureBox2"/>
        <w:rPr>
          <w:rFonts w:eastAsia="Calibri"/>
          <w:szCs w:val="22"/>
        </w:rPr>
      </w:pPr>
      <w:r w:rsidRPr="00E56833">
        <w:rPr>
          <w:rFonts w:eastAsia="Calibri"/>
          <w:b/>
          <w:bCs/>
          <w:szCs w:val="22"/>
        </w:rPr>
        <w:t>Note</w:t>
      </w:r>
      <w:r w:rsidRPr="00E32DA1">
        <w:rPr>
          <w:rFonts w:eastAsia="Calibri"/>
          <w:szCs w:val="22"/>
        </w:rPr>
        <w:t>:</w:t>
      </w:r>
      <w:r w:rsidRPr="00E56833">
        <w:rPr>
          <w:rFonts w:eastAsia="Calibri"/>
          <w:szCs w:val="22"/>
        </w:rPr>
        <w:t xml:space="preserve"> </w:t>
      </w:r>
      <w:r>
        <w:rPr>
          <w:color w:val="000000" w:themeColor="text1"/>
          <w:szCs w:val="22"/>
          <w:lang w:val="en-US"/>
        </w:rPr>
        <w:t>t</w:t>
      </w:r>
      <w:r w:rsidRPr="00E56833">
        <w:rPr>
          <w:color w:val="000000" w:themeColor="text1"/>
          <w:szCs w:val="22"/>
          <w:lang w:val="en-US"/>
        </w:rPr>
        <w:t>eachers should consider the</w:t>
      </w:r>
      <w:r w:rsidRPr="00E56833">
        <w:rPr>
          <w:rFonts w:eastAsia="Arial"/>
          <w:noProof/>
          <w:szCs w:val="22"/>
        </w:rPr>
        <w:t xml:space="preserve"> </w:t>
      </w:r>
      <w:hyperlink r:id="rId48">
        <w:r w:rsidRPr="00E56833">
          <w:rPr>
            <w:rStyle w:val="Hyperlink"/>
            <w:rFonts w:eastAsia="Arial"/>
            <w:noProof/>
            <w:szCs w:val="22"/>
          </w:rPr>
          <w:t xml:space="preserve">Controversial </w:t>
        </w:r>
        <w:r w:rsidR="008843C7">
          <w:rPr>
            <w:rStyle w:val="Hyperlink"/>
            <w:rFonts w:eastAsia="Arial"/>
            <w:noProof/>
            <w:szCs w:val="22"/>
          </w:rPr>
          <w:t>i</w:t>
        </w:r>
        <w:r w:rsidRPr="00E56833">
          <w:rPr>
            <w:rStyle w:val="Hyperlink"/>
            <w:rFonts w:eastAsia="Arial"/>
            <w:noProof/>
            <w:szCs w:val="22"/>
          </w:rPr>
          <w:t xml:space="preserve">ssues in </w:t>
        </w:r>
        <w:r w:rsidR="008843C7">
          <w:rPr>
            <w:rStyle w:val="Hyperlink"/>
            <w:rFonts w:eastAsia="Arial"/>
            <w:noProof/>
            <w:szCs w:val="22"/>
          </w:rPr>
          <w:t>s</w:t>
        </w:r>
        <w:r w:rsidRPr="00E56833">
          <w:rPr>
            <w:rStyle w:val="Hyperlink"/>
            <w:rFonts w:eastAsia="Arial"/>
            <w:noProof/>
            <w:szCs w:val="22"/>
          </w:rPr>
          <w:t>chools</w:t>
        </w:r>
        <w:r w:rsidRPr="0085045D">
          <w:t xml:space="preserve"> policy</w:t>
        </w:r>
      </w:hyperlink>
      <w:r w:rsidRPr="00E56833">
        <w:rPr>
          <w:rFonts w:eastAsia="Arial"/>
          <w:noProof/>
          <w:szCs w:val="22"/>
        </w:rPr>
        <w:t xml:space="preserve"> </w:t>
      </w:r>
      <w:r w:rsidRPr="00E56833">
        <w:rPr>
          <w:color w:val="000000" w:themeColor="text1"/>
          <w:szCs w:val="22"/>
          <w:lang w:val="en-US"/>
        </w:rPr>
        <w:t>and ensure all material used is appropriate for individual classroom and school context</w:t>
      </w:r>
      <w:r w:rsidR="001C6EDD">
        <w:rPr>
          <w:rFonts w:eastAsia="Calibri"/>
          <w:szCs w:val="22"/>
        </w:rPr>
        <w:t>.</w:t>
      </w:r>
    </w:p>
    <w:p w14:paraId="4995CD93" w14:textId="67DE45C4" w:rsidR="007B42D5" w:rsidRPr="007C15AB" w:rsidRDefault="007B42D5" w:rsidP="007B42D5">
      <w:pPr>
        <w:pStyle w:val="FeatureBox"/>
      </w:pPr>
      <w:r>
        <w:t xml:space="preserve">It is important for students to have a clear understanding of the differences between legal and non-legal responses prior to beginning this learning sequence. Teachers may wish to refer students back to learning completed as a part of Core Part 1: The </w:t>
      </w:r>
      <w:r w:rsidR="004E7A26">
        <w:t>l</w:t>
      </w:r>
      <w:r>
        <w:t xml:space="preserve">egal </w:t>
      </w:r>
      <w:r w:rsidR="004E7A26">
        <w:t>s</w:t>
      </w:r>
      <w:r>
        <w:t>ystem to support understanding.</w:t>
      </w:r>
    </w:p>
    <w:p w14:paraId="12FC52FA" w14:textId="07DE180C" w:rsidR="007B42D5" w:rsidRDefault="007B42D5" w:rsidP="007B42D5">
      <w:r>
        <w:lastRenderedPageBreak/>
        <w:t xml:space="preserve">Complete a </w:t>
      </w:r>
      <w:hyperlink r:id="rId49" w:history="1">
        <w:r>
          <w:rPr>
            <w:rStyle w:val="Hyperlink"/>
          </w:rPr>
          <w:t>Frayer</w:t>
        </w:r>
        <w:r w:rsidRPr="008B7F02">
          <w:rPr>
            <w:rStyle w:val="Hyperlink"/>
          </w:rPr>
          <w:t xml:space="preserve"> diagram</w:t>
        </w:r>
      </w:hyperlink>
      <w:r>
        <w:t xml:space="preserve"> (below) for each</w:t>
      </w:r>
      <w:r w:rsidR="00F84B0C">
        <w:t xml:space="preserve"> legal and</w:t>
      </w:r>
      <w:r>
        <w:t xml:space="preserve"> non-legal </w:t>
      </w:r>
      <w:r w:rsidR="001767D5">
        <w:t>response</w:t>
      </w:r>
      <w:r>
        <w:t xml:space="preserve"> that you think individual</w:t>
      </w:r>
      <w:r w:rsidR="00F0464B">
        <w:t>s or groups</w:t>
      </w:r>
      <w:r>
        <w:t xml:space="preserve"> may use when looking to </w:t>
      </w:r>
      <w:r w:rsidR="00F0464B">
        <w:t xml:space="preserve">address disadvantage before the law </w:t>
      </w:r>
      <w:r>
        <w:t>to identify your prior knowledge of</w:t>
      </w:r>
      <w:r w:rsidR="001767D5">
        <w:t xml:space="preserve"> legal and</w:t>
      </w:r>
      <w:r>
        <w:t xml:space="preserve"> non-legal </w:t>
      </w:r>
      <w:r w:rsidR="001767D5">
        <w:t>responses to disadvantage</w:t>
      </w:r>
      <w:r>
        <w:t>.</w:t>
      </w:r>
    </w:p>
    <w:p w14:paraId="0E4CB510" w14:textId="5D6FB04A" w:rsidR="00E32DA1" w:rsidRDefault="00E32DA1" w:rsidP="00E32DA1">
      <w:pPr>
        <w:pStyle w:val="Caption"/>
      </w:pPr>
      <w:r>
        <w:t xml:space="preserve">Figure </w:t>
      </w:r>
      <w:r>
        <w:fldChar w:fldCharType="begin"/>
      </w:r>
      <w:r>
        <w:instrText xml:space="preserve"> SEQ Figure \* ARABIC </w:instrText>
      </w:r>
      <w:r>
        <w:fldChar w:fldCharType="separate"/>
      </w:r>
      <w:r w:rsidR="009C4761">
        <w:rPr>
          <w:noProof/>
        </w:rPr>
        <w:t>1</w:t>
      </w:r>
      <w:r>
        <w:fldChar w:fldCharType="end"/>
      </w:r>
      <w:r>
        <w:t xml:space="preserve"> – Frayer diagram</w:t>
      </w:r>
    </w:p>
    <w:p w14:paraId="7507FABD" w14:textId="77777777" w:rsidR="007B42D5" w:rsidRDefault="007B42D5" w:rsidP="007B42D5">
      <w:r w:rsidRPr="004F717B">
        <w:rPr>
          <w:noProof/>
        </w:rPr>
        <w:drawing>
          <wp:inline distT="0" distB="0" distL="0" distR="0" wp14:anchorId="5C775285" wp14:editId="5FBA45E7">
            <wp:extent cx="6115050" cy="3438525"/>
            <wp:effectExtent l="0" t="0" r="0" b="9525"/>
            <wp:docPr id="1428977919" name="Picture 2" descr="A Frayer diagram with 4 boxes that include the following headings: definition, facts and characteristics, examples, non-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77919" name="Picture 2" descr="A Frayer diagram with 4 boxes that include the following headings: definition, facts and characteristics, examples, non-example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p>
    <w:p w14:paraId="4E2B0E29" w14:textId="0CED8E00" w:rsidR="007B42D5" w:rsidRDefault="007B42D5" w:rsidP="007B42D5">
      <w:pPr>
        <w:pStyle w:val="FeatureBox2"/>
      </w:pPr>
      <w:r w:rsidRPr="006D567B">
        <w:rPr>
          <w:b/>
          <w:bCs/>
        </w:rPr>
        <w:t>Note</w:t>
      </w:r>
      <w:r w:rsidRPr="00073BCC">
        <w:t>:</w:t>
      </w:r>
      <w:r>
        <w:t xml:space="preserve"> teachers may prefer to use an alternative form of </w:t>
      </w:r>
      <w:hyperlink r:id="rId51" w:history="1">
        <w:r w:rsidRPr="00D834D2">
          <w:rPr>
            <w:rStyle w:val="Hyperlink"/>
          </w:rPr>
          <w:t>graphic organiser</w:t>
        </w:r>
      </w:hyperlink>
      <w:r>
        <w:t xml:space="preserve"> to complete the task. Teachers should assist students to complete the graphic organise</w:t>
      </w:r>
      <w:r w:rsidR="00E117EF">
        <w:t>r</w:t>
      </w:r>
      <w:r>
        <w:t xml:space="preserve"> as needed and ensure that the following</w:t>
      </w:r>
      <w:r w:rsidR="00F84B0C">
        <w:t xml:space="preserve"> legal and</w:t>
      </w:r>
      <w:r>
        <w:t xml:space="preserve"> non-legal methods are included:</w:t>
      </w:r>
      <w:r w:rsidR="00F84B0C">
        <w:t xml:space="preserve"> legislation, case law, legal institutions,</w:t>
      </w:r>
      <w:r>
        <w:t xml:space="preserve"> media, members of parliament, trade unions</w:t>
      </w:r>
      <w:r w:rsidR="004E7A26">
        <w:t xml:space="preserve"> and</w:t>
      </w:r>
      <w:r>
        <w:t xml:space="preserve"> interest group</w:t>
      </w:r>
      <w:r w:rsidR="00E117EF">
        <w:t>s</w:t>
      </w:r>
      <w:r>
        <w:t xml:space="preserve"> such as non-government organisations (NGOs). Teachers should also use the activity as an opportunity to assess prior knowledge, which may lead to reteaching of an outline of non-legal methods of engaging with the law if needed.</w:t>
      </w:r>
    </w:p>
    <w:p w14:paraId="3603AB4C" w14:textId="79DA5515" w:rsidR="00757C9A" w:rsidRPr="00AD63B4" w:rsidRDefault="006B3D2E" w:rsidP="00757C9A">
      <w:pPr>
        <w:pStyle w:val="FeatureBox2"/>
      </w:pPr>
      <w:r>
        <w:t>T</w:t>
      </w:r>
      <w:r w:rsidR="00757C9A">
        <w:t>he activity below requires students to examine ways</w:t>
      </w:r>
      <w:r w:rsidR="001767D5">
        <w:t xml:space="preserve"> that legal and non-legal responses to disadvantage can be used to </w:t>
      </w:r>
      <w:r w:rsidR="00757C9A">
        <w:t>support</w:t>
      </w:r>
      <w:r w:rsidR="001767D5">
        <w:t xml:space="preserve"> Aboriginal and Torres Strait Islander </w:t>
      </w:r>
      <w:r w:rsidR="00A577D4">
        <w:t>p</w:t>
      </w:r>
      <w:r w:rsidR="001767D5">
        <w:t>eoples when experiencing disadvantage before the law</w:t>
      </w:r>
      <w:r w:rsidR="00757C9A">
        <w:t>. Students should be made aware of the potentially political nature of the resources that they are viewing prior to the lesson.</w:t>
      </w:r>
    </w:p>
    <w:p w14:paraId="45CF40CD" w14:textId="10249F81" w:rsidR="00757C9A" w:rsidRDefault="00757C9A" w:rsidP="00757C9A">
      <w:pPr>
        <w:rPr>
          <w:szCs w:val="22"/>
        </w:rPr>
      </w:pPr>
      <w:r w:rsidRPr="00E56833">
        <w:rPr>
          <w:szCs w:val="22"/>
        </w:rPr>
        <w:t xml:space="preserve">Break into groups of </w:t>
      </w:r>
      <w:r>
        <w:rPr>
          <w:szCs w:val="22"/>
        </w:rPr>
        <w:t>2</w:t>
      </w:r>
      <w:r w:rsidRPr="00E56833">
        <w:rPr>
          <w:szCs w:val="22"/>
        </w:rPr>
        <w:t xml:space="preserve"> to </w:t>
      </w:r>
      <w:r>
        <w:rPr>
          <w:szCs w:val="22"/>
        </w:rPr>
        <w:t>3</w:t>
      </w:r>
      <w:r w:rsidRPr="00E56833">
        <w:rPr>
          <w:szCs w:val="22"/>
        </w:rPr>
        <w:t xml:space="preserve"> students</w:t>
      </w:r>
      <w:r>
        <w:rPr>
          <w:szCs w:val="22"/>
        </w:rPr>
        <w:t xml:space="preserve"> and select one of the </w:t>
      </w:r>
      <w:r w:rsidR="001767D5">
        <w:rPr>
          <w:szCs w:val="22"/>
        </w:rPr>
        <w:t xml:space="preserve">legal and one of the non-legal responses </w:t>
      </w:r>
      <w:r w:rsidR="001767D5">
        <w:t xml:space="preserve">used to support Aboriginal and Torres Strait Islander </w:t>
      </w:r>
      <w:r w:rsidR="00A577D4">
        <w:t>p</w:t>
      </w:r>
      <w:r w:rsidR="001767D5">
        <w:t>eoples when experiencing disadvantage before the law</w:t>
      </w:r>
      <w:r w:rsidR="001767D5">
        <w:rPr>
          <w:szCs w:val="22"/>
        </w:rPr>
        <w:t xml:space="preserve"> that </w:t>
      </w:r>
      <w:r w:rsidR="00796111">
        <w:rPr>
          <w:szCs w:val="22"/>
        </w:rPr>
        <w:t>are</w:t>
      </w:r>
      <w:r w:rsidR="001767D5">
        <w:rPr>
          <w:szCs w:val="22"/>
        </w:rPr>
        <w:t xml:space="preserve"> </w:t>
      </w:r>
      <w:r>
        <w:rPr>
          <w:szCs w:val="22"/>
        </w:rPr>
        <w:t xml:space="preserve">listed below. </w:t>
      </w:r>
      <w:r w:rsidR="00796111">
        <w:rPr>
          <w:szCs w:val="22"/>
        </w:rPr>
        <w:t>Where possible, e</w:t>
      </w:r>
      <w:r>
        <w:rPr>
          <w:szCs w:val="22"/>
        </w:rPr>
        <w:t xml:space="preserve">ach group should address different </w:t>
      </w:r>
      <w:r w:rsidR="00796111">
        <w:rPr>
          <w:szCs w:val="22"/>
        </w:rPr>
        <w:t>legal and non-legal responses.</w:t>
      </w:r>
    </w:p>
    <w:p w14:paraId="304962CE" w14:textId="2CB3F981" w:rsidR="001D21CC" w:rsidRDefault="00757C9A" w:rsidP="00757C9A">
      <w:pPr>
        <w:rPr>
          <w:szCs w:val="22"/>
        </w:rPr>
      </w:pPr>
      <w:r>
        <w:rPr>
          <w:szCs w:val="22"/>
        </w:rPr>
        <w:lastRenderedPageBreak/>
        <w:t>Access the website</w:t>
      </w:r>
      <w:r w:rsidR="00F815D7">
        <w:rPr>
          <w:szCs w:val="22"/>
        </w:rPr>
        <w:t xml:space="preserve"> associated with your chosen legal and non-legal responses</w:t>
      </w:r>
      <w:r>
        <w:rPr>
          <w:szCs w:val="22"/>
        </w:rPr>
        <w:t>. Navigate to the ‘about us’ section of the website (or equivalent) and read the information that is provided there.</w:t>
      </w:r>
    </w:p>
    <w:p w14:paraId="3AF5C92C" w14:textId="6B99BBB9" w:rsidR="00757C9A" w:rsidRDefault="00757C9A" w:rsidP="00757C9A">
      <w:pPr>
        <w:rPr>
          <w:szCs w:val="22"/>
        </w:rPr>
      </w:pPr>
      <w:r>
        <w:rPr>
          <w:szCs w:val="22"/>
        </w:rPr>
        <w:t>Explore the remainder of the website to develop your understandin</w:t>
      </w:r>
      <w:r w:rsidR="001D21CC">
        <w:rPr>
          <w:szCs w:val="22"/>
        </w:rPr>
        <w:t xml:space="preserve">g of the role of one of the legal and one of the non-legal responses </w:t>
      </w:r>
      <w:r w:rsidR="001D21CC">
        <w:t xml:space="preserve">used to support Aboriginal and Torres Strait Islander </w:t>
      </w:r>
      <w:r w:rsidR="00A577D4">
        <w:t>p</w:t>
      </w:r>
      <w:r w:rsidR="001D21CC">
        <w:t>eoples when experiencing disadvantage.</w:t>
      </w:r>
    </w:p>
    <w:p w14:paraId="1FE7D5A8" w14:textId="44194CF3" w:rsidR="005073D9" w:rsidRDefault="005073D9" w:rsidP="00757C9A">
      <w:pPr>
        <w:rPr>
          <w:b/>
          <w:bCs/>
          <w:szCs w:val="22"/>
        </w:rPr>
      </w:pPr>
      <w:r>
        <w:rPr>
          <w:b/>
          <w:bCs/>
          <w:szCs w:val="22"/>
        </w:rPr>
        <w:t>Legal responses</w:t>
      </w:r>
    </w:p>
    <w:p w14:paraId="57668EE2" w14:textId="5254CF09" w:rsidR="000E51E5" w:rsidRDefault="000E51E5" w:rsidP="005073D9">
      <w:pPr>
        <w:pStyle w:val="ListBullet"/>
      </w:pPr>
      <w:hyperlink r:id="rId52" w:history="1">
        <w:r w:rsidRPr="000E51E5">
          <w:rPr>
            <w:rStyle w:val="Hyperlink"/>
          </w:rPr>
          <w:t>The 1967 Referendum</w:t>
        </w:r>
      </w:hyperlink>
    </w:p>
    <w:p w14:paraId="7B122709" w14:textId="3C877F6B" w:rsidR="00F00E97" w:rsidRDefault="00D53889" w:rsidP="005073D9">
      <w:pPr>
        <w:pStyle w:val="ListBullet"/>
      </w:pPr>
      <w:hyperlink r:id="rId53" w:history="1">
        <w:r w:rsidRPr="00205A58">
          <w:rPr>
            <w:rStyle w:val="Hyperlink"/>
          </w:rPr>
          <w:t xml:space="preserve">Australian Law Reform Commission </w:t>
        </w:r>
        <w:r w:rsidR="00A577D4">
          <w:rPr>
            <w:rStyle w:val="Hyperlink"/>
          </w:rPr>
          <w:t>‘</w:t>
        </w:r>
        <w:r w:rsidRPr="00205A58">
          <w:rPr>
            <w:rStyle w:val="Hyperlink"/>
          </w:rPr>
          <w:t>Recognition of Aboriginal Customary Laws</w:t>
        </w:r>
        <w:r w:rsidR="00A577D4">
          <w:rPr>
            <w:rStyle w:val="Hyperlink"/>
          </w:rPr>
          <w:t>’</w:t>
        </w:r>
        <w:r w:rsidRPr="00205A58">
          <w:rPr>
            <w:rStyle w:val="Hyperlink"/>
          </w:rPr>
          <w:t xml:space="preserve"> (Report 31)</w:t>
        </w:r>
      </w:hyperlink>
    </w:p>
    <w:p w14:paraId="178CDF2A" w14:textId="766D3A68" w:rsidR="005073D9" w:rsidRDefault="005073D9" w:rsidP="005073D9">
      <w:pPr>
        <w:pStyle w:val="ListBullet"/>
      </w:pPr>
      <w:hyperlink r:id="rId54" w:history="1">
        <w:r w:rsidRPr="002D2DE9">
          <w:rPr>
            <w:rStyle w:val="Hyperlink"/>
          </w:rPr>
          <w:t>Mabo v Queensland (No 1) [1988] HCA 69</w:t>
        </w:r>
      </w:hyperlink>
    </w:p>
    <w:p w14:paraId="7CD0B26E" w14:textId="77777777" w:rsidR="005073D9" w:rsidRPr="009839C3" w:rsidRDefault="005073D9" w:rsidP="005073D9">
      <w:pPr>
        <w:pStyle w:val="ListBullet"/>
        <w:rPr>
          <w:rStyle w:val="Hyperlink"/>
          <w:color w:val="auto"/>
          <w:u w:val="none"/>
        </w:rPr>
      </w:pPr>
      <w:hyperlink r:id="rId55" w:history="1">
        <w:r w:rsidRPr="00211B1D">
          <w:rPr>
            <w:rStyle w:val="Hyperlink"/>
          </w:rPr>
          <w:t>Mabo v Queensland (No 2) [1992] HCA 23</w:t>
        </w:r>
      </w:hyperlink>
    </w:p>
    <w:p w14:paraId="02EED438" w14:textId="3F12BC23" w:rsidR="009839C3" w:rsidRDefault="009839C3" w:rsidP="005073D9">
      <w:pPr>
        <w:pStyle w:val="ListBullet"/>
      </w:pPr>
      <w:hyperlink r:id="rId56" w:history="1">
        <w:r w:rsidRPr="00B06C49">
          <w:rPr>
            <w:rStyle w:val="Hyperlink"/>
          </w:rPr>
          <w:t>The Native Title Act 1993 (</w:t>
        </w:r>
        <w:proofErr w:type="spellStart"/>
        <w:r w:rsidRPr="00B06C49">
          <w:rPr>
            <w:rStyle w:val="Hyperlink"/>
          </w:rPr>
          <w:t>Cth</w:t>
        </w:r>
        <w:proofErr w:type="spellEnd"/>
        <w:r w:rsidRPr="00B06C49">
          <w:rPr>
            <w:rStyle w:val="Hyperlink"/>
          </w:rPr>
          <w:t>)</w:t>
        </w:r>
      </w:hyperlink>
    </w:p>
    <w:p w14:paraId="256BCAEC" w14:textId="381F7CA7" w:rsidR="005073D9" w:rsidRPr="003F76E1" w:rsidRDefault="005073D9" w:rsidP="005073D9">
      <w:pPr>
        <w:pStyle w:val="ListBullet"/>
        <w:rPr>
          <w:rStyle w:val="Hyperlink"/>
          <w:b/>
          <w:bCs/>
          <w:color w:val="auto"/>
          <w:szCs w:val="22"/>
          <w:u w:val="none"/>
        </w:rPr>
      </w:pPr>
      <w:hyperlink r:id="rId57" w:history="1">
        <w:r w:rsidRPr="009839C3">
          <w:rPr>
            <w:rStyle w:val="Hyperlink"/>
          </w:rPr>
          <w:t>The</w:t>
        </w:r>
        <w:r w:rsidRPr="009839C3">
          <w:rPr>
            <w:rStyle w:val="Hyperlink"/>
            <w:bCs/>
          </w:rPr>
          <w:t xml:space="preserve"> Wik Peoples v The State of Queensland &amp; Ors; The </w:t>
        </w:r>
        <w:proofErr w:type="spellStart"/>
        <w:r w:rsidRPr="009839C3">
          <w:rPr>
            <w:rStyle w:val="Hyperlink"/>
            <w:bCs/>
          </w:rPr>
          <w:t>Thayorre</w:t>
        </w:r>
        <w:proofErr w:type="spellEnd"/>
        <w:r w:rsidRPr="009839C3">
          <w:rPr>
            <w:rStyle w:val="Hyperlink"/>
            <w:bCs/>
          </w:rPr>
          <w:t xml:space="preserve"> People v </w:t>
        </w:r>
        <w:proofErr w:type="gramStart"/>
        <w:r w:rsidRPr="009839C3">
          <w:rPr>
            <w:rStyle w:val="Hyperlink"/>
            <w:bCs/>
          </w:rPr>
          <w:t>The</w:t>
        </w:r>
        <w:proofErr w:type="gramEnd"/>
        <w:r w:rsidRPr="009839C3">
          <w:rPr>
            <w:rStyle w:val="Hyperlink"/>
            <w:bCs/>
          </w:rPr>
          <w:t xml:space="preserve"> State of Queensland &amp; Ors [1996] HCA 40</w:t>
        </w:r>
      </w:hyperlink>
    </w:p>
    <w:p w14:paraId="790E6A34" w14:textId="6820ECFC" w:rsidR="005073D9" w:rsidRPr="005073D9" w:rsidRDefault="005073D9" w:rsidP="00757C9A">
      <w:pPr>
        <w:rPr>
          <w:b/>
          <w:bCs/>
          <w:szCs w:val="22"/>
        </w:rPr>
      </w:pPr>
      <w:r>
        <w:rPr>
          <w:b/>
          <w:bCs/>
          <w:szCs w:val="22"/>
        </w:rPr>
        <w:t>Non-legal responses</w:t>
      </w:r>
    </w:p>
    <w:p w14:paraId="706D96BE" w14:textId="77777777" w:rsidR="00757C9A" w:rsidRDefault="00757C9A" w:rsidP="00757C9A">
      <w:pPr>
        <w:pStyle w:val="ListBullet"/>
        <w:rPr>
          <w:szCs w:val="22"/>
        </w:rPr>
      </w:pPr>
      <w:hyperlink r:id="rId58" w:history="1">
        <w:r w:rsidRPr="00842881">
          <w:rPr>
            <w:rStyle w:val="Hyperlink"/>
            <w:szCs w:val="22"/>
          </w:rPr>
          <w:t>Redfern Legal Centre</w:t>
        </w:r>
      </w:hyperlink>
    </w:p>
    <w:p w14:paraId="373CEFBC" w14:textId="77777777" w:rsidR="00757C9A" w:rsidRDefault="00757C9A" w:rsidP="00757C9A">
      <w:pPr>
        <w:pStyle w:val="ListBullet"/>
        <w:rPr>
          <w:szCs w:val="22"/>
        </w:rPr>
      </w:pPr>
      <w:hyperlink r:id="rId59" w:history="1">
        <w:r w:rsidRPr="00136754">
          <w:rPr>
            <w:rStyle w:val="Hyperlink"/>
            <w:szCs w:val="22"/>
          </w:rPr>
          <w:t>Aboriginal Legal Service</w:t>
        </w:r>
      </w:hyperlink>
    </w:p>
    <w:p w14:paraId="5BEB191D" w14:textId="04417969" w:rsidR="00757C9A" w:rsidRDefault="00757C9A" w:rsidP="00E4119E">
      <w:pPr>
        <w:pStyle w:val="ListBullet"/>
        <w:rPr>
          <w:szCs w:val="22"/>
        </w:rPr>
      </w:pPr>
      <w:hyperlink r:id="rId60" w:history="1">
        <w:proofErr w:type="spellStart"/>
        <w:r w:rsidRPr="00ED25D7">
          <w:rPr>
            <w:rStyle w:val="Hyperlink"/>
            <w:szCs w:val="22"/>
          </w:rPr>
          <w:t>Wirringa</w:t>
        </w:r>
        <w:proofErr w:type="spellEnd"/>
        <w:r w:rsidRPr="00ED25D7">
          <w:rPr>
            <w:rStyle w:val="Hyperlink"/>
            <w:szCs w:val="22"/>
          </w:rPr>
          <w:t xml:space="preserve"> Baiya Aboriginal Women’s Legal Centre</w:t>
        </w:r>
      </w:hyperlink>
    </w:p>
    <w:p w14:paraId="2D330907" w14:textId="4F90482F" w:rsidR="00943F3D" w:rsidRDefault="00943F3D" w:rsidP="00E4119E">
      <w:pPr>
        <w:pStyle w:val="ListBullet"/>
        <w:rPr>
          <w:szCs w:val="22"/>
        </w:rPr>
      </w:pPr>
      <w:hyperlink r:id="rId61" w:history="1">
        <w:r w:rsidRPr="00501DED">
          <w:rPr>
            <w:rStyle w:val="Hyperlink"/>
            <w:szCs w:val="22"/>
          </w:rPr>
          <w:t>The Civil Law Service for Aboriginal Communities</w:t>
        </w:r>
      </w:hyperlink>
    </w:p>
    <w:p w14:paraId="56325F52" w14:textId="49F64015" w:rsidR="008F544F" w:rsidRDefault="008F544F" w:rsidP="00E4119E">
      <w:pPr>
        <w:pStyle w:val="ListBullet"/>
        <w:rPr>
          <w:szCs w:val="22"/>
        </w:rPr>
      </w:pPr>
      <w:hyperlink r:id="rId62" w:anchor="accordion-6616b79aab-item-24101e78d0" w:history="1">
        <w:r w:rsidRPr="008F544F">
          <w:rPr>
            <w:rStyle w:val="Hyperlink"/>
            <w:szCs w:val="22"/>
          </w:rPr>
          <w:t>The Family Law Service for Aboriginal Communities</w:t>
        </w:r>
      </w:hyperlink>
    </w:p>
    <w:p w14:paraId="1BD1B791" w14:textId="705F35C6" w:rsidR="00E4119E" w:rsidRPr="00594463" w:rsidRDefault="00994420" w:rsidP="000A74D8">
      <w:pPr>
        <w:pStyle w:val="ListBullet"/>
        <w:rPr>
          <w:szCs w:val="22"/>
        </w:rPr>
      </w:pPr>
      <w:hyperlink r:id="rId63" w:history="1">
        <w:r w:rsidRPr="00994420">
          <w:rPr>
            <w:rStyle w:val="Hyperlink"/>
            <w:szCs w:val="22"/>
          </w:rPr>
          <w:t>National Aboriginal and Torres Strait Islander Legal Services</w:t>
        </w:r>
      </w:hyperlink>
    </w:p>
    <w:p w14:paraId="65D43160" w14:textId="011E16BC" w:rsidR="00757C9A" w:rsidRPr="00522A6E" w:rsidRDefault="00757C9A" w:rsidP="00073BCC">
      <w:r>
        <w:t>Complete the table below for</w:t>
      </w:r>
      <w:r w:rsidR="000A74D8">
        <w:t xml:space="preserve"> each of</w:t>
      </w:r>
      <w:r>
        <w:t xml:space="preserve"> your chosen </w:t>
      </w:r>
      <w:r w:rsidR="000A74D8">
        <w:t xml:space="preserve">legal response and non-legal response </w:t>
      </w:r>
      <w:r>
        <w:t xml:space="preserve">in hard copy. Be sure to carefully consider the </w:t>
      </w:r>
      <w:r w:rsidR="000A74D8">
        <w:t xml:space="preserve">specific ways in which each response addresses disadvantages experiences by Aboriginal and Torres Strait Islander </w:t>
      </w:r>
      <w:r w:rsidR="0050701B">
        <w:t>p</w:t>
      </w:r>
      <w:r w:rsidR="000A74D8">
        <w:t xml:space="preserve">eoples before the law with reference to the criteria of </w:t>
      </w:r>
      <w:r w:rsidR="000A74D8" w:rsidRPr="00380661">
        <w:t>accessibility</w:t>
      </w:r>
      <w:r w:rsidR="000A74D8">
        <w:t xml:space="preserve">, </w:t>
      </w:r>
      <w:r w:rsidR="000A74D8" w:rsidRPr="00380661">
        <w:t>enforceability</w:t>
      </w:r>
      <w:r w:rsidR="000A74D8">
        <w:t xml:space="preserve">, </w:t>
      </w:r>
      <w:r w:rsidR="000A74D8" w:rsidRPr="00380661">
        <w:t>responsiveness</w:t>
      </w:r>
      <w:r w:rsidR="000A74D8">
        <w:t xml:space="preserve"> and </w:t>
      </w:r>
      <w:r w:rsidR="000A74D8" w:rsidRPr="00380661">
        <w:t>resource efficiency</w:t>
      </w:r>
      <w:r w:rsidR="000A74D8">
        <w:t>.</w:t>
      </w:r>
    </w:p>
    <w:p w14:paraId="590C8C36" w14:textId="483D35DB" w:rsidR="00073BCC" w:rsidRDefault="00073BCC" w:rsidP="0085045D">
      <w:pPr>
        <w:pStyle w:val="Caption"/>
      </w:pPr>
      <w:r>
        <w:lastRenderedPageBreak/>
        <w:t xml:space="preserve">Table </w:t>
      </w:r>
      <w:r>
        <w:fldChar w:fldCharType="begin"/>
      </w:r>
      <w:r>
        <w:instrText xml:space="preserve"> SEQ Table \* ARABIC </w:instrText>
      </w:r>
      <w:r>
        <w:fldChar w:fldCharType="separate"/>
      </w:r>
      <w:r w:rsidR="0085045D">
        <w:rPr>
          <w:noProof/>
        </w:rPr>
        <w:t>3</w:t>
      </w:r>
      <w:r>
        <w:fldChar w:fldCharType="end"/>
      </w:r>
      <w:r>
        <w:t xml:space="preserve"> – </w:t>
      </w:r>
      <w:r w:rsidRPr="00FD6016">
        <w:t xml:space="preserve">non-government organisation analysis </w:t>
      </w:r>
      <w:r w:rsidR="008C75A5" w:rsidRPr="00FD6016">
        <w:t>scaffold</w:t>
      </w:r>
    </w:p>
    <w:tbl>
      <w:tblPr>
        <w:tblStyle w:val="Tableheader"/>
        <w:tblW w:w="9634" w:type="dxa"/>
        <w:tblLook w:val="04A0" w:firstRow="1" w:lastRow="0" w:firstColumn="1" w:lastColumn="0" w:noHBand="0" w:noVBand="1"/>
        <w:tblDescription w:val="Table with columns labelled Attribute, Legal response and Non-legal response. The last 2 columns are blank for students to complete."/>
      </w:tblPr>
      <w:tblGrid>
        <w:gridCol w:w="2405"/>
        <w:gridCol w:w="2693"/>
        <w:gridCol w:w="4536"/>
      </w:tblGrid>
      <w:tr w:rsidR="001152FA" w:rsidRPr="0050701B" w14:paraId="1BF18ACF" w14:textId="64CD5BE4" w:rsidTr="00115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8772238" w14:textId="77777777" w:rsidR="001152FA" w:rsidRPr="0050701B" w:rsidRDefault="001152FA" w:rsidP="0050701B">
            <w:r w:rsidRPr="0050701B">
              <w:t>Attribute</w:t>
            </w:r>
          </w:p>
        </w:tc>
        <w:tc>
          <w:tcPr>
            <w:tcW w:w="2693" w:type="dxa"/>
          </w:tcPr>
          <w:p w14:paraId="2D6878DD" w14:textId="70616E96" w:rsidR="001152FA" w:rsidRPr="0050701B" w:rsidRDefault="001152FA" w:rsidP="0050701B">
            <w:pPr>
              <w:cnfStyle w:val="100000000000" w:firstRow="1" w:lastRow="0" w:firstColumn="0" w:lastColumn="0" w:oddVBand="0" w:evenVBand="0" w:oddHBand="0" w:evenHBand="0" w:firstRowFirstColumn="0" w:firstRowLastColumn="0" w:lastRowFirstColumn="0" w:lastRowLastColumn="0"/>
            </w:pPr>
            <w:r w:rsidRPr="0050701B">
              <w:t>Legal response</w:t>
            </w:r>
          </w:p>
        </w:tc>
        <w:tc>
          <w:tcPr>
            <w:tcW w:w="4536" w:type="dxa"/>
          </w:tcPr>
          <w:p w14:paraId="354B24C0" w14:textId="3BBA1ECA" w:rsidR="001152FA" w:rsidRPr="0050701B" w:rsidRDefault="001152FA" w:rsidP="0050701B">
            <w:pPr>
              <w:cnfStyle w:val="100000000000" w:firstRow="1" w:lastRow="0" w:firstColumn="0" w:lastColumn="0" w:oddVBand="0" w:evenVBand="0" w:oddHBand="0" w:evenHBand="0" w:firstRowFirstColumn="0" w:firstRowLastColumn="0" w:lastRowFirstColumn="0" w:lastRowLastColumn="0"/>
            </w:pPr>
            <w:r w:rsidRPr="0050701B">
              <w:t>Non-legal response</w:t>
            </w:r>
          </w:p>
        </w:tc>
      </w:tr>
      <w:tr w:rsidR="001152FA" w:rsidRPr="0050701B" w14:paraId="7AB3CDD3" w14:textId="31EAA42C" w:rsidTr="004F687F">
        <w:trPr>
          <w:cnfStyle w:val="000000100000" w:firstRow="0" w:lastRow="0" w:firstColumn="0" w:lastColumn="0" w:oddVBand="0" w:evenVBand="0" w:oddHBand="1" w:evenHBand="0" w:firstRowFirstColumn="0" w:firstRowLastColumn="0" w:lastRowFirstColumn="0" w:lastRowLastColumn="0"/>
          <w:trHeight w:val="2221"/>
        </w:trPr>
        <w:tc>
          <w:tcPr>
            <w:cnfStyle w:val="001000000000" w:firstRow="0" w:lastRow="0" w:firstColumn="1" w:lastColumn="0" w:oddVBand="0" w:evenVBand="0" w:oddHBand="0" w:evenHBand="0" w:firstRowFirstColumn="0" w:firstRowLastColumn="0" w:lastRowFirstColumn="0" w:lastRowLastColumn="0"/>
            <w:tcW w:w="2405" w:type="dxa"/>
          </w:tcPr>
          <w:p w14:paraId="1C66D67B" w14:textId="6A7628CD" w:rsidR="001152FA" w:rsidRPr="0050701B" w:rsidRDefault="001152FA" w:rsidP="0050701B">
            <w:r w:rsidRPr="0050701B">
              <w:t xml:space="preserve">Name of </w:t>
            </w:r>
            <w:r w:rsidR="00470C9F" w:rsidRPr="0050701B">
              <w:t>the response or organisation</w:t>
            </w:r>
          </w:p>
        </w:tc>
        <w:tc>
          <w:tcPr>
            <w:tcW w:w="2693" w:type="dxa"/>
          </w:tcPr>
          <w:p w14:paraId="303EF7C3"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c>
          <w:tcPr>
            <w:tcW w:w="4536" w:type="dxa"/>
          </w:tcPr>
          <w:p w14:paraId="11A8FA70"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r>
      <w:tr w:rsidR="001152FA" w:rsidRPr="0050701B" w14:paraId="6962D067" w14:textId="76A091E6" w:rsidTr="004F687F">
        <w:trPr>
          <w:cnfStyle w:val="000000010000" w:firstRow="0" w:lastRow="0" w:firstColumn="0" w:lastColumn="0" w:oddVBand="0" w:evenVBand="0" w:oddHBand="0" w:evenHBand="1" w:firstRowFirstColumn="0" w:firstRowLastColumn="0" w:lastRowFirstColumn="0" w:lastRowLastColumn="0"/>
          <w:trHeight w:val="2221"/>
        </w:trPr>
        <w:tc>
          <w:tcPr>
            <w:cnfStyle w:val="001000000000" w:firstRow="0" w:lastRow="0" w:firstColumn="1" w:lastColumn="0" w:oddVBand="0" w:evenVBand="0" w:oddHBand="0" w:evenHBand="0" w:firstRowFirstColumn="0" w:firstRowLastColumn="0" w:lastRowFirstColumn="0" w:lastRowLastColumn="0"/>
            <w:tcW w:w="2405" w:type="dxa"/>
          </w:tcPr>
          <w:p w14:paraId="5EEC1D9F" w14:textId="7784D7AA" w:rsidR="001152FA" w:rsidRPr="0050701B" w:rsidRDefault="00470C9F" w:rsidP="0050701B">
            <w:r w:rsidRPr="0050701B">
              <w:t>Description of the response</w:t>
            </w:r>
          </w:p>
        </w:tc>
        <w:tc>
          <w:tcPr>
            <w:tcW w:w="2693" w:type="dxa"/>
          </w:tcPr>
          <w:p w14:paraId="23395446" w14:textId="77777777" w:rsidR="001152FA" w:rsidRPr="0050701B" w:rsidRDefault="001152FA" w:rsidP="0050701B">
            <w:pPr>
              <w:cnfStyle w:val="000000010000" w:firstRow="0" w:lastRow="0" w:firstColumn="0" w:lastColumn="0" w:oddVBand="0" w:evenVBand="0" w:oddHBand="0" w:evenHBand="1" w:firstRowFirstColumn="0" w:firstRowLastColumn="0" w:lastRowFirstColumn="0" w:lastRowLastColumn="0"/>
            </w:pPr>
          </w:p>
        </w:tc>
        <w:tc>
          <w:tcPr>
            <w:tcW w:w="4536" w:type="dxa"/>
          </w:tcPr>
          <w:p w14:paraId="090A14E0" w14:textId="77777777" w:rsidR="001152FA" w:rsidRPr="0050701B" w:rsidRDefault="001152FA" w:rsidP="0050701B">
            <w:pPr>
              <w:cnfStyle w:val="000000010000" w:firstRow="0" w:lastRow="0" w:firstColumn="0" w:lastColumn="0" w:oddVBand="0" w:evenVBand="0" w:oddHBand="0" w:evenHBand="1" w:firstRowFirstColumn="0" w:firstRowLastColumn="0" w:lastRowFirstColumn="0" w:lastRowLastColumn="0"/>
            </w:pPr>
          </w:p>
        </w:tc>
      </w:tr>
      <w:tr w:rsidR="001152FA" w:rsidRPr="0050701B" w14:paraId="32481887" w14:textId="0711824C" w:rsidTr="004F687F">
        <w:trPr>
          <w:cnfStyle w:val="000000100000" w:firstRow="0" w:lastRow="0" w:firstColumn="0" w:lastColumn="0" w:oddVBand="0" w:evenVBand="0" w:oddHBand="1" w:evenHBand="0" w:firstRowFirstColumn="0" w:firstRowLastColumn="0" w:lastRowFirstColumn="0" w:lastRowLastColumn="0"/>
          <w:trHeight w:val="2221"/>
        </w:trPr>
        <w:tc>
          <w:tcPr>
            <w:cnfStyle w:val="001000000000" w:firstRow="0" w:lastRow="0" w:firstColumn="1" w:lastColumn="0" w:oddVBand="0" w:evenVBand="0" w:oddHBand="0" w:evenHBand="0" w:firstRowFirstColumn="0" w:firstRowLastColumn="0" w:lastRowFirstColumn="0" w:lastRowLastColumn="0"/>
            <w:tcW w:w="2405" w:type="dxa"/>
          </w:tcPr>
          <w:p w14:paraId="0BEDACE8" w14:textId="5C683C71" w:rsidR="001152FA" w:rsidRPr="0050701B" w:rsidRDefault="004143FC" w:rsidP="0050701B">
            <w:r w:rsidRPr="0050701B">
              <w:t xml:space="preserve">What type of </w:t>
            </w:r>
            <w:r w:rsidR="00296FE4" w:rsidRPr="0050701B">
              <w:t xml:space="preserve">legal </w:t>
            </w:r>
            <w:r w:rsidRPr="0050701B">
              <w:t>disadvantage does the response address?</w:t>
            </w:r>
          </w:p>
        </w:tc>
        <w:tc>
          <w:tcPr>
            <w:tcW w:w="2693" w:type="dxa"/>
          </w:tcPr>
          <w:p w14:paraId="380EFE8C"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c>
          <w:tcPr>
            <w:tcW w:w="4536" w:type="dxa"/>
          </w:tcPr>
          <w:p w14:paraId="45C0550E"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r>
      <w:tr w:rsidR="001152FA" w:rsidRPr="0050701B" w14:paraId="2C558338" w14:textId="7E369BEC" w:rsidTr="004F687F">
        <w:trPr>
          <w:cnfStyle w:val="000000010000" w:firstRow="0" w:lastRow="0" w:firstColumn="0" w:lastColumn="0" w:oddVBand="0" w:evenVBand="0" w:oddHBand="0" w:evenHBand="1" w:firstRowFirstColumn="0" w:firstRowLastColumn="0" w:lastRowFirstColumn="0" w:lastRowLastColumn="0"/>
          <w:trHeight w:val="2221"/>
        </w:trPr>
        <w:tc>
          <w:tcPr>
            <w:cnfStyle w:val="001000000000" w:firstRow="0" w:lastRow="0" w:firstColumn="1" w:lastColumn="0" w:oddVBand="0" w:evenVBand="0" w:oddHBand="0" w:evenHBand="0" w:firstRowFirstColumn="0" w:firstRowLastColumn="0" w:lastRowFirstColumn="0" w:lastRowLastColumn="0"/>
            <w:tcW w:w="2405" w:type="dxa"/>
          </w:tcPr>
          <w:p w14:paraId="12E1BA74" w14:textId="7A4DC4D9" w:rsidR="001152FA" w:rsidRPr="0050701B" w:rsidRDefault="004143FC" w:rsidP="0050701B">
            <w:r w:rsidRPr="0050701B">
              <w:t xml:space="preserve">How does the </w:t>
            </w:r>
            <w:r w:rsidR="00296FE4" w:rsidRPr="0050701B">
              <w:t>response address legal disadvantage</w:t>
            </w:r>
            <w:r w:rsidR="004F687F" w:rsidRPr="0050701B">
              <w:t>?</w:t>
            </w:r>
          </w:p>
        </w:tc>
        <w:tc>
          <w:tcPr>
            <w:tcW w:w="2693" w:type="dxa"/>
          </w:tcPr>
          <w:p w14:paraId="78BAAB96" w14:textId="77777777" w:rsidR="001152FA" w:rsidRPr="0050701B" w:rsidRDefault="001152FA" w:rsidP="0050701B">
            <w:pPr>
              <w:cnfStyle w:val="000000010000" w:firstRow="0" w:lastRow="0" w:firstColumn="0" w:lastColumn="0" w:oddVBand="0" w:evenVBand="0" w:oddHBand="0" w:evenHBand="1" w:firstRowFirstColumn="0" w:firstRowLastColumn="0" w:lastRowFirstColumn="0" w:lastRowLastColumn="0"/>
            </w:pPr>
          </w:p>
        </w:tc>
        <w:tc>
          <w:tcPr>
            <w:tcW w:w="4536" w:type="dxa"/>
          </w:tcPr>
          <w:p w14:paraId="1008B1F6" w14:textId="77777777" w:rsidR="001152FA" w:rsidRPr="0050701B" w:rsidRDefault="001152FA" w:rsidP="0050701B">
            <w:pPr>
              <w:cnfStyle w:val="000000010000" w:firstRow="0" w:lastRow="0" w:firstColumn="0" w:lastColumn="0" w:oddVBand="0" w:evenVBand="0" w:oddHBand="0" w:evenHBand="1" w:firstRowFirstColumn="0" w:firstRowLastColumn="0" w:lastRowFirstColumn="0" w:lastRowLastColumn="0"/>
            </w:pPr>
          </w:p>
        </w:tc>
      </w:tr>
      <w:tr w:rsidR="001152FA" w:rsidRPr="0050701B" w14:paraId="2A7AB924" w14:textId="70C9EDA7" w:rsidTr="004F687F">
        <w:trPr>
          <w:cnfStyle w:val="000000100000" w:firstRow="0" w:lastRow="0" w:firstColumn="0" w:lastColumn="0" w:oddVBand="0" w:evenVBand="0" w:oddHBand="1" w:evenHBand="0" w:firstRowFirstColumn="0" w:firstRowLastColumn="0" w:lastRowFirstColumn="0" w:lastRowLastColumn="0"/>
          <w:trHeight w:val="2221"/>
        </w:trPr>
        <w:tc>
          <w:tcPr>
            <w:cnfStyle w:val="001000000000" w:firstRow="0" w:lastRow="0" w:firstColumn="1" w:lastColumn="0" w:oddVBand="0" w:evenVBand="0" w:oddHBand="0" w:evenHBand="0" w:firstRowFirstColumn="0" w:firstRowLastColumn="0" w:lastRowFirstColumn="0" w:lastRowLastColumn="0"/>
            <w:tcW w:w="2405" w:type="dxa"/>
          </w:tcPr>
          <w:p w14:paraId="6797BA35" w14:textId="70E6D608" w:rsidR="001152FA" w:rsidRPr="0050701B" w:rsidRDefault="00296FE4" w:rsidP="0050701B">
            <w:r w:rsidRPr="0050701B">
              <w:t>How effective is the response for addressing disadvantage?</w:t>
            </w:r>
          </w:p>
        </w:tc>
        <w:tc>
          <w:tcPr>
            <w:tcW w:w="2693" w:type="dxa"/>
          </w:tcPr>
          <w:p w14:paraId="42CF6C4E"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c>
          <w:tcPr>
            <w:tcW w:w="4536" w:type="dxa"/>
          </w:tcPr>
          <w:p w14:paraId="0DAF0CC4" w14:textId="77777777" w:rsidR="001152FA" w:rsidRPr="0050701B" w:rsidRDefault="001152FA" w:rsidP="0050701B">
            <w:pPr>
              <w:cnfStyle w:val="000000100000" w:firstRow="0" w:lastRow="0" w:firstColumn="0" w:lastColumn="0" w:oddVBand="0" w:evenVBand="0" w:oddHBand="1" w:evenHBand="0" w:firstRowFirstColumn="0" w:firstRowLastColumn="0" w:lastRowFirstColumn="0" w:lastRowLastColumn="0"/>
            </w:pPr>
          </w:p>
        </w:tc>
      </w:tr>
    </w:tbl>
    <w:p w14:paraId="411D5486" w14:textId="3D73B04B" w:rsidR="00757C9A" w:rsidRDefault="00757C9A" w:rsidP="00757C9A">
      <w:r>
        <w:t>Ensure that each member of your group has a completed copy of the table</w:t>
      </w:r>
      <w:r w:rsidR="004F687F">
        <w:t xml:space="preserve"> for</w:t>
      </w:r>
      <w:r>
        <w:t xml:space="preserve"> </w:t>
      </w:r>
      <w:r w:rsidR="004F687F">
        <w:rPr>
          <w:szCs w:val="22"/>
        </w:rPr>
        <w:t xml:space="preserve">one of the legal and one of the non-legal responses </w:t>
      </w:r>
      <w:r w:rsidR="004F687F">
        <w:t xml:space="preserve">used to support Aboriginal and Torres Strait Islander </w:t>
      </w:r>
      <w:r w:rsidR="003316DA">
        <w:t>p</w:t>
      </w:r>
      <w:r w:rsidR="004F687F">
        <w:t>eoples when experiencing disadvantage before the law</w:t>
      </w:r>
      <w:r w:rsidR="0092040F">
        <w:t>.</w:t>
      </w:r>
    </w:p>
    <w:p w14:paraId="1D40663C" w14:textId="245D152E" w:rsidR="00757C9A" w:rsidRDefault="00757C9A" w:rsidP="00757C9A">
      <w:r>
        <w:lastRenderedPageBreak/>
        <w:t>Move in your group to one part of the classroom, away from other groups, to display your table.</w:t>
      </w:r>
    </w:p>
    <w:p w14:paraId="4A9EBF33" w14:textId="423A5F93" w:rsidR="00757C9A" w:rsidRDefault="00757C9A" w:rsidP="00757C9A">
      <w:r>
        <w:t xml:space="preserve">Conduct a </w:t>
      </w:r>
      <w:hyperlink r:id="rId64" w:history="1">
        <w:r w:rsidRPr="00D60C0F">
          <w:rPr>
            <w:rStyle w:val="Hyperlink"/>
          </w:rPr>
          <w:t>gallery walk</w:t>
        </w:r>
      </w:hyperlink>
      <w:r>
        <w:t xml:space="preserve"> to examine the tables created by other groups in the class. While conducting your gallery walk, complete the 2 remaining hardcopy tables </w:t>
      </w:r>
      <w:r w:rsidR="00BE08C8">
        <w:rPr>
          <w:szCs w:val="22"/>
        </w:rPr>
        <w:t xml:space="preserve">on 2 of the legal and 2 of the non-legal responses </w:t>
      </w:r>
      <w:r w:rsidR="00BE08C8">
        <w:t xml:space="preserve">used to support Aboriginal and Torres Strait Islander </w:t>
      </w:r>
      <w:r w:rsidR="003316DA">
        <w:t>p</w:t>
      </w:r>
      <w:r w:rsidR="00BE08C8">
        <w:t>eoples when experiencing disadvantage before the law that are different from the responses chosen by your group.</w:t>
      </w:r>
    </w:p>
    <w:p w14:paraId="4719D23B" w14:textId="77777777" w:rsidR="00757C9A" w:rsidRDefault="00757C9A" w:rsidP="00757C9A">
      <w:pPr>
        <w:pStyle w:val="FeatureBox2"/>
      </w:pPr>
      <w:r>
        <w:rPr>
          <w:b/>
          <w:bCs/>
          <w:szCs w:val="22"/>
        </w:rPr>
        <w:t>Note</w:t>
      </w:r>
      <w:r w:rsidRPr="00073BCC">
        <w:rPr>
          <w:szCs w:val="22"/>
        </w:rPr>
        <w:t xml:space="preserve">: </w:t>
      </w:r>
      <w:r>
        <w:rPr>
          <w:szCs w:val="22"/>
        </w:rPr>
        <w:t xml:space="preserve">teachers may wish to use </w:t>
      </w:r>
      <w:hyperlink r:id="rId65" w:anchor=":~:text=provide%20educators%20with%20effective%20structures%20for%20key%20text-types" w:history="1">
        <w:r w:rsidRPr="00AF7B95">
          <w:rPr>
            <w:rStyle w:val="Hyperlink"/>
            <w:szCs w:val="22"/>
          </w:rPr>
          <w:t>writing scaffolds</w:t>
        </w:r>
      </w:hyperlink>
      <w:r>
        <w:rPr>
          <w:szCs w:val="22"/>
        </w:rPr>
        <w:t xml:space="preserve"> to support students to complete the next activity.</w:t>
      </w:r>
    </w:p>
    <w:p w14:paraId="78C3E205" w14:textId="33B0BBEF" w:rsidR="008A1C7D" w:rsidRDefault="00757C9A" w:rsidP="00BE08C8">
      <w:pPr>
        <w:rPr>
          <w:szCs w:val="22"/>
        </w:rPr>
      </w:pPr>
      <w:r>
        <w:t xml:space="preserve">Use your 3 completed tables to individually </w:t>
      </w:r>
      <w:r w:rsidR="00296FE4">
        <w:rPr>
          <w:rFonts w:eastAsia="Arial"/>
          <w:color w:val="000000" w:themeColor="text1"/>
          <w:szCs w:val="22"/>
        </w:rPr>
        <w:t xml:space="preserve">write a </w:t>
      </w:r>
      <w:r w:rsidR="003316DA">
        <w:rPr>
          <w:rFonts w:eastAsia="Arial"/>
          <w:color w:val="000000" w:themeColor="text1"/>
          <w:szCs w:val="22"/>
        </w:rPr>
        <w:t>one</w:t>
      </w:r>
      <w:r w:rsidR="00296FE4">
        <w:rPr>
          <w:rFonts w:eastAsia="Arial"/>
          <w:color w:val="000000" w:themeColor="text1"/>
          <w:szCs w:val="22"/>
        </w:rPr>
        <w:t xml:space="preserve">-paragraph </w:t>
      </w:r>
      <w:r w:rsidR="008A1C7D">
        <w:rPr>
          <w:rFonts w:eastAsia="Arial"/>
          <w:color w:val="000000" w:themeColor="text1"/>
          <w:szCs w:val="22"/>
        </w:rPr>
        <w:t>evaluation</w:t>
      </w:r>
      <w:r w:rsidR="00296FE4">
        <w:rPr>
          <w:rFonts w:eastAsia="Arial"/>
          <w:color w:val="000000" w:themeColor="text1"/>
          <w:szCs w:val="22"/>
        </w:rPr>
        <w:t xml:space="preserve"> of </w:t>
      </w:r>
      <w:r w:rsidR="00296FE4">
        <w:rPr>
          <w:szCs w:val="22"/>
        </w:rPr>
        <w:t xml:space="preserve">legal responses to disadvantage experienced by Aboriginal and Torres Strait Islander </w:t>
      </w:r>
      <w:r w:rsidR="003316DA">
        <w:rPr>
          <w:szCs w:val="22"/>
        </w:rPr>
        <w:t>p</w:t>
      </w:r>
      <w:r w:rsidR="00296FE4">
        <w:rPr>
          <w:szCs w:val="22"/>
        </w:rPr>
        <w:t>eoples</w:t>
      </w:r>
      <w:r w:rsidR="00BE08C8">
        <w:rPr>
          <w:szCs w:val="22"/>
        </w:rPr>
        <w:t>.</w:t>
      </w:r>
    </w:p>
    <w:p w14:paraId="4E11167D" w14:textId="63091525" w:rsidR="00296FE4" w:rsidRDefault="00BE08C8" w:rsidP="00757C9A">
      <w:pPr>
        <w:rPr>
          <w:szCs w:val="22"/>
        </w:rPr>
      </w:pPr>
      <w:r>
        <w:t xml:space="preserve">Use your 3 completed tables to </w:t>
      </w:r>
      <w:r w:rsidR="00296FE4">
        <w:rPr>
          <w:rFonts w:eastAsia="Arial"/>
          <w:color w:val="000000" w:themeColor="text1"/>
          <w:szCs w:val="22"/>
        </w:rPr>
        <w:t xml:space="preserve">write a </w:t>
      </w:r>
      <w:r w:rsidR="003316DA">
        <w:rPr>
          <w:rFonts w:eastAsia="Arial"/>
          <w:color w:val="000000" w:themeColor="text1"/>
          <w:szCs w:val="22"/>
        </w:rPr>
        <w:t>one</w:t>
      </w:r>
      <w:r w:rsidR="00296FE4">
        <w:rPr>
          <w:rFonts w:eastAsia="Arial"/>
          <w:color w:val="000000" w:themeColor="text1"/>
          <w:szCs w:val="22"/>
        </w:rPr>
        <w:t xml:space="preserve">-paragraph </w:t>
      </w:r>
      <w:r w:rsidR="008A1C7D">
        <w:rPr>
          <w:rFonts w:eastAsia="Arial"/>
          <w:color w:val="000000" w:themeColor="text1"/>
          <w:szCs w:val="22"/>
        </w:rPr>
        <w:t>evaluation</w:t>
      </w:r>
      <w:r w:rsidR="00296FE4">
        <w:rPr>
          <w:rFonts w:eastAsia="Arial"/>
          <w:color w:val="000000" w:themeColor="text1"/>
          <w:szCs w:val="22"/>
        </w:rPr>
        <w:t xml:space="preserve"> of non-</w:t>
      </w:r>
      <w:r w:rsidR="00296FE4">
        <w:rPr>
          <w:szCs w:val="22"/>
        </w:rPr>
        <w:t xml:space="preserve">legal responses to disadvantage experienced by Aboriginal and Torres Strait Islander </w:t>
      </w:r>
      <w:r w:rsidR="003316DA">
        <w:rPr>
          <w:szCs w:val="22"/>
        </w:rPr>
        <w:t>p</w:t>
      </w:r>
      <w:r w:rsidR="00296FE4">
        <w:rPr>
          <w:szCs w:val="22"/>
        </w:rPr>
        <w:t>eoples</w:t>
      </w:r>
      <w:r>
        <w:rPr>
          <w:szCs w:val="22"/>
        </w:rPr>
        <w:t>.</w:t>
      </w:r>
    </w:p>
    <w:p w14:paraId="4822660B" w14:textId="394A24E1" w:rsidR="008A1C7D" w:rsidRPr="008A1C7D" w:rsidRDefault="008A1C7D" w:rsidP="008A1C7D">
      <w:pPr>
        <w:rPr>
          <w:rFonts w:eastAsia="Arial"/>
          <w:color w:val="000000" w:themeColor="text1"/>
          <w:szCs w:val="22"/>
        </w:rPr>
      </w:pPr>
      <w:r>
        <w:rPr>
          <w:szCs w:val="22"/>
        </w:rPr>
        <w:t xml:space="preserve">In each response, </w:t>
      </w:r>
      <w:r>
        <w:t>e</w:t>
      </w:r>
      <w:r w:rsidRPr="005F759C">
        <w:t>valuate the effectiveness of the legal and non-legal responses to</w:t>
      </w:r>
      <w:r>
        <w:rPr>
          <w:szCs w:val="22"/>
        </w:rPr>
        <w:t xml:space="preserve"> disadvantage experienced by Aboriginal and Torres Strait Islander </w:t>
      </w:r>
      <w:r w:rsidR="003316DA">
        <w:rPr>
          <w:szCs w:val="22"/>
        </w:rPr>
        <w:t>p</w:t>
      </w:r>
      <w:r>
        <w:rPr>
          <w:szCs w:val="22"/>
        </w:rPr>
        <w:t xml:space="preserve">eoples with reference to </w:t>
      </w:r>
      <w:r w:rsidR="0043669E">
        <w:rPr>
          <w:szCs w:val="22"/>
        </w:rPr>
        <w:t>the criteria below:</w:t>
      </w:r>
    </w:p>
    <w:p w14:paraId="6AB181C5" w14:textId="77777777" w:rsidR="008A1C7D" w:rsidRPr="0043669E" w:rsidRDefault="008A1C7D" w:rsidP="0043669E">
      <w:pPr>
        <w:pStyle w:val="ListBullet"/>
      </w:pPr>
      <w:r w:rsidRPr="0043669E">
        <w:t>resource efficiency</w:t>
      </w:r>
    </w:p>
    <w:p w14:paraId="36CC513D" w14:textId="77777777" w:rsidR="008A1C7D" w:rsidRPr="0043669E" w:rsidRDefault="008A1C7D" w:rsidP="0043669E">
      <w:pPr>
        <w:pStyle w:val="ListBullet"/>
      </w:pPr>
      <w:r w:rsidRPr="0043669E">
        <w:t>accessibility</w:t>
      </w:r>
    </w:p>
    <w:p w14:paraId="57554F80" w14:textId="77777777" w:rsidR="008A1C7D" w:rsidRPr="0043669E" w:rsidRDefault="008A1C7D" w:rsidP="0043669E">
      <w:pPr>
        <w:pStyle w:val="ListBullet"/>
      </w:pPr>
      <w:r w:rsidRPr="0043669E">
        <w:t>enforceability</w:t>
      </w:r>
    </w:p>
    <w:p w14:paraId="7ED7C022" w14:textId="77777777" w:rsidR="008A1C7D" w:rsidRPr="0043669E" w:rsidRDefault="008A1C7D" w:rsidP="0043669E">
      <w:pPr>
        <w:pStyle w:val="ListBullet"/>
      </w:pPr>
      <w:r w:rsidRPr="0043669E">
        <w:t>responsiveness</w:t>
      </w:r>
    </w:p>
    <w:p w14:paraId="35F2C200" w14:textId="77777777" w:rsidR="008A1C7D" w:rsidRPr="0043669E" w:rsidRDefault="008A1C7D" w:rsidP="0043669E">
      <w:pPr>
        <w:pStyle w:val="ListBullet"/>
      </w:pPr>
      <w:r w:rsidRPr="0043669E">
        <w:t>protection of individual rights</w:t>
      </w:r>
    </w:p>
    <w:p w14:paraId="3D095856" w14:textId="77777777" w:rsidR="008A1C7D" w:rsidRPr="0043669E" w:rsidRDefault="008A1C7D" w:rsidP="0043669E">
      <w:pPr>
        <w:pStyle w:val="ListBullet"/>
      </w:pPr>
      <w:r w:rsidRPr="0043669E">
        <w:t>meeting society’s needs</w:t>
      </w:r>
    </w:p>
    <w:p w14:paraId="6EF87389" w14:textId="10617767" w:rsidR="0043669E" w:rsidRPr="0043669E" w:rsidRDefault="008A1C7D" w:rsidP="0043669E">
      <w:pPr>
        <w:pStyle w:val="ListBullet"/>
      </w:pPr>
      <w:r w:rsidRPr="0043669E">
        <w:t>application of the rule of law</w:t>
      </w:r>
      <w:r w:rsidR="002235CF">
        <w:t>.</w:t>
      </w:r>
    </w:p>
    <w:p w14:paraId="5F9CC145" w14:textId="6C4701C9" w:rsidR="00CE4D09" w:rsidRPr="00690F5C" w:rsidRDefault="00690F5C" w:rsidP="00690F5C">
      <w:pPr>
        <w:pStyle w:val="FeatureBox2"/>
      </w:pPr>
      <w:r>
        <w:rPr>
          <w:b/>
          <w:bCs/>
          <w:szCs w:val="22"/>
        </w:rPr>
        <w:t>Note</w:t>
      </w:r>
      <w:r w:rsidRPr="00073BCC">
        <w:rPr>
          <w:szCs w:val="22"/>
        </w:rPr>
        <w:t xml:space="preserve">: </w:t>
      </w:r>
      <w:r>
        <w:rPr>
          <w:szCs w:val="22"/>
        </w:rPr>
        <w:t xml:space="preserve">teachers should regularly reteach the definitions of </w:t>
      </w:r>
      <w:r w:rsidR="00A3104B">
        <w:rPr>
          <w:szCs w:val="22"/>
        </w:rPr>
        <w:t>each element of the criteria</w:t>
      </w:r>
      <w:r>
        <w:rPr>
          <w:szCs w:val="22"/>
        </w:rPr>
        <w:t xml:space="preserve"> above.</w:t>
      </w:r>
      <w:r w:rsidR="00CE4D09">
        <w:br w:type="page"/>
      </w:r>
    </w:p>
    <w:p w14:paraId="0D9610A9" w14:textId="2367C928" w:rsidR="00C378CC" w:rsidRPr="0014116A" w:rsidRDefault="00C378CC" w:rsidP="0014116A">
      <w:pPr>
        <w:pStyle w:val="Heading1"/>
      </w:pPr>
      <w:bookmarkStart w:id="15" w:name="_Toc197941734"/>
      <w:r w:rsidRPr="0014116A">
        <w:lastRenderedPageBreak/>
        <w:t xml:space="preserve">Learning sequence 2 – </w:t>
      </w:r>
      <w:r w:rsidR="00145F42" w:rsidRPr="0014116A">
        <w:t>groups or individuals suffering disadvantage</w:t>
      </w:r>
      <w:bookmarkEnd w:id="15"/>
    </w:p>
    <w:p w14:paraId="5109D5E5" w14:textId="022B07C7" w:rsidR="00C378CC" w:rsidRPr="00A97BC7" w:rsidRDefault="00C378CC" w:rsidP="00C378CC">
      <w:pPr>
        <w:rPr>
          <w:rFonts w:eastAsia="Arial"/>
          <w:noProof/>
        </w:rPr>
      </w:pPr>
      <w:r>
        <w:t xml:space="preserve">This sequence is designed to take 15 hours. Students will draw on knowledge from previous content in learning sequences addressing Core Part 1: The </w:t>
      </w:r>
      <w:r w:rsidR="003316DA">
        <w:t>l</w:t>
      </w:r>
      <w:r>
        <w:t xml:space="preserve">egal </w:t>
      </w:r>
      <w:r w:rsidR="003316DA">
        <w:t>s</w:t>
      </w:r>
      <w:r>
        <w:t>ystem, which help</w:t>
      </w:r>
      <w:r w:rsidR="00832C44">
        <w:t>s</w:t>
      </w:r>
      <w:r>
        <w:t xml:space="preserve"> students to engage with basic legal concepts and the structure of the Australian legal system and Core Part 2: The </w:t>
      </w:r>
      <w:r w:rsidR="003316DA">
        <w:t>i</w:t>
      </w:r>
      <w:r>
        <w:t xml:space="preserve">ndividual and the </w:t>
      </w:r>
      <w:r w:rsidR="003316DA">
        <w:t>l</w:t>
      </w:r>
      <w:r>
        <w:t>aw, which help</w:t>
      </w:r>
      <w:r w:rsidR="00832C44">
        <w:t>s</w:t>
      </w:r>
      <w:r>
        <w:t xml:space="preserve"> student to understand dispute resolution</w:t>
      </w:r>
      <w:r w:rsidRPr="7FEC8B66">
        <w:rPr>
          <w:rFonts w:eastAsia="Arial"/>
          <w:noProof/>
        </w:rPr>
        <w:t xml:space="preserve">. An understanding of key terms such as </w:t>
      </w:r>
      <w:r>
        <w:rPr>
          <w:rFonts w:eastAsia="Arial"/>
          <w:noProof/>
        </w:rPr>
        <w:t xml:space="preserve">rights, responsibilities, rules and law </w:t>
      </w:r>
      <w:r w:rsidRPr="7FEC8B66">
        <w:rPr>
          <w:rFonts w:eastAsia="Arial"/>
          <w:noProof/>
        </w:rPr>
        <w:t>is needed. This learning sequence is designed to support the development of student langu</w:t>
      </w:r>
      <w:r>
        <w:rPr>
          <w:rFonts w:eastAsia="Arial"/>
          <w:noProof/>
        </w:rPr>
        <w:t>a</w:t>
      </w:r>
      <w:r w:rsidRPr="7FEC8B66">
        <w:rPr>
          <w:rFonts w:eastAsia="Arial"/>
          <w:noProof/>
        </w:rPr>
        <w:t>ge and literacy skills in reading and writing including using text structure and vocabulary effectively in context.</w:t>
      </w:r>
      <w:r w:rsidR="005F18B3">
        <w:rPr>
          <w:rFonts w:eastAsia="Arial"/>
          <w:noProof/>
        </w:rPr>
        <w:t xml:space="preserve"> This learning sequence also provides students with opportunities to apply the skills </w:t>
      </w:r>
      <w:r w:rsidR="005D52EF">
        <w:rPr>
          <w:rFonts w:eastAsia="Arial"/>
          <w:noProof/>
        </w:rPr>
        <w:t xml:space="preserve">that were developed in Learning sequence 1, </w:t>
      </w:r>
      <w:r w:rsidR="005F18B3">
        <w:rPr>
          <w:rFonts w:eastAsia="Arial"/>
          <w:noProof/>
        </w:rPr>
        <w:t xml:space="preserve">which constitutes a </w:t>
      </w:r>
      <w:r w:rsidR="005D52EF">
        <w:rPr>
          <w:rFonts w:eastAsia="Arial"/>
          <w:noProof/>
        </w:rPr>
        <w:t>teacher</w:t>
      </w:r>
      <w:r w:rsidR="005F18B3">
        <w:rPr>
          <w:rFonts w:eastAsia="Arial"/>
          <w:noProof/>
        </w:rPr>
        <w:t>-directed study of a</w:t>
      </w:r>
      <w:r w:rsidR="005D52EF">
        <w:rPr>
          <w:rFonts w:eastAsia="Arial"/>
          <w:noProof/>
        </w:rPr>
        <w:t xml:space="preserve"> </w:t>
      </w:r>
      <w:r w:rsidR="005F18B3">
        <w:rPr>
          <w:rFonts w:eastAsia="Arial"/>
          <w:noProof/>
        </w:rPr>
        <w:t>group that has experienced disadvantage</w:t>
      </w:r>
      <w:r w:rsidR="005D52EF">
        <w:rPr>
          <w:rFonts w:eastAsia="Arial"/>
          <w:noProof/>
        </w:rPr>
        <w:t>.</w:t>
      </w:r>
      <w:r w:rsidRPr="7FEC8B66">
        <w:rPr>
          <w:rFonts w:eastAsia="Arial"/>
          <w:noProof/>
        </w:rPr>
        <w:t xml:space="preserve"> This sequence should be taught with awareness of the </w:t>
      </w:r>
      <w:hyperlink r:id="rId66">
        <w:r w:rsidRPr="7FEC8B66">
          <w:rPr>
            <w:rStyle w:val="Hyperlink"/>
            <w:rFonts w:eastAsia="Arial"/>
            <w:noProof/>
          </w:rPr>
          <w:t xml:space="preserve">Controversial </w:t>
        </w:r>
        <w:r w:rsidR="009D6628">
          <w:rPr>
            <w:rStyle w:val="Hyperlink"/>
            <w:rFonts w:eastAsia="Arial"/>
            <w:noProof/>
          </w:rPr>
          <w:t>i</w:t>
        </w:r>
        <w:r w:rsidRPr="7FEC8B66">
          <w:rPr>
            <w:rStyle w:val="Hyperlink"/>
            <w:rFonts w:eastAsia="Arial"/>
            <w:noProof/>
          </w:rPr>
          <w:t xml:space="preserve">ssues in </w:t>
        </w:r>
        <w:r w:rsidR="009D6628">
          <w:rPr>
            <w:rStyle w:val="Hyperlink"/>
            <w:rFonts w:eastAsia="Arial"/>
            <w:noProof/>
          </w:rPr>
          <w:t>s</w:t>
        </w:r>
        <w:r w:rsidRPr="7FEC8B66">
          <w:rPr>
            <w:rStyle w:val="Hyperlink"/>
            <w:rFonts w:eastAsia="Arial"/>
            <w:noProof/>
          </w:rPr>
          <w:t>chools</w:t>
        </w:r>
        <w:r w:rsidRPr="0085045D">
          <w:t xml:space="preserve"> policy</w:t>
        </w:r>
      </w:hyperlink>
      <w:r w:rsidRPr="7FEC8B66">
        <w:rPr>
          <w:rFonts w:eastAsia="Arial"/>
          <w:noProof/>
        </w:rPr>
        <w:t>.</w:t>
      </w:r>
    </w:p>
    <w:p w14:paraId="015F9C5E" w14:textId="3F77F73C" w:rsidR="00C378CC" w:rsidRPr="00A97BC7" w:rsidRDefault="00C378CC" w:rsidP="00C378CC">
      <w:pPr>
        <w:rPr>
          <w:rFonts w:eastAsia="Arial"/>
          <w:noProof/>
        </w:rPr>
      </w:pPr>
      <w:r w:rsidRPr="00A97BC7">
        <w:rPr>
          <w:rFonts w:eastAsia="Arial"/>
          <w:noProof/>
        </w:rPr>
        <w:t>Consider the following when adapting this learning sequence to your school context</w:t>
      </w:r>
      <w:r w:rsidR="009D6628">
        <w:rPr>
          <w:rFonts w:eastAsia="Arial"/>
          <w:noProof/>
        </w:rPr>
        <w:t>.</w:t>
      </w:r>
    </w:p>
    <w:p w14:paraId="4BFE8462" w14:textId="77777777" w:rsidR="00C378CC" w:rsidRPr="0016750D" w:rsidRDefault="00C378CC" w:rsidP="00C378CC">
      <w:pPr>
        <w:pStyle w:val="ListBullet"/>
      </w:pPr>
      <w:r w:rsidRPr="0016750D">
        <w:t>The appropriateness of individual sources and content given the age and maturity level of your students.</w:t>
      </w:r>
    </w:p>
    <w:p w14:paraId="7E299351" w14:textId="05F2C6EA" w:rsidR="00C378CC" w:rsidRPr="0016750D" w:rsidRDefault="00C378CC" w:rsidP="00C378CC">
      <w:pPr>
        <w:pStyle w:val="ListBullet"/>
      </w:pPr>
      <w:r w:rsidRPr="0016750D">
        <w:t xml:space="preserve">The presence of students with close links to the events discussed in the learning sequence. This is particularly important when referencing the impact of the legal system and laws upon Aboriginal and Torres Strait Islander </w:t>
      </w:r>
      <w:r w:rsidR="009D6628">
        <w:t>p</w:t>
      </w:r>
      <w:r w:rsidRPr="0016750D">
        <w:t>eople</w:t>
      </w:r>
      <w:r w:rsidR="009D6628">
        <w:t>s</w:t>
      </w:r>
      <w:r w:rsidRPr="0016750D">
        <w:t>.</w:t>
      </w:r>
    </w:p>
    <w:p w14:paraId="1C058F6D" w14:textId="77777777" w:rsidR="00C378CC" w:rsidRPr="0016750D" w:rsidRDefault="00C378CC" w:rsidP="00C378CC">
      <w:pPr>
        <w:pStyle w:val="ListBullet"/>
      </w:pPr>
      <w:r w:rsidRPr="0016750D">
        <w:t>The literacy needs of students, especially in relation to reading and understanding legal sources.</w:t>
      </w:r>
    </w:p>
    <w:p w14:paraId="1C5C0BF6" w14:textId="77777777" w:rsidR="00C378CC" w:rsidRDefault="00C378CC" w:rsidP="00C378CC">
      <w:pPr>
        <w:pStyle w:val="ListBullet"/>
        <w:rPr>
          <w:noProof/>
        </w:rPr>
      </w:pPr>
      <w:r w:rsidRPr="0016750D">
        <w:t>The opportunities to further differentiate the content to better support your students.</w:t>
      </w:r>
      <w:r>
        <w:br w:type="page"/>
      </w:r>
    </w:p>
    <w:p w14:paraId="12439B29" w14:textId="77777777" w:rsidR="00C378CC" w:rsidRPr="0014116A" w:rsidRDefault="00C378CC" w:rsidP="0014116A">
      <w:pPr>
        <w:pStyle w:val="Heading2"/>
      </w:pPr>
      <w:bookmarkStart w:id="16" w:name="_Toc197941735"/>
      <w:r w:rsidRPr="0014116A">
        <w:lastRenderedPageBreak/>
        <w:t>Syllabus content</w:t>
      </w:r>
      <w:bookmarkEnd w:id="16"/>
    </w:p>
    <w:p w14:paraId="46A42F9D" w14:textId="06E03984" w:rsidR="00C378CC" w:rsidRPr="00CD403E" w:rsidRDefault="00C378CC" w:rsidP="00C378CC">
      <w:pPr>
        <w:pStyle w:val="Caption"/>
      </w:pPr>
      <w:r>
        <w:t xml:space="preserve">Table </w:t>
      </w:r>
      <w:r>
        <w:fldChar w:fldCharType="begin"/>
      </w:r>
      <w:r>
        <w:instrText xml:space="preserve"> SEQ Table \* ARABIC </w:instrText>
      </w:r>
      <w:r>
        <w:fldChar w:fldCharType="separate"/>
      </w:r>
      <w:r w:rsidR="009C4761">
        <w:rPr>
          <w:noProof/>
        </w:rPr>
        <w:t>4</w:t>
      </w:r>
      <w:r>
        <w:rPr>
          <w:noProof/>
        </w:rPr>
        <w:fldChar w:fldCharType="end"/>
      </w:r>
      <w:r>
        <w:t xml:space="preserve"> – e</w:t>
      </w:r>
      <w:r w:rsidRPr="000A74D3">
        <w:t xml:space="preserve">xcerpt </w:t>
      </w:r>
      <w:r w:rsidR="009F36FC">
        <w:t>from</w:t>
      </w:r>
      <w:r w:rsidRPr="000A74D3">
        <w:t xml:space="preserve"> Legal Studies Stage 6 Syllabus </w:t>
      </w:r>
      <w:r w:rsidR="009F36FC">
        <w:t>(</w:t>
      </w:r>
      <w:r w:rsidRPr="000A74D3">
        <w:t>2009</w:t>
      </w:r>
      <w:r w:rsidR="009F36FC">
        <w:t>)</w:t>
      </w:r>
    </w:p>
    <w:tbl>
      <w:tblPr>
        <w:tblStyle w:val="Tableheader"/>
        <w:tblW w:w="9602" w:type="dxa"/>
        <w:tblLook w:val="0420" w:firstRow="1" w:lastRow="0" w:firstColumn="0" w:lastColumn="0" w:noHBand="0" w:noVBand="1"/>
        <w:tblDescription w:val="Excerpt from Legal Studies Stage 6 Syllabus (2009)."/>
      </w:tblPr>
      <w:tblGrid>
        <w:gridCol w:w="4801"/>
        <w:gridCol w:w="4801"/>
      </w:tblGrid>
      <w:tr w:rsidR="00C378CC" w:rsidRPr="000A74D3" w14:paraId="483BAEC2" w14:textId="77777777" w:rsidTr="00B105B6">
        <w:trPr>
          <w:cnfStyle w:val="100000000000" w:firstRow="1" w:lastRow="0" w:firstColumn="0" w:lastColumn="0" w:oddVBand="0" w:evenVBand="0" w:oddHBand="0" w:evenHBand="0" w:firstRowFirstColumn="0" w:firstRowLastColumn="0" w:lastRowFirstColumn="0" w:lastRowLastColumn="0"/>
        </w:trPr>
        <w:tc>
          <w:tcPr>
            <w:tcW w:w="4801" w:type="dxa"/>
            <w:hideMark/>
          </w:tcPr>
          <w:p w14:paraId="23C36AF6" w14:textId="77777777" w:rsidR="00C378CC" w:rsidRPr="001A3A6B" w:rsidRDefault="00C378CC" w:rsidP="00B105B6">
            <w:pPr>
              <w:rPr>
                <w:b w:val="0"/>
                <w:bCs/>
              </w:rPr>
            </w:pPr>
            <w:r w:rsidRPr="001A3A6B">
              <w:rPr>
                <w:bCs/>
              </w:rPr>
              <w:t>Students learn about:</w:t>
            </w:r>
          </w:p>
        </w:tc>
        <w:tc>
          <w:tcPr>
            <w:tcW w:w="4801" w:type="dxa"/>
            <w:hideMark/>
          </w:tcPr>
          <w:p w14:paraId="1AEB1970" w14:textId="77777777" w:rsidR="00C378CC" w:rsidRPr="001A3A6B" w:rsidRDefault="00C378CC" w:rsidP="00B105B6">
            <w:pPr>
              <w:rPr>
                <w:b w:val="0"/>
                <w:bCs/>
              </w:rPr>
            </w:pPr>
            <w:r w:rsidRPr="001A3A6B">
              <w:rPr>
                <w:bCs/>
              </w:rPr>
              <w:t>Students learn to:</w:t>
            </w:r>
          </w:p>
        </w:tc>
      </w:tr>
      <w:tr w:rsidR="00C378CC" w:rsidRPr="000A74D3" w14:paraId="2D9A4057" w14:textId="77777777" w:rsidTr="00B105B6">
        <w:trPr>
          <w:cnfStyle w:val="000000100000" w:firstRow="0" w:lastRow="0" w:firstColumn="0" w:lastColumn="0" w:oddVBand="0" w:evenVBand="0" w:oddHBand="1" w:evenHBand="0" w:firstRowFirstColumn="0" w:firstRowLastColumn="0" w:lastRowFirstColumn="0" w:lastRowLastColumn="0"/>
        </w:trPr>
        <w:tc>
          <w:tcPr>
            <w:tcW w:w="4801" w:type="dxa"/>
            <w:hideMark/>
          </w:tcPr>
          <w:p w14:paraId="34AC36D9" w14:textId="77777777" w:rsidR="00C378CC" w:rsidRDefault="00C378CC" w:rsidP="00B105B6">
            <w:pPr>
              <w:pStyle w:val="ListBullet"/>
              <w:numPr>
                <w:ilvl w:val="0"/>
                <w:numId w:val="0"/>
              </w:numPr>
              <w:ind w:left="26"/>
            </w:pPr>
            <w:r w:rsidRPr="00505420">
              <w:t>Issues that involve an Australian in a domestic jurisdiction, or Australian citizen(s) in another jurisdiction, focusing on the mechanisms for achieving justice and the responsiveness of the legal system when attempts are made to achieve justice.</w:t>
            </w:r>
          </w:p>
          <w:p w14:paraId="4DC0EBA9" w14:textId="77777777" w:rsidR="00C378CC" w:rsidRPr="005F759C" w:rsidRDefault="00C378CC" w:rsidP="00B105B6">
            <w:pPr>
              <w:pStyle w:val="ListBullet"/>
              <w:numPr>
                <w:ilvl w:val="0"/>
                <w:numId w:val="0"/>
              </w:numPr>
              <w:ind w:left="567" w:hanging="567"/>
              <w:rPr>
                <w:b/>
                <w:bCs/>
              </w:rPr>
            </w:pPr>
            <w:r w:rsidRPr="005F759C">
              <w:rPr>
                <w:b/>
                <w:bCs/>
              </w:rPr>
              <w:t>Topics that may be studied include:</w:t>
            </w:r>
          </w:p>
          <w:p w14:paraId="7D1DA183" w14:textId="77777777" w:rsidR="00C378CC" w:rsidRPr="00073BCC" w:rsidRDefault="00C378CC" w:rsidP="00073BCC">
            <w:pPr>
              <w:pStyle w:val="ListBullet"/>
            </w:pPr>
            <w:r w:rsidRPr="00073BCC">
              <w:t>groups or individuals suffering disadvantage:</w:t>
            </w:r>
          </w:p>
          <w:p w14:paraId="74CA06BD" w14:textId="77777777" w:rsidR="00C378CC" w:rsidRDefault="00C378CC" w:rsidP="00073BCC">
            <w:pPr>
              <w:pStyle w:val="ListBullet2"/>
              <w:ind w:left="1166" w:hanging="599"/>
            </w:pPr>
            <w:r w:rsidRPr="00125294">
              <w:t>Aboriginal and Torres Strait Islander Peoples</w:t>
            </w:r>
          </w:p>
          <w:p w14:paraId="05716D16" w14:textId="77777777" w:rsidR="00C378CC" w:rsidRDefault="00C378CC" w:rsidP="00073BCC">
            <w:pPr>
              <w:pStyle w:val="ListBullet2"/>
              <w:ind w:left="1166" w:hanging="599"/>
            </w:pPr>
            <w:r w:rsidRPr="00125294">
              <w:t>people who have a mental illness or an intellectual or physical disability</w:t>
            </w:r>
          </w:p>
          <w:p w14:paraId="6B72922C" w14:textId="77777777" w:rsidR="00C378CC" w:rsidRDefault="00C378CC" w:rsidP="00073BCC">
            <w:pPr>
              <w:pStyle w:val="ListBullet2"/>
              <w:ind w:left="1166" w:hanging="599"/>
            </w:pPr>
            <w:r w:rsidRPr="00125294">
              <w:t>migrants</w:t>
            </w:r>
          </w:p>
          <w:p w14:paraId="255E9022" w14:textId="77777777" w:rsidR="00C378CC" w:rsidRDefault="00C378CC" w:rsidP="00073BCC">
            <w:pPr>
              <w:pStyle w:val="ListBullet2"/>
              <w:ind w:left="1166" w:hanging="599"/>
            </w:pPr>
            <w:r w:rsidRPr="00125294">
              <w:t>people who are socio</w:t>
            </w:r>
            <w:r>
              <w:t>-</w:t>
            </w:r>
            <w:r w:rsidRPr="00125294">
              <w:t>economically disadvantage</w:t>
            </w:r>
            <w:r>
              <w:t>d</w:t>
            </w:r>
          </w:p>
          <w:p w14:paraId="37CC1C6D" w14:textId="77777777" w:rsidR="00C378CC" w:rsidRDefault="00C378CC" w:rsidP="00073BCC">
            <w:pPr>
              <w:pStyle w:val="ListBullet2"/>
              <w:ind w:left="1166" w:hanging="599"/>
            </w:pPr>
            <w:r w:rsidRPr="00125294">
              <w:t>members of other groups covered by human rights legislation, including anti</w:t>
            </w:r>
            <w:r>
              <w:t>-</w:t>
            </w:r>
            <w:r w:rsidRPr="00125294">
              <w:t>discrimination legislation</w:t>
            </w:r>
          </w:p>
          <w:p w14:paraId="2C6B64A8" w14:textId="77777777" w:rsidR="00C378CC" w:rsidRDefault="00C378CC" w:rsidP="00073BCC">
            <w:pPr>
              <w:pStyle w:val="ListBullet2"/>
              <w:ind w:left="1166" w:hanging="599"/>
            </w:pPr>
            <w:r w:rsidRPr="00125294">
              <w:t>women</w:t>
            </w:r>
          </w:p>
          <w:p w14:paraId="2F013974" w14:textId="77777777" w:rsidR="00C378CC" w:rsidRPr="00073BCC" w:rsidRDefault="00C378CC" w:rsidP="00073BCC">
            <w:pPr>
              <w:pStyle w:val="ListBullet"/>
            </w:pPr>
            <w:r w:rsidRPr="00073BCC">
              <w:t>events which highlight legal issues</w:t>
            </w:r>
          </w:p>
          <w:p w14:paraId="5D05E85D" w14:textId="0010FC65" w:rsidR="00C378CC" w:rsidRPr="00073BCC" w:rsidRDefault="00C378CC" w:rsidP="00073BCC">
            <w:pPr>
              <w:pStyle w:val="ListBullet"/>
            </w:pPr>
            <w:r w:rsidRPr="00073BCC">
              <w:t xml:space="preserve">individuals or groups in conflict with the </w:t>
            </w:r>
            <w:r w:rsidRPr="00073BCC">
              <w:lastRenderedPageBreak/>
              <w:t>state</w:t>
            </w:r>
          </w:p>
          <w:p w14:paraId="46B00DBA" w14:textId="77777777" w:rsidR="00C378CC" w:rsidRPr="000A74D3" w:rsidRDefault="00C378CC" w:rsidP="00073BCC">
            <w:pPr>
              <w:pStyle w:val="ListBullet"/>
            </w:pPr>
            <w:r w:rsidRPr="00073BCC">
              <w:t>criminal or civil cases that raise issues of interest to students.</w:t>
            </w:r>
          </w:p>
        </w:tc>
        <w:tc>
          <w:tcPr>
            <w:tcW w:w="4801" w:type="dxa"/>
            <w:hideMark/>
          </w:tcPr>
          <w:p w14:paraId="6B0B7F85" w14:textId="77777777" w:rsidR="00C378CC" w:rsidRDefault="00C378CC" w:rsidP="00B105B6">
            <w:pPr>
              <w:pStyle w:val="ListBullet"/>
              <w:spacing w:before="120"/>
            </w:pPr>
            <w:r w:rsidRPr="005F759C">
              <w:lastRenderedPageBreak/>
              <w:t xml:space="preserve">examine at least </w:t>
            </w:r>
            <w:r w:rsidRPr="00073BCC">
              <w:rPr>
                <w:rStyle w:val="Strong"/>
              </w:rPr>
              <w:t>two</w:t>
            </w:r>
            <w:r w:rsidRPr="005F759C">
              <w:t xml:space="preserve"> contemporary issues that involve Australian citizen(s) in either a domestic or another jurisdiction</w:t>
            </w:r>
          </w:p>
          <w:p w14:paraId="3328012F" w14:textId="77777777" w:rsidR="00C378CC" w:rsidRDefault="00C378CC" w:rsidP="00B105B6">
            <w:pPr>
              <w:pStyle w:val="ListBullet"/>
              <w:spacing w:before="120"/>
            </w:pPr>
            <w:r w:rsidRPr="005F759C">
              <w:t>describe the legal and non-legal responses to this issue</w:t>
            </w:r>
          </w:p>
          <w:p w14:paraId="20C24942" w14:textId="77777777" w:rsidR="00C378CC" w:rsidRPr="00BF0E1F" w:rsidRDefault="00C378CC" w:rsidP="00B105B6">
            <w:pPr>
              <w:pStyle w:val="ListBullet"/>
              <w:spacing w:before="120"/>
            </w:pPr>
            <w:r w:rsidRPr="005F759C">
              <w:t>evaluate the effectiveness of the legal and non-legal responses to this issue.</w:t>
            </w:r>
            <w:r>
              <w:t xml:space="preserve"> </w:t>
            </w:r>
            <w:r w:rsidRPr="00BF0E1F">
              <w:rPr>
                <w:b/>
                <w:bCs/>
              </w:rPr>
              <w:t>Criteria to evaluate effectiveness could include:</w:t>
            </w:r>
          </w:p>
          <w:p w14:paraId="58813301" w14:textId="77777777" w:rsidR="00C378CC" w:rsidRDefault="00C378CC" w:rsidP="00073BCC">
            <w:pPr>
              <w:pStyle w:val="ListBullet2"/>
              <w:ind w:left="1186" w:hanging="619"/>
            </w:pPr>
            <w:r w:rsidRPr="00BF0E1F">
              <w:t>resource efficiency</w:t>
            </w:r>
          </w:p>
          <w:p w14:paraId="6F8E98E2" w14:textId="77777777" w:rsidR="00C378CC" w:rsidRDefault="00C378CC" w:rsidP="00073BCC">
            <w:pPr>
              <w:pStyle w:val="ListBullet2"/>
              <w:ind w:left="1186" w:hanging="619"/>
            </w:pPr>
            <w:r w:rsidRPr="00BF0E1F">
              <w:t>accessibility</w:t>
            </w:r>
          </w:p>
          <w:p w14:paraId="4C8C090B" w14:textId="77777777" w:rsidR="00C378CC" w:rsidRDefault="00C378CC" w:rsidP="00073BCC">
            <w:pPr>
              <w:pStyle w:val="ListBullet2"/>
              <w:ind w:left="1186" w:hanging="619"/>
            </w:pPr>
            <w:r w:rsidRPr="00BF0E1F">
              <w:t>enforceability</w:t>
            </w:r>
          </w:p>
          <w:p w14:paraId="3343B70D" w14:textId="77777777" w:rsidR="00C378CC" w:rsidRDefault="00C378CC" w:rsidP="00073BCC">
            <w:pPr>
              <w:pStyle w:val="ListBullet2"/>
              <w:ind w:left="1186" w:hanging="619"/>
            </w:pPr>
            <w:r w:rsidRPr="00BF0E1F">
              <w:t>responsiveness</w:t>
            </w:r>
          </w:p>
          <w:p w14:paraId="47D22F36" w14:textId="77777777" w:rsidR="00C378CC" w:rsidRDefault="00C378CC" w:rsidP="00073BCC">
            <w:pPr>
              <w:pStyle w:val="ListBullet2"/>
              <w:ind w:left="1186" w:hanging="619"/>
            </w:pPr>
            <w:r w:rsidRPr="00BF0E1F">
              <w:t>protection of individual rights</w:t>
            </w:r>
          </w:p>
          <w:p w14:paraId="6569FB03" w14:textId="77777777" w:rsidR="00C378CC" w:rsidRDefault="00C378CC" w:rsidP="00073BCC">
            <w:pPr>
              <w:pStyle w:val="ListBullet2"/>
              <w:ind w:left="1186" w:hanging="619"/>
            </w:pPr>
            <w:r w:rsidRPr="00BF0E1F">
              <w:t>meeting society’s needs</w:t>
            </w:r>
          </w:p>
          <w:p w14:paraId="2DCF9E79" w14:textId="77777777" w:rsidR="00C378CC" w:rsidRDefault="00C378CC" w:rsidP="00073BCC">
            <w:pPr>
              <w:pStyle w:val="ListBullet2"/>
              <w:ind w:left="1186" w:hanging="619"/>
            </w:pPr>
            <w:r w:rsidRPr="00BF0E1F">
              <w:t>application of the rule of law</w:t>
            </w:r>
          </w:p>
          <w:p w14:paraId="10FF4F84" w14:textId="77777777" w:rsidR="00C378CC" w:rsidRPr="000A74D3" w:rsidRDefault="00C378CC" w:rsidP="00073BCC">
            <w:pPr>
              <w:pStyle w:val="ListBullet2"/>
              <w:ind w:left="1186" w:hanging="619"/>
            </w:pPr>
            <w:r w:rsidRPr="00BF0E1F">
              <w:t>has justice been achieved?</w:t>
            </w:r>
          </w:p>
        </w:tc>
      </w:tr>
    </w:tbl>
    <w:p w14:paraId="032365B0" w14:textId="77777777" w:rsidR="009D6628" w:rsidRDefault="009D6628">
      <w:pPr>
        <w:suppressAutoHyphens w:val="0"/>
        <w:spacing w:before="0" w:after="160" w:line="259" w:lineRule="auto"/>
        <w:rPr>
          <w:rFonts w:eastAsiaTheme="majorEastAsia"/>
          <w:bCs/>
          <w:color w:val="002664"/>
          <w:sz w:val="36"/>
          <w:szCs w:val="48"/>
        </w:rPr>
      </w:pPr>
      <w:r>
        <w:br w:type="page"/>
      </w:r>
    </w:p>
    <w:p w14:paraId="352C095E" w14:textId="40151069" w:rsidR="00C300E7" w:rsidRPr="0014116A" w:rsidRDefault="00BC57DA" w:rsidP="0014116A">
      <w:pPr>
        <w:pStyle w:val="Heading2"/>
      </w:pPr>
      <w:bookmarkStart w:id="17" w:name="_Toc197941736"/>
      <w:r w:rsidRPr="0014116A">
        <w:lastRenderedPageBreak/>
        <w:t>Groups or individuals suffering disadvantage</w:t>
      </w:r>
      <w:bookmarkEnd w:id="17"/>
    </w:p>
    <w:p w14:paraId="75701D62" w14:textId="45E2EE14" w:rsidR="00C300E7" w:rsidRPr="00D113BA" w:rsidRDefault="00C300E7" w:rsidP="006B3160">
      <w:pPr>
        <w:pStyle w:val="FeatureBox2"/>
      </w:pPr>
      <w:r w:rsidRPr="007C15AB">
        <w:rPr>
          <w:b/>
          <w:bCs/>
        </w:rPr>
        <w:t>Note</w:t>
      </w:r>
      <w:r w:rsidRPr="00073BCC">
        <w:t>:</w:t>
      </w:r>
      <w:r w:rsidRPr="007C15AB">
        <w:t xml:space="preserve"> th</w:t>
      </w:r>
      <w:r>
        <w:t xml:space="preserve">is section of the learning sequence is designed as a framework for </w:t>
      </w:r>
      <w:r w:rsidR="00BC57DA">
        <w:t>teachers</w:t>
      </w:r>
      <w:r>
        <w:t xml:space="preserve"> to explore </w:t>
      </w:r>
      <w:r w:rsidR="00BC57DA">
        <w:t>the experiences of one group experiencing disadvantage</w:t>
      </w:r>
      <w:r>
        <w:t xml:space="preserve"> or support students to investigate </w:t>
      </w:r>
      <w:r w:rsidR="00BC57DA">
        <w:t xml:space="preserve">the experiences of one group experiencing disadvantage </w:t>
      </w:r>
      <w:r>
        <w:t xml:space="preserve">that is of interest to them. The syllabus identifies the following </w:t>
      </w:r>
      <w:r w:rsidR="00BC57DA">
        <w:t xml:space="preserve">groups </w:t>
      </w:r>
      <w:r>
        <w:t>that could be studied:</w:t>
      </w:r>
      <w:r w:rsidR="006B3160">
        <w:t xml:space="preserve"> people who have a mental illness or an intellectual or physical disability, migrants, people who are socio-economically disadvantaged, members of other groups covered by human rights legislation, including anti-discrimination legislation and women.</w:t>
      </w:r>
      <w:r>
        <w:t xml:space="preserve"> </w:t>
      </w:r>
      <w:r w:rsidR="001C6EDD">
        <w:rPr>
          <w:color w:val="000000" w:themeColor="text1"/>
          <w:szCs w:val="22"/>
          <w:lang w:val="en-US"/>
        </w:rPr>
        <w:t>T</w:t>
      </w:r>
      <w:r w:rsidR="001C6EDD" w:rsidRPr="00E56833">
        <w:rPr>
          <w:color w:val="000000" w:themeColor="text1"/>
          <w:szCs w:val="22"/>
          <w:lang w:val="en-US"/>
        </w:rPr>
        <w:t>eachers should consider the</w:t>
      </w:r>
      <w:r w:rsidR="001C6EDD" w:rsidRPr="00E56833">
        <w:rPr>
          <w:rFonts w:eastAsia="Arial"/>
          <w:noProof/>
          <w:szCs w:val="22"/>
        </w:rPr>
        <w:t xml:space="preserve"> </w:t>
      </w:r>
      <w:hyperlink r:id="rId67">
        <w:r w:rsidR="001C6EDD" w:rsidRPr="00E56833">
          <w:rPr>
            <w:rStyle w:val="Hyperlink"/>
            <w:rFonts w:eastAsia="Arial"/>
            <w:noProof/>
            <w:szCs w:val="22"/>
          </w:rPr>
          <w:t xml:space="preserve">Controversial </w:t>
        </w:r>
        <w:r w:rsidR="009D6628">
          <w:rPr>
            <w:rStyle w:val="Hyperlink"/>
            <w:rFonts w:eastAsia="Arial"/>
            <w:noProof/>
            <w:szCs w:val="22"/>
          </w:rPr>
          <w:t>i</w:t>
        </w:r>
        <w:r w:rsidR="001C6EDD" w:rsidRPr="00E56833">
          <w:rPr>
            <w:rStyle w:val="Hyperlink"/>
            <w:rFonts w:eastAsia="Arial"/>
            <w:noProof/>
            <w:szCs w:val="22"/>
          </w:rPr>
          <w:t xml:space="preserve">ssues in </w:t>
        </w:r>
        <w:r w:rsidR="009D6628">
          <w:rPr>
            <w:rStyle w:val="Hyperlink"/>
            <w:rFonts w:eastAsia="Arial"/>
            <w:noProof/>
            <w:szCs w:val="22"/>
          </w:rPr>
          <w:t>s</w:t>
        </w:r>
        <w:r w:rsidR="001C6EDD" w:rsidRPr="00E56833">
          <w:rPr>
            <w:rStyle w:val="Hyperlink"/>
            <w:rFonts w:eastAsia="Arial"/>
            <w:noProof/>
            <w:szCs w:val="22"/>
          </w:rPr>
          <w:t>chools</w:t>
        </w:r>
        <w:r w:rsidR="001C6EDD" w:rsidRPr="0085045D">
          <w:t xml:space="preserve"> policy</w:t>
        </w:r>
      </w:hyperlink>
      <w:r w:rsidR="001C6EDD" w:rsidRPr="00E56833">
        <w:rPr>
          <w:rFonts w:eastAsia="Arial"/>
          <w:noProof/>
          <w:szCs w:val="22"/>
        </w:rPr>
        <w:t xml:space="preserve"> </w:t>
      </w:r>
      <w:r w:rsidR="001C6EDD" w:rsidRPr="00E56833">
        <w:rPr>
          <w:color w:val="000000" w:themeColor="text1"/>
          <w:szCs w:val="22"/>
          <w:lang w:val="en-US"/>
        </w:rPr>
        <w:t>and ensure all material used is appropriate for individual classroom and school context</w:t>
      </w:r>
      <w:r w:rsidR="001C6EDD" w:rsidRPr="00E56833">
        <w:rPr>
          <w:rFonts w:eastAsia="Calibri"/>
          <w:szCs w:val="22"/>
        </w:rPr>
        <w:t>.</w:t>
      </w:r>
    </w:p>
    <w:p w14:paraId="2B2BA509" w14:textId="7BEA9E89" w:rsidR="00C300E7" w:rsidRPr="007C15AB" w:rsidRDefault="008C75A5" w:rsidP="00C300E7">
      <w:pPr>
        <w:pStyle w:val="FeatureBox2"/>
        <w:rPr>
          <w:rFonts w:eastAsia="Arial"/>
          <w:color w:val="000000" w:themeColor="text1"/>
          <w:szCs w:val="22"/>
        </w:rPr>
      </w:pPr>
      <w:r>
        <w:rPr>
          <w:rFonts w:eastAsia="Arial"/>
          <w:color w:val="000000" w:themeColor="text1"/>
          <w:szCs w:val="22"/>
        </w:rPr>
        <w:t>T</w:t>
      </w:r>
      <w:r w:rsidR="00C300E7" w:rsidRPr="007C15AB">
        <w:rPr>
          <w:rFonts w:eastAsia="Arial"/>
          <w:color w:val="000000" w:themeColor="text1"/>
          <w:szCs w:val="22"/>
        </w:rPr>
        <w:t>he learning intentions and success criteria are general and should be contextualised to suit your school and students’ needs.</w:t>
      </w:r>
      <w:r w:rsidR="00C300E7">
        <w:rPr>
          <w:rFonts w:eastAsia="Arial"/>
          <w:color w:val="000000" w:themeColor="text1"/>
          <w:szCs w:val="22"/>
        </w:rPr>
        <w:t xml:space="preserve"> Contextualisation of learning intentions and success criteria is especially important in this section of the learning sequence because it forms a framework for teachers and students to explore contemporary law reform issues that are of interest to them.</w:t>
      </w:r>
      <w:r w:rsidR="00C300E7" w:rsidRPr="007C15AB">
        <w:rPr>
          <w:rFonts w:eastAsia="Arial"/>
          <w:color w:val="000000" w:themeColor="text1"/>
          <w:szCs w:val="22"/>
        </w:rPr>
        <w:t xml:space="preserve"> Success criteria can be differentiated depending on the starting point of diverse students. For more information on this explicit teaching strategy, see </w:t>
      </w:r>
      <w:hyperlink r:id="rId68">
        <w:r w:rsidR="00C300E7" w:rsidRPr="007C15AB">
          <w:rPr>
            <w:rStyle w:val="Hyperlink"/>
            <w:rFonts w:eastAsia="Arial"/>
            <w:szCs w:val="22"/>
          </w:rPr>
          <w:t>Sharing success criteria</w:t>
        </w:r>
      </w:hyperlink>
      <w:r w:rsidR="00C300E7" w:rsidRPr="007C15AB">
        <w:rPr>
          <w:rFonts w:eastAsia="Arial"/>
          <w:color w:val="000000" w:themeColor="text1"/>
          <w:szCs w:val="22"/>
        </w:rPr>
        <w:t>.</w:t>
      </w:r>
    </w:p>
    <w:p w14:paraId="44671C8A" w14:textId="0DED67D6" w:rsidR="00C300E7" w:rsidRPr="007C15AB" w:rsidRDefault="00C300E7" w:rsidP="00F862C4">
      <w:pPr>
        <w:pStyle w:val="Heading3"/>
      </w:pPr>
      <w:bookmarkStart w:id="18" w:name="_Toc197941737"/>
      <w:r w:rsidRPr="007C15AB">
        <w:t>Learning intention</w:t>
      </w:r>
      <w:r w:rsidR="00545086">
        <w:t>s</w:t>
      </w:r>
      <w:bookmarkEnd w:id="18"/>
    </w:p>
    <w:p w14:paraId="42BEC4E8" w14:textId="39B1C0FE" w:rsidR="00C300E7" w:rsidRPr="007C15AB" w:rsidRDefault="00594463" w:rsidP="00C300E7">
      <w:pPr>
        <w:rPr>
          <w:rFonts w:eastAsia="Arial"/>
          <w:color w:val="000000" w:themeColor="text1"/>
          <w:szCs w:val="22"/>
        </w:rPr>
      </w:pPr>
      <w:r>
        <w:rPr>
          <w:rFonts w:eastAsia="Arial"/>
          <w:color w:val="000000" w:themeColor="text1"/>
          <w:szCs w:val="22"/>
        </w:rPr>
        <w:t>We are learning</w:t>
      </w:r>
      <w:r w:rsidR="00C300E7" w:rsidRPr="007C15AB">
        <w:rPr>
          <w:rFonts w:eastAsia="Arial"/>
          <w:color w:val="000000" w:themeColor="text1"/>
          <w:szCs w:val="22"/>
        </w:rPr>
        <w:t>:</w:t>
      </w:r>
    </w:p>
    <w:p w14:paraId="2B94CBE7" w14:textId="381D49DE" w:rsidR="00C300E7" w:rsidRDefault="00594463" w:rsidP="00C300E7">
      <w:pPr>
        <w:pStyle w:val="ListBullet"/>
        <w:rPr>
          <w:szCs w:val="22"/>
        </w:rPr>
      </w:pPr>
      <w:r>
        <w:rPr>
          <w:szCs w:val="22"/>
        </w:rPr>
        <w:t xml:space="preserve">to </w:t>
      </w:r>
      <w:r w:rsidR="00C300E7">
        <w:rPr>
          <w:szCs w:val="22"/>
        </w:rPr>
        <w:t xml:space="preserve">identify a </w:t>
      </w:r>
      <w:r w:rsidR="006B3160">
        <w:t xml:space="preserve">group experiencing disadvantage </w:t>
      </w:r>
      <w:r w:rsidR="00C300E7">
        <w:rPr>
          <w:szCs w:val="22"/>
        </w:rPr>
        <w:t>that is of interest</w:t>
      </w:r>
    </w:p>
    <w:p w14:paraId="065F2BAC" w14:textId="64ADDC1C" w:rsidR="00C300E7" w:rsidRPr="007C15AB" w:rsidRDefault="00594463" w:rsidP="00C300E7">
      <w:pPr>
        <w:pStyle w:val="ListBullet"/>
        <w:rPr>
          <w:szCs w:val="22"/>
        </w:rPr>
      </w:pPr>
      <w:r>
        <w:rPr>
          <w:szCs w:val="22"/>
        </w:rPr>
        <w:t xml:space="preserve">to </w:t>
      </w:r>
      <w:r w:rsidR="00C300E7">
        <w:rPr>
          <w:szCs w:val="22"/>
        </w:rPr>
        <w:t xml:space="preserve">investigate a </w:t>
      </w:r>
      <w:r w:rsidR="006B3160">
        <w:t xml:space="preserve">group experiencing disadvantage </w:t>
      </w:r>
      <w:r w:rsidR="00C300E7">
        <w:rPr>
          <w:szCs w:val="22"/>
        </w:rPr>
        <w:t>that is of interest</w:t>
      </w:r>
      <w:r w:rsidR="00073BCC">
        <w:rPr>
          <w:szCs w:val="22"/>
        </w:rPr>
        <w:t>.</w:t>
      </w:r>
    </w:p>
    <w:p w14:paraId="0C1B154B" w14:textId="77777777" w:rsidR="00C300E7" w:rsidRPr="007C15AB" w:rsidRDefault="00C300E7" w:rsidP="00F862C4">
      <w:pPr>
        <w:pStyle w:val="Heading3"/>
      </w:pPr>
      <w:bookmarkStart w:id="19" w:name="_Toc197941738"/>
      <w:r w:rsidRPr="007C15AB">
        <w:t>Success criteria</w:t>
      </w:r>
      <w:bookmarkEnd w:id="19"/>
    </w:p>
    <w:p w14:paraId="47807EC6" w14:textId="7CCA336C" w:rsidR="00CC1C5C" w:rsidRPr="0037035E" w:rsidRDefault="00594463" w:rsidP="0037035E">
      <w:pPr>
        <w:rPr>
          <w:szCs w:val="22"/>
        </w:rPr>
      </w:pPr>
      <w:r>
        <w:rPr>
          <w:szCs w:val="22"/>
        </w:rPr>
        <w:t>I</w:t>
      </w:r>
      <w:r w:rsidR="00C300E7" w:rsidRPr="009F1091">
        <w:rPr>
          <w:szCs w:val="22"/>
        </w:rPr>
        <w:t xml:space="preserve"> can</w:t>
      </w:r>
      <w:r w:rsidR="00C300E7" w:rsidRPr="007C15AB">
        <w:rPr>
          <w:szCs w:val="22"/>
        </w:rPr>
        <w:t>:</w:t>
      </w:r>
    </w:p>
    <w:p w14:paraId="2A987F62" w14:textId="3B8C0BFF" w:rsidR="00C300E7" w:rsidRPr="0037035E" w:rsidRDefault="0037035E" w:rsidP="0037035E">
      <w:pPr>
        <w:pStyle w:val="ListBullet"/>
        <w:spacing w:before="120"/>
      </w:pPr>
      <w:r>
        <w:rPr>
          <w:szCs w:val="22"/>
        </w:rPr>
        <w:t>c</w:t>
      </w:r>
      <w:r w:rsidR="00CC1C5C">
        <w:rPr>
          <w:szCs w:val="22"/>
        </w:rPr>
        <w:t>reate a graphic organiser</w:t>
      </w:r>
      <w:r w:rsidR="00EF3A30">
        <w:rPr>
          <w:szCs w:val="22"/>
        </w:rPr>
        <w:t xml:space="preserve"> that records</w:t>
      </w:r>
      <w:r w:rsidR="00CA4940" w:rsidRPr="005F759C">
        <w:t xml:space="preserve"> the legal and non-legal responses to </w:t>
      </w:r>
      <w:r w:rsidR="00CA4940">
        <w:t>the chosen group experienc</w:t>
      </w:r>
      <w:r w:rsidR="00EF3A30">
        <w:t>ing</w:t>
      </w:r>
      <w:r w:rsidR="00CA4940">
        <w:t xml:space="preserve"> disadvantage</w:t>
      </w:r>
    </w:p>
    <w:p w14:paraId="4E757074" w14:textId="7C21EA96" w:rsidR="00C300E7" w:rsidRPr="003E1C5E" w:rsidRDefault="00C300E7" w:rsidP="00C300E7">
      <w:pPr>
        <w:pStyle w:val="ListBullet"/>
        <w:rPr>
          <w:rFonts w:eastAsia="Arial"/>
          <w:color w:val="000000" w:themeColor="text1"/>
          <w:szCs w:val="22"/>
        </w:rPr>
      </w:pPr>
      <w:r w:rsidRPr="00760E37">
        <w:rPr>
          <w:rFonts w:eastAsia="Arial"/>
          <w:color w:val="000000" w:themeColor="text1"/>
          <w:szCs w:val="22"/>
        </w:rPr>
        <w:t>write a multi-paragraph response</w:t>
      </w:r>
      <w:r w:rsidR="00EF3A30">
        <w:t xml:space="preserve"> </w:t>
      </w:r>
      <w:r w:rsidR="00EF3A30" w:rsidRPr="005F759C">
        <w:t>evaluat</w:t>
      </w:r>
      <w:r w:rsidR="00EF3A30">
        <w:t>ing</w:t>
      </w:r>
      <w:r w:rsidR="00EF3A30" w:rsidRPr="005F759C">
        <w:t xml:space="preserve"> the effectiveness of the legal and non-legal responses </w:t>
      </w:r>
      <w:r w:rsidR="00EF3A30">
        <w:t xml:space="preserve">to the </w:t>
      </w:r>
      <w:r w:rsidR="0037035E">
        <w:t>chosen group experiencing disadvantage using criteria</w:t>
      </w:r>
      <w:r w:rsidR="00EF3A30" w:rsidRPr="005F759C">
        <w:t>.</w:t>
      </w:r>
    </w:p>
    <w:p w14:paraId="76C7A4B1" w14:textId="2B5ED681" w:rsidR="003E1C5E" w:rsidRPr="00E56833" w:rsidRDefault="003E1C5E" w:rsidP="003E1C5E">
      <w:pPr>
        <w:rPr>
          <w:szCs w:val="22"/>
        </w:rPr>
      </w:pPr>
      <w:r>
        <w:rPr>
          <w:szCs w:val="22"/>
        </w:rPr>
        <w:t>Review</w:t>
      </w:r>
      <w:r w:rsidRPr="00E56833">
        <w:rPr>
          <w:szCs w:val="22"/>
        </w:rPr>
        <w:t xml:space="preserve"> the definitions of the below terms related to </w:t>
      </w:r>
      <w:r>
        <w:rPr>
          <w:szCs w:val="22"/>
        </w:rPr>
        <w:t>the relationship between law and disadvantage</w:t>
      </w:r>
      <w:r w:rsidR="008843DA">
        <w:rPr>
          <w:szCs w:val="22"/>
        </w:rPr>
        <w:t xml:space="preserve"> that you developed at the start of your study of the Law in </w:t>
      </w:r>
      <w:r w:rsidR="001909BE">
        <w:rPr>
          <w:szCs w:val="22"/>
        </w:rPr>
        <w:t>p</w:t>
      </w:r>
      <w:r w:rsidR="008843DA">
        <w:rPr>
          <w:szCs w:val="22"/>
        </w:rPr>
        <w:t>ractice</w:t>
      </w:r>
      <w:r w:rsidR="001909BE">
        <w:rPr>
          <w:szCs w:val="22"/>
        </w:rPr>
        <w:t>:</w:t>
      </w:r>
    </w:p>
    <w:p w14:paraId="64060C0A" w14:textId="77777777" w:rsidR="003E1C5E" w:rsidRPr="00E56833" w:rsidRDefault="003E1C5E" w:rsidP="003E1C5E">
      <w:pPr>
        <w:pStyle w:val="ListBullet"/>
        <w:rPr>
          <w:szCs w:val="22"/>
        </w:rPr>
      </w:pPr>
      <w:r>
        <w:rPr>
          <w:szCs w:val="22"/>
        </w:rPr>
        <w:lastRenderedPageBreak/>
        <w:t>disadvantage</w:t>
      </w:r>
    </w:p>
    <w:p w14:paraId="5708D1A5" w14:textId="77777777" w:rsidR="003E1C5E" w:rsidRDefault="003E1C5E" w:rsidP="003E1C5E">
      <w:pPr>
        <w:pStyle w:val="ListBullet"/>
        <w:rPr>
          <w:szCs w:val="22"/>
        </w:rPr>
      </w:pPr>
      <w:r>
        <w:rPr>
          <w:szCs w:val="22"/>
        </w:rPr>
        <w:t>jurisdiction</w:t>
      </w:r>
    </w:p>
    <w:p w14:paraId="085F8402" w14:textId="77777777" w:rsidR="003E1C5E" w:rsidRDefault="003E1C5E" w:rsidP="003E1C5E">
      <w:pPr>
        <w:pStyle w:val="ListBullet"/>
        <w:rPr>
          <w:szCs w:val="22"/>
        </w:rPr>
      </w:pPr>
      <w:r>
        <w:rPr>
          <w:szCs w:val="22"/>
        </w:rPr>
        <w:t>accessibility</w:t>
      </w:r>
    </w:p>
    <w:p w14:paraId="5357E4C4" w14:textId="77777777" w:rsidR="003E1C5E" w:rsidRDefault="003E1C5E" w:rsidP="003E1C5E">
      <w:pPr>
        <w:pStyle w:val="ListBullet"/>
        <w:rPr>
          <w:szCs w:val="22"/>
        </w:rPr>
      </w:pPr>
      <w:r>
        <w:rPr>
          <w:szCs w:val="22"/>
        </w:rPr>
        <w:t>enforceability</w:t>
      </w:r>
    </w:p>
    <w:p w14:paraId="6DF01B33" w14:textId="77777777" w:rsidR="003E1C5E" w:rsidRDefault="003E1C5E" w:rsidP="003E1C5E">
      <w:pPr>
        <w:pStyle w:val="ListBullet"/>
        <w:rPr>
          <w:szCs w:val="22"/>
        </w:rPr>
      </w:pPr>
      <w:r>
        <w:rPr>
          <w:szCs w:val="22"/>
        </w:rPr>
        <w:t>responsiveness</w:t>
      </w:r>
    </w:p>
    <w:p w14:paraId="2F50783A" w14:textId="297A6519" w:rsidR="003E1C5E" w:rsidRPr="00FA2806" w:rsidRDefault="003E1C5E" w:rsidP="003E1C5E">
      <w:pPr>
        <w:pStyle w:val="ListBullet"/>
        <w:rPr>
          <w:szCs w:val="22"/>
        </w:rPr>
      </w:pPr>
      <w:r>
        <w:rPr>
          <w:szCs w:val="22"/>
        </w:rPr>
        <w:t>resource efficiency</w:t>
      </w:r>
      <w:r w:rsidR="000341E9">
        <w:rPr>
          <w:szCs w:val="22"/>
        </w:rPr>
        <w:t>.</w:t>
      </w:r>
    </w:p>
    <w:p w14:paraId="3D2116EC" w14:textId="6CA25D5C" w:rsidR="003E1C5E" w:rsidRPr="00E56833" w:rsidRDefault="003E1C5E" w:rsidP="003E1C5E">
      <w:pPr>
        <w:rPr>
          <w:szCs w:val="22"/>
        </w:rPr>
      </w:pPr>
      <w:r w:rsidRPr="00E56833">
        <w:rPr>
          <w:szCs w:val="22"/>
        </w:rPr>
        <w:t xml:space="preserve">Collaborate in small groups to </w:t>
      </w:r>
      <w:r w:rsidR="008843DA">
        <w:rPr>
          <w:szCs w:val="22"/>
        </w:rPr>
        <w:t xml:space="preserve">refine your definitions based on the learning that you have completed on disadvantage experienced by Aboriginal and Torres Strait Islander </w:t>
      </w:r>
      <w:r w:rsidR="001909BE">
        <w:rPr>
          <w:szCs w:val="22"/>
        </w:rPr>
        <w:t>p</w:t>
      </w:r>
      <w:r w:rsidR="008843DA">
        <w:rPr>
          <w:szCs w:val="22"/>
        </w:rPr>
        <w:t>eoples.</w:t>
      </w:r>
    </w:p>
    <w:p w14:paraId="39792B02" w14:textId="2F2234A6" w:rsidR="003E1C5E" w:rsidRPr="00E56833" w:rsidRDefault="003E1C5E" w:rsidP="003E1C5E">
      <w:pPr>
        <w:pStyle w:val="FeatureBox2"/>
        <w:rPr>
          <w:szCs w:val="22"/>
          <w:lang w:val="en-US"/>
        </w:rPr>
      </w:pPr>
      <w:r w:rsidRPr="00E56833">
        <w:rPr>
          <w:b/>
          <w:bCs/>
          <w:szCs w:val="22"/>
        </w:rPr>
        <w:t>Note</w:t>
      </w:r>
      <w:r w:rsidRPr="00073BCC">
        <w:rPr>
          <w:szCs w:val="22"/>
        </w:rPr>
        <w:t>:</w:t>
      </w:r>
      <w:r w:rsidRPr="00E56833">
        <w:rPr>
          <w:szCs w:val="22"/>
        </w:rPr>
        <w:t xml:space="preserve"> </w:t>
      </w:r>
      <w:r>
        <w:rPr>
          <w:szCs w:val="22"/>
          <w:lang w:val="en-US"/>
        </w:rPr>
        <w:t>t</w:t>
      </w:r>
      <w:r w:rsidRPr="00E56833">
        <w:rPr>
          <w:szCs w:val="22"/>
          <w:lang w:val="en-US"/>
        </w:rPr>
        <w:t xml:space="preserve">eachers may use the above activity to </w:t>
      </w:r>
      <w:r w:rsidR="002F7E4D">
        <w:rPr>
          <w:szCs w:val="22"/>
          <w:lang w:val="en-US"/>
        </w:rPr>
        <w:t>re-</w:t>
      </w:r>
      <w:r w:rsidRPr="00E56833">
        <w:rPr>
          <w:szCs w:val="22"/>
          <w:lang w:val="en-US"/>
        </w:rPr>
        <w:t>assess student preparedness to distinguish between</w:t>
      </w:r>
      <w:r>
        <w:rPr>
          <w:szCs w:val="22"/>
          <w:lang w:val="en-US"/>
        </w:rPr>
        <w:t xml:space="preserve"> criteria for assessing the effectiveness of the law</w:t>
      </w:r>
      <w:r w:rsidRPr="00E56833">
        <w:rPr>
          <w:szCs w:val="22"/>
          <w:lang w:val="en-US"/>
        </w:rPr>
        <w:t>, given the level of complexity of the definitions. For EAL/D students, consider using visuals to support this language-dependent activity to help build conceptual understanding and to connect student</w:t>
      </w:r>
      <w:r>
        <w:rPr>
          <w:szCs w:val="22"/>
          <w:lang w:val="en-US"/>
        </w:rPr>
        <w:t>s</w:t>
      </w:r>
      <w:r w:rsidRPr="00E56833">
        <w:rPr>
          <w:szCs w:val="22"/>
          <w:lang w:val="en-US"/>
        </w:rPr>
        <w:t xml:space="preserve"> with their prior learning. EAL/D students who speak the same home language </w:t>
      </w:r>
      <w:r w:rsidR="00101E6E">
        <w:rPr>
          <w:szCs w:val="22"/>
          <w:lang w:val="en-US"/>
        </w:rPr>
        <w:t xml:space="preserve">could be given </w:t>
      </w:r>
      <w:r w:rsidRPr="00E56833">
        <w:rPr>
          <w:szCs w:val="22"/>
          <w:lang w:val="en-US"/>
        </w:rPr>
        <w:t>an opportunity to discuss the definitions in their own language first. Teachers should use gradual release of responsibility throughout the activity, including moving between modelled, guided and independent practice.</w:t>
      </w:r>
    </w:p>
    <w:p w14:paraId="48D92B8C" w14:textId="0C2FCAD9" w:rsidR="002F7E4D" w:rsidRDefault="002F7E4D" w:rsidP="003E1C5E">
      <w:pPr>
        <w:rPr>
          <w:szCs w:val="22"/>
        </w:rPr>
      </w:pPr>
      <w:r>
        <w:rPr>
          <w:szCs w:val="22"/>
        </w:rPr>
        <w:t xml:space="preserve">Conduct a </w:t>
      </w:r>
      <w:hyperlink r:id="rId69" w:history="1">
        <w:r w:rsidR="001909BE">
          <w:rPr>
            <w:rStyle w:val="Hyperlink"/>
            <w:szCs w:val="22"/>
          </w:rPr>
          <w:t>Think-Pair-Share</w:t>
        </w:r>
      </w:hyperlink>
      <w:r>
        <w:rPr>
          <w:szCs w:val="22"/>
        </w:rPr>
        <w:t xml:space="preserve"> </w:t>
      </w:r>
      <w:r w:rsidR="001909BE">
        <w:rPr>
          <w:szCs w:val="22"/>
        </w:rPr>
        <w:t xml:space="preserve">routine </w:t>
      </w:r>
      <w:r>
        <w:rPr>
          <w:szCs w:val="22"/>
        </w:rPr>
        <w:t>where you compare and discuss the revisions that you have made to your definition of ‘disadvantage’.</w:t>
      </w:r>
    </w:p>
    <w:p w14:paraId="0D71D1B6" w14:textId="6D52DB0C" w:rsidR="003E1C5E" w:rsidRPr="00E56833" w:rsidRDefault="00AA5227" w:rsidP="003E1C5E">
      <w:pPr>
        <w:rPr>
          <w:szCs w:val="22"/>
        </w:rPr>
      </w:pPr>
      <w:r>
        <w:rPr>
          <w:szCs w:val="22"/>
        </w:rPr>
        <w:t xml:space="preserve">Return to your list of 10 social determinants of health that are identified by the World Health Organisation (WHO) sourced from the </w:t>
      </w:r>
      <w:hyperlink r:id="rId70" w:history="1">
        <w:r w:rsidR="003E1C5E" w:rsidRPr="00D0340C">
          <w:rPr>
            <w:rStyle w:val="Hyperlink"/>
          </w:rPr>
          <w:t>Social determinants of health</w:t>
        </w:r>
      </w:hyperlink>
      <w:r w:rsidR="003E1C5E">
        <w:t xml:space="preserve"> </w:t>
      </w:r>
      <w:r>
        <w:t xml:space="preserve">page and </w:t>
      </w:r>
      <w:r w:rsidR="003E1C5E" w:rsidRPr="00E56833">
        <w:rPr>
          <w:szCs w:val="22"/>
        </w:rPr>
        <w:t>then</w:t>
      </w:r>
      <w:r>
        <w:rPr>
          <w:szCs w:val="22"/>
        </w:rPr>
        <w:t xml:space="preserve"> complete</w:t>
      </w:r>
      <w:r w:rsidR="003E1C5E" w:rsidRPr="00E56833">
        <w:rPr>
          <w:szCs w:val="22"/>
        </w:rPr>
        <w:t xml:space="preserve"> the following </w:t>
      </w:r>
      <w:r>
        <w:rPr>
          <w:szCs w:val="22"/>
        </w:rPr>
        <w:t>tasks</w:t>
      </w:r>
      <w:r w:rsidR="003E1C5E" w:rsidRPr="00E56833">
        <w:rPr>
          <w:szCs w:val="22"/>
        </w:rPr>
        <w:t>:</w:t>
      </w:r>
    </w:p>
    <w:p w14:paraId="6E2091AE" w14:textId="05227E39" w:rsidR="003E1C5E" w:rsidRPr="00E56833" w:rsidRDefault="003E1C5E" w:rsidP="003E1C5E">
      <w:pPr>
        <w:pStyle w:val="ListBullet"/>
        <w:rPr>
          <w:szCs w:val="22"/>
        </w:rPr>
      </w:pPr>
      <w:r>
        <w:rPr>
          <w:szCs w:val="22"/>
        </w:rPr>
        <w:t>Choose 3 social determinants of health on your list</w:t>
      </w:r>
      <w:r w:rsidR="00E00D1B">
        <w:rPr>
          <w:szCs w:val="22"/>
        </w:rPr>
        <w:t xml:space="preserve"> that you have not yet written about</w:t>
      </w:r>
      <w:r>
        <w:rPr>
          <w:szCs w:val="22"/>
        </w:rPr>
        <w:t xml:space="preserve"> and write a </w:t>
      </w:r>
      <w:r w:rsidR="001909BE">
        <w:rPr>
          <w:szCs w:val="22"/>
        </w:rPr>
        <w:t>one</w:t>
      </w:r>
      <w:r>
        <w:rPr>
          <w:szCs w:val="22"/>
        </w:rPr>
        <w:t>-sentence explanation for each about how the legal system contributes to that determinant. For example, the law can support job security by prohibiting unfair dismissal.</w:t>
      </w:r>
    </w:p>
    <w:p w14:paraId="7281A849" w14:textId="3CDC0BE1" w:rsidR="003E1C5E" w:rsidRPr="005D42AE" w:rsidRDefault="003E1C5E" w:rsidP="003E1C5E">
      <w:pPr>
        <w:pStyle w:val="ListBullet"/>
        <w:rPr>
          <w:szCs w:val="22"/>
        </w:rPr>
      </w:pPr>
      <w:r>
        <w:rPr>
          <w:szCs w:val="22"/>
        </w:rPr>
        <w:t>Use your examples to explain why the legal system might contribute to advantage or, alternatively, disadvantage.</w:t>
      </w:r>
    </w:p>
    <w:p w14:paraId="7321DDE5" w14:textId="77777777" w:rsidR="003E1C5E" w:rsidRPr="00E56833" w:rsidRDefault="003E1C5E" w:rsidP="003E1C5E">
      <w:pPr>
        <w:pStyle w:val="FeatureBox"/>
        <w:rPr>
          <w:b/>
          <w:bCs/>
          <w:szCs w:val="22"/>
        </w:rPr>
      </w:pPr>
      <w:r>
        <w:rPr>
          <w:b/>
          <w:bCs/>
          <w:szCs w:val="22"/>
        </w:rPr>
        <w:t>Advantage, disadvantage and the legal system</w:t>
      </w:r>
    </w:p>
    <w:p w14:paraId="754A9140" w14:textId="43D1D09A" w:rsidR="003E1C5E" w:rsidRPr="001C350B" w:rsidRDefault="003E1C5E" w:rsidP="003E1C5E">
      <w:pPr>
        <w:pStyle w:val="FeatureBox"/>
        <w:rPr>
          <w:szCs w:val="22"/>
        </w:rPr>
      </w:pPr>
      <w:r>
        <w:rPr>
          <w:szCs w:val="22"/>
        </w:rPr>
        <w:lastRenderedPageBreak/>
        <w:t>One of the social resources that contributes to a person’s advantage or disadvantage is their ability to understand, interact with and make use of the legal system.</w:t>
      </w:r>
    </w:p>
    <w:p w14:paraId="48B33637" w14:textId="5F33BE1F" w:rsidR="003E1C5E" w:rsidRPr="003E74D8" w:rsidRDefault="003E1C5E" w:rsidP="003E1C5E">
      <w:pPr>
        <w:pStyle w:val="FeatureBox2"/>
        <w:rPr>
          <w:rFonts w:eastAsia="Calibri"/>
          <w:szCs w:val="22"/>
        </w:rPr>
      </w:pPr>
      <w:r w:rsidRPr="00E56833">
        <w:rPr>
          <w:rFonts w:eastAsia="Calibri"/>
          <w:b/>
          <w:bCs/>
          <w:szCs w:val="22"/>
        </w:rPr>
        <w:t>Note</w:t>
      </w:r>
      <w:r w:rsidRPr="00073BCC">
        <w:rPr>
          <w:rFonts w:eastAsia="Calibri"/>
          <w:szCs w:val="22"/>
        </w:rPr>
        <w:t>:</w:t>
      </w:r>
      <w:r w:rsidRPr="00E56833">
        <w:rPr>
          <w:rFonts w:eastAsia="Calibri"/>
          <w:szCs w:val="22"/>
        </w:rPr>
        <w:t xml:space="preserve"> </w:t>
      </w:r>
      <w:r>
        <w:rPr>
          <w:color w:val="000000" w:themeColor="text1"/>
          <w:szCs w:val="22"/>
          <w:lang w:val="en-US"/>
        </w:rPr>
        <w:t>t</w:t>
      </w:r>
      <w:r w:rsidRPr="00E56833">
        <w:rPr>
          <w:color w:val="000000" w:themeColor="text1"/>
          <w:szCs w:val="22"/>
          <w:lang w:val="en-US"/>
        </w:rPr>
        <w:t>eachers should consider the</w:t>
      </w:r>
      <w:r w:rsidRPr="00E56833">
        <w:rPr>
          <w:rFonts w:eastAsia="Arial"/>
          <w:noProof/>
          <w:szCs w:val="22"/>
        </w:rPr>
        <w:t xml:space="preserve"> </w:t>
      </w:r>
      <w:hyperlink r:id="rId71">
        <w:r w:rsidRPr="00E56833">
          <w:rPr>
            <w:rStyle w:val="Hyperlink"/>
            <w:rFonts w:eastAsia="Arial"/>
            <w:noProof/>
            <w:szCs w:val="22"/>
          </w:rPr>
          <w:t xml:space="preserve">Controversial </w:t>
        </w:r>
        <w:r w:rsidR="00400768">
          <w:rPr>
            <w:rStyle w:val="Hyperlink"/>
            <w:rFonts w:eastAsia="Arial"/>
            <w:noProof/>
            <w:szCs w:val="22"/>
          </w:rPr>
          <w:t>i</w:t>
        </w:r>
        <w:r w:rsidRPr="00E56833">
          <w:rPr>
            <w:rStyle w:val="Hyperlink"/>
            <w:rFonts w:eastAsia="Arial"/>
            <w:noProof/>
            <w:szCs w:val="22"/>
          </w:rPr>
          <w:t xml:space="preserve">ssues in </w:t>
        </w:r>
        <w:r w:rsidR="00400768">
          <w:rPr>
            <w:rStyle w:val="Hyperlink"/>
            <w:rFonts w:eastAsia="Arial"/>
            <w:noProof/>
            <w:szCs w:val="22"/>
          </w:rPr>
          <w:t>s</w:t>
        </w:r>
        <w:r w:rsidRPr="00E56833">
          <w:rPr>
            <w:rStyle w:val="Hyperlink"/>
            <w:rFonts w:eastAsia="Arial"/>
            <w:noProof/>
            <w:szCs w:val="22"/>
          </w:rPr>
          <w:t>chools</w:t>
        </w:r>
        <w:r w:rsidRPr="0085045D">
          <w:t xml:space="preserve"> policy</w:t>
        </w:r>
      </w:hyperlink>
      <w:r w:rsidRPr="00E56833">
        <w:rPr>
          <w:rFonts w:eastAsia="Arial"/>
          <w:noProof/>
          <w:szCs w:val="22"/>
        </w:rPr>
        <w:t xml:space="preserve"> </w:t>
      </w:r>
      <w:r w:rsidRPr="00E56833">
        <w:rPr>
          <w:color w:val="000000" w:themeColor="text1"/>
          <w:szCs w:val="22"/>
          <w:lang w:val="en-US"/>
        </w:rPr>
        <w:t>and ensure all material</w:t>
      </w:r>
      <w:r>
        <w:rPr>
          <w:color w:val="000000" w:themeColor="text1"/>
          <w:szCs w:val="22"/>
          <w:lang w:val="en-US"/>
        </w:rPr>
        <w:t xml:space="preserve"> related to disadvantage</w:t>
      </w:r>
      <w:r w:rsidRPr="00E56833">
        <w:rPr>
          <w:color w:val="000000" w:themeColor="text1"/>
          <w:szCs w:val="22"/>
          <w:lang w:val="en-US"/>
        </w:rPr>
        <w:t xml:space="preserve"> is appropriate for individual classroom and school context</w:t>
      </w:r>
      <w:r w:rsidRPr="00E56833">
        <w:rPr>
          <w:rFonts w:eastAsia="Calibri"/>
          <w:szCs w:val="22"/>
        </w:rPr>
        <w:t>.</w:t>
      </w:r>
    </w:p>
    <w:p w14:paraId="1E33C076" w14:textId="77A472F7" w:rsidR="003E1C5E" w:rsidRPr="00B76A66" w:rsidRDefault="003E1C5E" w:rsidP="003E1C5E">
      <w:pPr>
        <w:pStyle w:val="ListBullet"/>
        <w:numPr>
          <w:ilvl w:val="0"/>
          <w:numId w:val="0"/>
        </w:numPr>
        <w:rPr>
          <w:szCs w:val="22"/>
        </w:rPr>
      </w:pPr>
      <w:r>
        <w:rPr>
          <w:szCs w:val="22"/>
        </w:rPr>
        <w:t xml:space="preserve">Take notes as the teacher </w:t>
      </w:r>
      <w:r w:rsidR="00880BA2">
        <w:rPr>
          <w:szCs w:val="22"/>
        </w:rPr>
        <w:t xml:space="preserve">reteaches about </w:t>
      </w:r>
      <w:r>
        <w:rPr>
          <w:szCs w:val="22"/>
        </w:rPr>
        <w:t>the relationship between advantage, disadvantage and the legal system.</w:t>
      </w:r>
    </w:p>
    <w:p w14:paraId="426B3899" w14:textId="599DC7A8" w:rsidR="003E1C5E" w:rsidRDefault="003E1C5E" w:rsidP="003E1C5E">
      <w:pPr>
        <w:rPr>
          <w:szCs w:val="22"/>
        </w:rPr>
      </w:pPr>
      <w:r>
        <w:rPr>
          <w:szCs w:val="22"/>
        </w:rPr>
        <w:t>Using the</w:t>
      </w:r>
      <w:r w:rsidR="00880BA2">
        <w:rPr>
          <w:szCs w:val="22"/>
        </w:rPr>
        <w:t xml:space="preserve"> additional</w:t>
      </w:r>
      <w:r>
        <w:rPr>
          <w:szCs w:val="22"/>
        </w:rPr>
        <w:t xml:space="preserve"> work that you have done on social determinants of health, </w:t>
      </w:r>
      <w:r w:rsidR="00880BA2">
        <w:rPr>
          <w:szCs w:val="22"/>
        </w:rPr>
        <w:t xml:space="preserve">conduct a second </w:t>
      </w:r>
      <w:r>
        <w:rPr>
          <w:szCs w:val="22"/>
        </w:rPr>
        <w:t xml:space="preserve">brainstorm </w:t>
      </w:r>
      <w:r w:rsidR="00880BA2">
        <w:rPr>
          <w:szCs w:val="22"/>
        </w:rPr>
        <w:t xml:space="preserve">of </w:t>
      </w:r>
      <w:r>
        <w:rPr>
          <w:szCs w:val="22"/>
        </w:rPr>
        <w:t xml:space="preserve">all of reasons why a person might experience disadvantage in relation to the legal system. Create a </w:t>
      </w:r>
      <w:hyperlink r:id="rId72" w:history="1">
        <w:r w:rsidRPr="00572728">
          <w:rPr>
            <w:rStyle w:val="Hyperlink"/>
            <w:szCs w:val="22"/>
          </w:rPr>
          <w:t>concept map</w:t>
        </w:r>
      </w:hyperlink>
      <w:r>
        <w:rPr>
          <w:szCs w:val="22"/>
        </w:rPr>
        <w:t xml:space="preserve"> to record your thoughts.</w:t>
      </w:r>
    </w:p>
    <w:p w14:paraId="2667153C" w14:textId="1221D7E3" w:rsidR="003E1C5E" w:rsidRDefault="003E1C5E" w:rsidP="003E1C5E">
      <w:pPr>
        <w:rPr>
          <w:szCs w:val="22"/>
        </w:rPr>
      </w:pPr>
      <w:r>
        <w:rPr>
          <w:szCs w:val="22"/>
        </w:rPr>
        <w:t>Conduct independent research on one of the reasons that you identified above to explain why a person might experience disadvantage in relation to the legal system. Determine whether your explanation of disadvantage involves any of the following criteria that define the effectiveness of the law:</w:t>
      </w:r>
    </w:p>
    <w:p w14:paraId="1EA9EE0F" w14:textId="77777777" w:rsidR="00880BA2" w:rsidRDefault="00880BA2" w:rsidP="00880BA2">
      <w:pPr>
        <w:pStyle w:val="ListBullet"/>
        <w:rPr>
          <w:szCs w:val="22"/>
        </w:rPr>
      </w:pPr>
      <w:r w:rsidRPr="00BF0E1F">
        <w:t>protection of individual rights</w:t>
      </w:r>
    </w:p>
    <w:p w14:paraId="0F9269A7" w14:textId="77777777" w:rsidR="00880BA2" w:rsidRDefault="00880BA2" w:rsidP="00880BA2">
      <w:pPr>
        <w:pStyle w:val="ListBullet"/>
        <w:rPr>
          <w:szCs w:val="22"/>
        </w:rPr>
      </w:pPr>
      <w:r w:rsidRPr="00BF0E1F">
        <w:t>meeting society’s needs</w:t>
      </w:r>
    </w:p>
    <w:p w14:paraId="25B84EDF" w14:textId="77777777" w:rsidR="00880BA2" w:rsidRDefault="00880BA2" w:rsidP="00880BA2">
      <w:pPr>
        <w:pStyle w:val="ListBullet"/>
        <w:rPr>
          <w:szCs w:val="22"/>
        </w:rPr>
      </w:pPr>
      <w:r w:rsidRPr="00BF0E1F">
        <w:t>application of the rule of law</w:t>
      </w:r>
    </w:p>
    <w:p w14:paraId="518E1CE7" w14:textId="5B7AA96C" w:rsidR="003E1C5E" w:rsidRPr="00880BA2" w:rsidRDefault="00880BA2" w:rsidP="00880BA2">
      <w:pPr>
        <w:pStyle w:val="ListBullet"/>
        <w:rPr>
          <w:szCs w:val="22"/>
        </w:rPr>
      </w:pPr>
      <w:r w:rsidRPr="00BF0E1F">
        <w:t>has justice been achieved</w:t>
      </w:r>
      <w:r w:rsidR="00E00D17">
        <w:t>.</w:t>
      </w:r>
    </w:p>
    <w:p w14:paraId="6424AACA" w14:textId="1FD52020" w:rsidR="00880BA2" w:rsidRDefault="00880BA2" w:rsidP="00880BA2">
      <w:pPr>
        <w:pStyle w:val="ListBullet"/>
        <w:numPr>
          <w:ilvl w:val="0"/>
          <w:numId w:val="0"/>
        </w:numPr>
      </w:pPr>
      <w:r>
        <w:t xml:space="preserve">Create an </w:t>
      </w:r>
      <w:hyperlink r:id="rId73" w:history="1">
        <w:r w:rsidRPr="00781730">
          <w:rPr>
            <w:rStyle w:val="Hyperlink"/>
            <w:szCs w:val="22"/>
          </w:rPr>
          <w:t>affinity diagram</w:t>
        </w:r>
      </w:hyperlink>
      <w:r>
        <w:t xml:space="preserve"> to organise your findings regarding your chosen</w:t>
      </w:r>
      <w:r w:rsidRPr="00A75F2B">
        <w:t xml:space="preserve"> </w:t>
      </w:r>
      <w:r>
        <w:t>reason that explains why a person might experience disadvantage in relation to the legal system. Identify on your diagram which of the above criteria you think is most influential in generating disadvantage.</w:t>
      </w:r>
    </w:p>
    <w:p w14:paraId="4CF372C5" w14:textId="5273615E" w:rsidR="00880BA2" w:rsidRDefault="00880BA2" w:rsidP="00880BA2">
      <w:pPr>
        <w:pStyle w:val="ListBullet"/>
        <w:numPr>
          <w:ilvl w:val="0"/>
          <w:numId w:val="0"/>
        </w:numPr>
      </w:pPr>
      <w:r>
        <w:t xml:space="preserve">Conduct a </w:t>
      </w:r>
      <w:hyperlink r:id="rId74" w:history="1">
        <w:r w:rsidRPr="00D60C0F">
          <w:rPr>
            <w:rStyle w:val="Hyperlink"/>
          </w:rPr>
          <w:t>gallery walk</w:t>
        </w:r>
      </w:hyperlink>
      <w:r>
        <w:t xml:space="preserve"> to examine the diagrams created by the class. Create a tally on your diagram during the walk of the criteria that were identified as most influential in contributing to disadvantage.</w:t>
      </w:r>
    </w:p>
    <w:p w14:paraId="3286C0A4" w14:textId="3A981E43" w:rsidR="00880BA2" w:rsidRDefault="00880BA2" w:rsidP="00880BA2">
      <w:pPr>
        <w:pStyle w:val="ListBullet"/>
        <w:numPr>
          <w:ilvl w:val="0"/>
          <w:numId w:val="0"/>
        </w:numPr>
      </w:pPr>
      <w:r>
        <w:t xml:space="preserve">Engage in a </w:t>
      </w:r>
      <w:hyperlink r:id="rId75" w:history="1">
        <w:r w:rsidR="001A1EF8">
          <w:rPr>
            <w:rStyle w:val="Hyperlink"/>
            <w:szCs w:val="22"/>
          </w:rPr>
          <w:t>Think-Pair-Share</w:t>
        </w:r>
      </w:hyperlink>
      <w:r>
        <w:t xml:space="preserve"> </w:t>
      </w:r>
      <w:r w:rsidR="001A1EF8">
        <w:t xml:space="preserve">routine </w:t>
      </w:r>
      <w:r>
        <w:t>with a peer. Compare your tallies and discuss why certain criteria were more influential in contributing to disadvantage than others given the reasons for disadvantage that were selected by the class.</w:t>
      </w:r>
    </w:p>
    <w:p w14:paraId="62236F2D" w14:textId="208F1F3D" w:rsidR="003E1C5E" w:rsidRDefault="00880BA2" w:rsidP="00880BA2">
      <w:pPr>
        <w:pStyle w:val="FeatureBox2"/>
        <w:rPr>
          <w:rFonts w:eastAsia="Arial"/>
          <w:color w:val="000000" w:themeColor="text1"/>
          <w:szCs w:val="22"/>
        </w:rPr>
      </w:pPr>
      <w:r w:rsidRPr="007C15AB">
        <w:rPr>
          <w:b/>
          <w:bCs/>
        </w:rPr>
        <w:lastRenderedPageBreak/>
        <w:t>Note</w:t>
      </w:r>
      <w:r w:rsidRPr="00073BCC">
        <w:t>:</w:t>
      </w:r>
      <w:r w:rsidRPr="007C15AB">
        <w:t xml:space="preserve"> th</w:t>
      </w:r>
      <w:r>
        <w:t>e activities below are designed as a framework for teachers to explore the experiences of one group experiencing disadvantage or support students to investigate the experiences of one group experiencing disadvantage that is of interest to them.</w:t>
      </w:r>
      <w:r w:rsidR="0061461E">
        <w:t xml:space="preserve"> Teachers should support students via a gradual release of responsibility throughout the research process and, wherever possible, model the required skill before co-enacting the skill and then fostering the student’s independent practice.</w:t>
      </w:r>
    </w:p>
    <w:p w14:paraId="2E06F90E" w14:textId="0CB6749C" w:rsidR="0029757C" w:rsidRDefault="005A44E3" w:rsidP="005A44E3">
      <w:r>
        <w:rPr>
          <w:szCs w:val="22"/>
        </w:rPr>
        <w:t>E</w:t>
      </w:r>
      <w:r w:rsidR="00C300E7">
        <w:rPr>
          <w:szCs w:val="22"/>
        </w:rPr>
        <w:t>xamine the list o</w:t>
      </w:r>
      <w:r>
        <w:rPr>
          <w:szCs w:val="22"/>
        </w:rPr>
        <w:t xml:space="preserve">f </w:t>
      </w:r>
      <w:r>
        <w:t>groups that</w:t>
      </w:r>
      <w:r w:rsidR="0029757C">
        <w:t xml:space="preserve"> the syllabus defines as</w:t>
      </w:r>
      <w:r>
        <w:t xml:space="preserve"> experienc</w:t>
      </w:r>
      <w:r w:rsidR="0029757C">
        <w:t>ing</w:t>
      </w:r>
      <w:r>
        <w:t xml:space="preserve"> disadvantage</w:t>
      </w:r>
      <w:r w:rsidR="0029757C">
        <w:t xml:space="preserve"> to decide on a group to study</w:t>
      </w:r>
      <w:r>
        <w:t>:</w:t>
      </w:r>
    </w:p>
    <w:p w14:paraId="71FD5586" w14:textId="557D8E12" w:rsidR="0029757C" w:rsidRPr="0029757C" w:rsidRDefault="005A44E3" w:rsidP="0029757C">
      <w:pPr>
        <w:pStyle w:val="ListBullet"/>
        <w:rPr>
          <w:szCs w:val="22"/>
        </w:rPr>
      </w:pPr>
      <w:r>
        <w:t>people who have a mental illness or an intellectual or physical disability</w:t>
      </w:r>
    </w:p>
    <w:p w14:paraId="52270D06" w14:textId="1374A868" w:rsidR="0029757C" w:rsidRPr="0029757C" w:rsidRDefault="005A44E3" w:rsidP="0029757C">
      <w:pPr>
        <w:pStyle w:val="ListBullet"/>
        <w:rPr>
          <w:szCs w:val="22"/>
        </w:rPr>
      </w:pPr>
      <w:r>
        <w:t>migrants</w:t>
      </w:r>
    </w:p>
    <w:p w14:paraId="0113AEE6" w14:textId="27B58E1B" w:rsidR="0029757C" w:rsidRPr="0029757C" w:rsidRDefault="005A44E3" w:rsidP="0029757C">
      <w:pPr>
        <w:pStyle w:val="ListBullet"/>
        <w:rPr>
          <w:szCs w:val="22"/>
        </w:rPr>
      </w:pPr>
      <w:r>
        <w:t>people who are socio-economically disadvantaged</w:t>
      </w:r>
    </w:p>
    <w:p w14:paraId="2D512385" w14:textId="06233BFC" w:rsidR="0029757C" w:rsidRPr="00CF75F9" w:rsidRDefault="005A44E3" w:rsidP="0029757C">
      <w:pPr>
        <w:pStyle w:val="ListBullet"/>
        <w:rPr>
          <w:szCs w:val="22"/>
        </w:rPr>
      </w:pPr>
      <w:r>
        <w:t>members of other groups covered by human rights legislation, including anti-discrimination legislation</w:t>
      </w:r>
      <w:r w:rsidR="00CF75F9">
        <w:t>, these might include</w:t>
      </w:r>
    </w:p>
    <w:p w14:paraId="3AA407FC" w14:textId="26D8E1A5" w:rsidR="00CF75F9" w:rsidRDefault="00CF75F9" w:rsidP="00073BCC">
      <w:pPr>
        <w:pStyle w:val="ListBullet2"/>
        <w:ind w:left="1134" w:hanging="567"/>
      </w:pPr>
      <w:r>
        <w:t>older</w:t>
      </w:r>
      <w:r w:rsidR="00B53598">
        <w:t xml:space="preserve"> and younger</w:t>
      </w:r>
      <w:r>
        <w:t xml:space="preserve"> people</w:t>
      </w:r>
    </w:p>
    <w:p w14:paraId="743ECD43" w14:textId="7DB8D4F6" w:rsidR="00E27184" w:rsidRDefault="00E27184" w:rsidP="00073BCC">
      <w:pPr>
        <w:pStyle w:val="ListBullet2"/>
        <w:ind w:left="1134" w:hanging="567"/>
      </w:pPr>
      <w:r>
        <w:t>people of diverse ethnic backgrounds</w:t>
      </w:r>
    </w:p>
    <w:p w14:paraId="2D1AFD31" w14:textId="499453DA" w:rsidR="008A683A" w:rsidRDefault="008A683A" w:rsidP="00073BCC">
      <w:pPr>
        <w:pStyle w:val="ListBullet2"/>
        <w:ind w:left="1134" w:hanging="567"/>
      </w:pPr>
      <w:r>
        <w:t xml:space="preserve">people </w:t>
      </w:r>
      <w:r w:rsidR="00B53598">
        <w:t>with religious beliefs</w:t>
      </w:r>
    </w:p>
    <w:p w14:paraId="58736051" w14:textId="0590A25E" w:rsidR="007E2B89" w:rsidRDefault="007E2B89" w:rsidP="00073BCC">
      <w:pPr>
        <w:pStyle w:val="ListBullet2"/>
        <w:ind w:left="1134" w:hanging="567"/>
      </w:pPr>
      <w:r>
        <w:t>LGBTQI+ people</w:t>
      </w:r>
    </w:p>
    <w:p w14:paraId="5F9CBDA0" w14:textId="4D83AA03" w:rsidR="005A44E3" w:rsidRPr="005D7008" w:rsidRDefault="005A44E3" w:rsidP="005A44E3">
      <w:pPr>
        <w:pStyle w:val="ListBullet"/>
        <w:rPr>
          <w:szCs w:val="22"/>
        </w:rPr>
      </w:pPr>
      <w:r>
        <w:t>women.</w:t>
      </w:r>
    </w:p>
    <w:p w14:paraId="53BF62A6" w14:textId="0FBDC052" w:rsidR="00C300E7" w:rsidRPr="00C33890" w:rsidRDefault="00C300E7" w:rsidP="00C300E7">
      <w:pPr>
        <w:pStyle w:val="FeatureBox2"/>
      </w:pPr>
      <w:r w:rsidRPr="00E56833">
        <w:rPr>
          <w:b/>
          <w:bCs/>
          <w:szCs w:val="22"/>
        </w:rPr>
        <w:t>Note</w:t>
      </w:r>
      <w:r w:rsidRPr="009C4761">
        <w:rPr>
          <w:szCs w:val="22"/>
        </w:rPr>
        <w:t xml:space="preserve">: </w:t>
      </w:r>
      <w:r>
        <w:t xml:space="preserve">the teacher should provide each student with </w:t>
      </w:r>
      <w:r w:rsidR="001511AF">
        <w:t>one</w:t>
      </w:r>
      <w:r>
        <w:t xml:space="preserve"> hardcopy of Table 5 prior to completing the activity below.</w:t>
      </w:r>
    </w:p>
    <w:p w14:paraId="3B8DE649" w14:textId="2E9EC9A4" w:rsidR="00C300E7" w:rsidRPr="009C4761" w:rsidRDefault="00C300E7" w:rsidP="009C4761">
      <w:pPr>
        <w:rPr>
          <w:szCs w:val="22"/>
        </w:rPr>
      </w:pPr>
      <w:r>
        <w:rPr>
          <w:szCs w:val="22"/>
        </w:rPr>
        <w:t xml:space="preserve">Work individually to complete Table 5 for </w:t>
      </w:r>
      <w:r w:rsidR="00E4742B">
        <w:rPr>
          <w:szCs w:val="22"/>
        </w:rPr>
        <w:t>each</w:t>
      </w:r>
      <w:r w:rsidR="005A0FED">
        <w:rPr>
          <w:szCs w:val="22"/>
        </w:rPr>
        <w:t xml:space="preserve"> group </w:t>
      </w:r>
      <w:r w:rsidR="00D169AB">
        <w:t xml:space="preserve">that the syllabus defines as experiencing disadvantage. You will need to conduct independent research to identify each group’s key experiences of disadvantage and assess the extent to which the law currently protects </w:t>
      </w:r>
      <w:r w:rsidR="009F5FCF">
        <w:t>each group from experiences of disadvantage.</w:t>
      </w:r>
    </w:p>
    <w:p w14:paraId="2DF4A30D" w14:textId="67F22397" w:rsidR="009C4761" w:rsidRDefault="009C4761" w:rsidP="0085045D">
      <w:pPr>
        <w:pStyle w:val="Caption"/>
      </w:pPr>
      <w:r>
        <w:lastRenderedPageBreak/>
        <w:t xml:space="preserve">Table </w:t>
      </w:r>
      <w:r>
        <w:fldChar w:fldCharType="begin"/>
      </w:r>
      <w:r>
        <w:instrText xml:space="preserve"> SEQ Table \* ARABIC </w:instrText>
      </w:r>
      <w:r>
        <w:fldChar w:fldCharType="separate"/>
      </w:r>
      <w:r w:rsidR="0085045D">
        <w:rPr>
          <w:noProof/>
        </w:rPr>
        <w:t>5</w:t>
      </w:r>
      <w:r>
        <w:fldChar w:fldCharType="end"/>
      </w:r>
      <w:r>
        <w:t xml:space="preserve"> – </w:t>
      </w:r>
      <w:r w:rsidRPr="001147F1">
        <w:t>contemporary law reform issues analysis scaffold</w:t>
      </w:r>
    </w:p>
    <w:tbl>
      <w:tblPr>
        <w:tblStyle w:val="Tableheader"/>
        <w:tblW w:w="9776" w:type="dxa"/>
        <w:tblLayout w:type="fixed"/>
        <w:tblLook w:val="04A0" w:firstRow="1" w:lastRow="0" w:firstColumn="1" w:lastColumn="0" w:noHBand="0" w:noVBand="1"/>
        <w:tblDescription w:val="Contemporary law reform issues analysis scaffold. Table contains columns labelled Group, Key experiences of disadvantage, Extent of legal protections and Rank. There are blank cells for students to complete."/>
      </w:tblPr>
      <w:tblGrid>
        <w:gridCol w:w="1980"/>
        <w:gridCol w:w="3473"/>
        <w:gridCol w:w="3473"/>
        <w:gridCol w:w="850"/>
      </w:tblGrid>
      <w:tr w:rsidR="005D7008" w:rsidRPr="001511AF" w14:paraId="46600068" w14:textId="77777777" w:rsidTr="00B53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C86373" w14:textId="50E2EF32" w:rsidR="005D7008" w:rsidRPr="001511AF" w:rsidRDefault="005D7008" w:rsidP="001511AF">
            <w:r w:rsidRPr="001511AF">
              <w:t>Group</w:t>
            </w:r>
          </w:p>
        </w:tc>
        <w:tc>
          <w:tcPr>
            <w:tcW w:w="3473" w:type="dxa"/>
          </w:tcPr>
          <w:p w14:paraId="4AB710ED" w14:textId="44491D72" w:rsidR="005D7008" w:rsidRPr="001511AF" w:rsidRDefault="005D7008" w:rsidP="001511AF">
            <w:pPr>
              <w:cnfStyle w:val="100000000000" w:firstRow="1" w:lastRow="0" w:firstColumn="0" w:lastColumn="0" w:oddVBand="0" w:evenVBand="0" w:oddHBand="0" w:evenHBand="0" w:firstRowFirstColumn="0" w:firstRowLastColumn="0" w:lastRowFirstColumn="0" w:lastRowLastColumn="0"/>
            </w:pPr>
            <w:r w:rsidRPr="001511AF">
              <w:t>Key experiences of disadvantage</w:t>
            </w:r>
          </w:p>
        </w:tc>
        <w:tc>
          <w:tcPr>
            <w:tcW w:w="3473" w:type="dxa"/>
          </w:tcPr>
          <w:p w14:paraId="6C113367" w14:textId="39F76623" w:rsidR="005D7008" w:rsidRPr="001511AF" w:rsidRDefault="00D169AB" w:rsidP="001511AF">
            <w:pPr>
              <w:cnfStyle w:val="100000000000" w:firstRow="1" w:lastRow="0" w:firstColumn="0" w:lastColumn="0" w:oddVBand="0" w:evenVBand="0" w:oddHBand="0" w:evenHBand="0" w:firstRowFirstColumn="0" w:firstRowLastColumn="0" w:lastRowFirstColumn="0" w:lastRowLastColumn="0"/>
            </w:pPr>
            <w:r w:rsidRPr="001511AF">
              <w:t>Extent of legal protections</w:t>
            </w:r>
          </w:p>
        </w:tc>
        <w:tc>
          <w:tcPr>
            <w:tcW w:w="850" w:type="dxa"/>
          </w:tcPr>
          <w:p w14:paraId="6AEDF86B" w14:textId="77777777" w:rsidR="005D7008" w:rsidRPr="001511AF" w:rsidRDefault="005D7008" w:rsidP="001511AF">
            <w:pPr>
              <w:cnfStyle w:val="100000000000" w:firstRow="1" w:lastRow="0" w:firstColumn="0" w:lastColumn="0" w:oddVBand="0" w:evenVBand="0" w:oddHBand="0" w:evenHBand="0" w:firstRowFirstColumn="0" w:firstRowLastColumn="0" w:lastRowFirstColumn="0" w:lastRowLastColumn="0"/>
            </w:pPr>
            <w:r w:rsidRPr="001511AF">
              <w:t>Rank</w:t>
            </w:r>
          </w:p>
        </w:tc>
      </w:tr>
      <w:tr w:rsidR="005D7008" w:rsidRPr="001511AF" w14:paraId="0183A3E1" w14:textId="77777777" w:rsidTr="00B53598">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1980" w:type="dxa"/>
          </w:tcPr>
          <w:p w14:paraId="6F613745" w14:textId="2F43152E" w:rsidR="005D7008" w:rsidRPr="001511AF" w:rsidRDefault="00B53598" w:rsidP="001511AF">
            <w:r w:rsidRPr="001511AF">
              <w:t>People who have a mental illness or an intellectual or physical disability</w:t>
            </w:r>
          </w:p>
        </w:tc>
        <w:tc>
          <w:tcPr>
            <w:tcW w:w="3473" w:type="dxa"/>
          </w:tcPr>
          <w:p w14:paraId="289C5325"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c>
          <w:tcPr>
            <w:tcW w:w="3473" w:type="dxa"/>
          </w:tcPr>
          <w:p w14:paraId="102E8D55"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c>
          <w:tcPr>
            <w:tcW w:w="850" w:type="dxa"/>
          </w:tcPr>
          <w:p w14:paraId="64F0B604"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r>
      <w:tr w:rsidR="005D7008" w:rsidRPr="001511AF" w14:paraId="58C5FA74" w14:textId="77777777" w:rsidTr="00B53598">
        <w:trPr>
          <w:cnfStyle w:val="000000010000" w:firstRow="0" w:lastRow="0" w:firstColumn="0" w:lastColumn="0" w:oddVBand="0" w:evenVBand="0" w:oddHBand="0" w:evenHBand="1"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1980" w:type="dxa"/>
          </w:tcPr>
          <w:p w14:paraId="109CF98E" w14:textId="2BABC189" w:rsidR="005D7008" w:rsidRPr="001511AF" w:rsidRDefault="00B53598" w:rsidP="001511AF">
            <w:r w:rsidRPr="001511AF">
              <w:t>Migrants</w:t>
            </w:r>
          </w:p>
        </w:tc>
        <w:tc>
          <w:tcPr>
            <w:tcW w:w="3473" w:type="dxa"/>
          </w:tcPr>
          <w:p w14:paraId="36E9310E"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c>
          <w:tcPr>
            <w:tcW w:w="3473" w:type="dxa"/>
          </w:tcPr>
          <w:p w14:paraId="2B0BBD87"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c>
          <w:tcPr>
            <w:tcW w:w="850" w:type="dxa"/>
          </w:tcPr>
          <w:p w14:paraId="7C72BCE8"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r>
      <w:tr w:rsidR="005D7008" w:rsidRPr="001511AF" w14:paraId="38E21340" w14:textId="77777777" w:rsidTr="00B53598">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1980" w:type="dxa"/>
          </w:tcPr>
          <w:p w14:paraId="1EBEA1A7" w14:textId="25492420" w:rsidR="005D7008" w:rsidRPr="001511AF" w:rsidRDefault="00B53598" w:rsidP="001511AF">
            <w:r w:rsidRPr="001511AF">
              <w:t>People who are socio-economically disadvantaged</w:t>
            </w:r>
          </w:p>
        </w:tc>
        <w:tc>
          <w:tcPr>
            <w:tcW w:w="3473" w:type="dxa"/>
          </w:tcPr>
          <w:p w14:paraId="138CF9DB"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c>
          <w:tcPr>
            <w:tcW w:w="3473" w:type="dxa"/>
          </w:tcPr>
          <w:p w14:paraId="2259F458"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c>
          <w:tcPr>
            <w:tcW w:w="850" w:type="dxa"/>
          </w:tcPr>
          <w:p w14:paraId="6FFF86C4" w14:textId="77777777" w:rsidR="005D7008" w:rsidRPr="001511AF" w:rsidRDefault="005D7008" w:rsidP="001511AF">
            <w:pPr>
              <w:cnfStyle w:val="000000100000" w:firstRow="0" w:lastRow="0" w:firstColumn="0" w:lastColumn="0" w:oddVBand="0" w:evenVBand="0" w:oddHBand="1" w:evenHBand="0" w:firstRowFirstColumn="0" w:firstRowLastColumn="0" w:lastRowFirstColumn="0" w:lastRowLastColumn="0"/>
            </w:pPr>
          </w:p>
        </w:tc>
      </w:tr>
      <w:tr w:rsidR="005D7008" w:rsidRPr="001511AF" w14:paraId="7B41D37C" w14:textId="77777777" w:rsidTr="00B53598">
        <w:trPr>
          <w:cnfStyle w:val="000000010000" w:firstRow="0" w:lastRow="0" w:firstColumn="0" w:lastColumn="0" w:oddVBand="0" w:evenVBand="0" w:oddHBand="0" w:evenHBand="1"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1980" w:type="dxa"/>
          </w:tcPr>
          <w:p w14:paraId="2D940797" w14:textId="55335733" w:rsidR="005D7008" w:rsidRPr="001511AF" w:rsidRDefault="00B53598" w:rsidP="001511AF">
            <w:r w:rsidRPr="001511AF">
              <w:t>Groups covered by human rights legislation</w:t>
            </w:r>
          </w:p>
        </w:tc>
        <w:tc>
          <w:tcPr>
            <w:tcW w:w="3473" w:type="dxa"/>
          </w:tcPr>
          <w:p w14:paraId="048BA65C"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c>
          <w:tcPr>
            <w:tcW w:w="3473" w:type="dxa"/>
          </w:tcPr>
          <w:p w14:paraId="7C79CF17"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c>
          <w:tcPr>
            <w:tcW w:w="850" w:type="dxa"/>
          </w:tcPr>
          <w:p w14:paraId="680AA3FB" w14:textId="77777777" w:rsidR="005D7008" w:rsidRPr="001511AF" w:rsidRDefault="005D7008" w:rsidP="001511AF">
            <w:pPr>
              <w:cnfStyle w:val="000000010000" w:firstRow="0" w:lastRow="0" w:firstColumn="0" w:lastColumn="0" w:oddVBand="0" w:evenVBand="0" w:oddHBand="0" w:evenHBand="1" w:firstRowFirstColumn="0" w:firstRowLastColumn="0" w:lastRowFirstColumn="0" w:lastRowLastColumn="0"/>
            </w:pPr>
          </w:p>
        </w:tc>
      </w:tr>
      <w:tr w:rsidR="00B53598" w:rsidRPr="001511AF" w14:paraId="392D6182" w14:textId="77777777" w:rsidTr="00B53598">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1980" w:type="dxa"/>
          </w:tcPr>
          <w:p w14:paraId="528BFDCB" w14:textId="09C6B720" w:rsidR="00B53598" w:rsidRPr="001511AF" w:rsidRDefault="00B53598" w:rsidP="001511AF">
            <w:r w:rsidRPr="001511AF">
              <w:t>Women</w:t>
            </w:r>
          </w:p>
        </w:tc>
        <w:tc>
          <w:tcPr>
            <w:tcW w:w="3473" w:type="dxa"/>
          </w:tcPr>
          <w:p w14:paraId="5F943361" w14:textId="77777777" w:rsidR="00B53598" w:rsidRPr="001511AF" w:rsidRDefault="00B53598" w:rsidP="001511AF">
            <w:pPr>
              <w:cnfStyle w:val="000000100000" w:firstRow="0" w:lastRow="0" w:firstColumn="0" w:lastColumn="0" w:oddVBand="0" w:evenVBand="0" w:oddHBand="1" w:evenHBand="0" w:firstRowFirstColumn="0" w:firstRowLastColumn="0" w:lastRowFirstColumn="0" w:lastRowLastColumn="0"/>
            </w:pPr>
          </w:p>
        </w:tc>
        <w:tc>
          <w:tcPr>
            <w:tcW w:w="3473" w:type="dxa"/>
          </w:tcPr>
          <w:p w14:paraId="5383F9E3" w14:textId="77777777" w:rsidR="00B53598" w:rsidRPr="001511AF" w:rsidRDefault="00B53598" w:rsidP="001511AF">
            <w:pPr>
              <w:cnfStyle w:val="000000100000" w:firstRow="0" w:lastRow="0" w:firstColumn="0" w:lastColumn="0" w:oddVBand="0" w:evenVBand="0" w:oddHBand="1" w:evenHBand="0" w:firstRowFirstColumn="0" w:firstRowLastColumn="0" w:lastRowFirstColumn="0" w:lastRowLastColumn="0"/>
            </w:pPr>
          </w:p>
        </w:tc>
        <w:tc>
          <w:tcPr>
            <w:tcW w:w="850" w:type="dxa"/>
          </w:tcPr>
          <w:p w14:paraId="091657A7" w14:textId="77777777" w:rsidR="00B53598" w:rsidRPr="001511AF" w:rsidRDefault="00B53598" w:rsidP="001511AF">
            <w:pPr>
              <w:cnfStyle w:val="000000100000" w:firstRow="0" w:lastRow="0" w:firstColumn="0" w:lastColumn="0" w:oddVBand="0" w:evenVBand="0" w:oddHBand="1" w:evenHBand="0" w:firstRowFirstColumn="0" w:firstRowLastColumn="0" w:lastRowFirstColumn="0" w:lastRowLastColumn="0"/>
            </w:pPr>
          </w:p>
        </w:tc>
      </w:tr>
    </w:tbl>
    <w:p w14:paraId="275B2D31" w14:textId="7115CA51" w:rsidR="00C300E7" w:rsidRDefault="00C300E7" w:rsidP="00C300E7">
      <w:pPr>
        <w:rPr>
          <w:szCs w:val="22"/>
        </w:rPr>
      </w:pPr>
      <w:r>
        <w:rPr>
          <w:szCs w:val="22"/>
        </w:rPr>
        <w:lastRenderedPageBreak/>
        <w:t xml:space="preserve">After completing the above table, rank each issue from 1 to </w:t>
      </w:r>
      <w:r w:rsidR="00B53598">
        <w:rPr>
          <w:szCs w:val="22"/>
        </w:rPr>
        <w:t>5</w:t>
      </w:r>
      <w:r>
        <w:rPr>
          <w:szCs w:val="22"/>
        </w:rPr>
        <w:t xml:space="preserve"> in order of your personal interest in learning more about the</w:t>
      </w:r>
      <w:r w:rsidR="00B53598">
        <w:rPr>
          <w:szCs w:val="22"/>
        </w:rPr>
        <w:t xml:space="preserve"> group that experiences disadvantage</w:t>
      </w:r>
      <w:r>
        <w:rPr>
          <w:szCs w:val="22"/>
        </w:rPr>
        <w:t xml:space="preserve">, with 1 being most interested and </w:t>
      </w:r>
      <w:r w:rsidR="006F7E61">
        <w:rPr>
          <w:szCs w:val="22"/>
        </w:rPr>
        <w:t>5</w:t>
      </w:r>
      <w:r>
        <w:rPr>
          <w:szCs w:val="22"/>
        </w:rPr>
        <w:t xml:space="preserve"> being least interested.</w:t>
      </w:r>
    </w:p>
    <w:p w14:paraId="6FE16F10" w14:textId="6B7CF5F2" w:rsidR="00C300E7" w:rsidRDefault="00C300E7" w:rsidP="00C300E7">
      <w:pPr>
        <w:rPr>
          <w:szCs w:val="22"/>
        </w:rPr>
      </w:pPr>
      <w:r>
        <w:rPr>
          <w:szCs w:val="22"/>
        </w:rPr>
        <w:t xml:space="preserve">Engage in a </w:t>
      </w:r>
      <w:hyperlink r:id="rId76" w:history="1">
        <w:r w:rsidR="006F7E61">
          <w:rPr>
            <w:rStyle w:val="Hyperlink"/>
            <w:szCs w:val="22"/>
          </w:rPr>
          <w:t>Think-Pair-Share</w:t>
        </w:r>
      </w:hyperlink>
      <w:r w:rsidR="006F7E61">
        <w:t xml:space="preserve"> routine</w:t>
      </w:r>
      <w:r>
        <w:rPr>
          <w:szCs w:val="22"/>
        </w:rPr>
        <w:t xml:space="preserve"> with a peer and justify your selection </w:t>
      </w:r>
      <w:r w:rsidR="00B53598">
        <w:rPr>
          <w:szCs w:val="22"/>
        </w:rPr>
        <w:t xml:space="preserve">of the group that experiences discrimination </w:t>
      </w:r>
      <w:r>
        <w:rPr>
          <w:szCs w:val="22"/>
        </w:rPr>
        <w:t xml:space="preserve">with specific reference to the </w:t>
      </w:r>
      <w:r w:rsidR="00B53598">
        <w:rPr>
          <w:szCs w:val="22"/>
        </w:rPr>
        <w:t xml:space="preserve">group’s experiences of disadvantage </w:t>
      </w:r>
      <w:r>
        <w:rPr>
          <w:szCs w:val="22"/>
        </w:rPr>
        <w:t xml:space="preserve">and </w:t>
      </w:r>
      <w:r w:rsidR="00B53598">
        <w:rPr>
          <w:szCs w:val="22"/>
        </w:rPr>
        <w:t>the extent to which the group is protected by the law.</w:t>
      </w:r>
    </w:p>
    <w:p w14:paraId="366EB6D8" w14:textId="21786D4B" w:rsidR="00C300E7" w:rsidRDefault="00C300E7" w:rsidP="00C300E7">
      <w:pPr>
        <w:pStyle w:val="FeatureBox2"/>
        <w:rPr>
          <w:szCs w:val="22"/>
        </w:rPr>
      </w:pPr>
      <w:r w:rsidRPr="007C15AB">
        <w:rPr>
          <w:b/>
          <w:bCs/>
          <w:szCs w:val="22"/>
        </w:rPr>
        <w:t>Note</w:t>
      </w:r>
      <w:r w:rsidRPr="009C4761">
        <w:rPr>
          <w:szCs w:val="22"/>
        </w:rPr>
        <w:t>:</w:t>
      </w:r>
      <w:r w:rsidRPr="007C15AB">
        <w:rPr>
          <w:szCs w:val="22"/>
        </w:rPr>
        <w:t xml:space="preserve"> </w:t>
      </w:r>
      <w:r w:rsidR="004A5479">
        <w:rPr>
          <w:szCs w:val="22"/>
        </w:rPr>
        <w:t>at this point in the learning sequence, s</w:t>
      </w:r>
      <w:r>
        <w:rPr>
          <w:szCs w:val="22"/>
        </w:rPr>
        <w:t xml:space="preserve">tudents must have a clearly defined </w:t>
      </w:r>
      <w:r w:rsidR="00740E54">
        <w:rPr>
          <w:szCs w:val="22"/>
        </w:rPr>
        <w:t xml:space="preserve">group that experiences disadvantage </w:t>
      </w:r>
      <w:r>
        <w:rPr>
          <w:szCs w:val="22"/>
        </w:rPr>
        <w:t>and background knowledge of th</w:t>
      </w:r>
      <w:r w:rsidR="00740E54">
        <w:rPr>
          <w:szCs w:val="22"/>
        </w:rPr>
        <w:t>e experiences of the group and the laws protecting the group</w:t>
      </w:r>
      <w:r>
        <w:rPr>
          <w:szCs w:val="22"/>
        </w:rPr>
        <w:t xml:space="preserve"> </w:t>
      </w:r>
      <w:r w:rsidR="004A5479">
        <w:rPr>
          <w:szCs w:val="22"/>
        </w:rPr>
        <w:t>and should not proceed</w:t>
      </w:r>
      <w:r>
        <w:rPr>
          <w:szCs w:val="22"/>
        </w:rPr>
        <w:t xml:space="preserve"> </w:t>
      </w:r>
      <w:r w:rsidR="004A5479">
        <w:rPr>
          <w:szCs w:val="22"/>
        </w:rPr>
        <w:t>to</w:t>
      </w:r>
      <w:r>
        <w:rPr>
          <w:szCs w:val="22"/>
        </w:rPr>
        <w:t xml:space="preserve"> the investigation below</w:t>
      </w:r>
      <w:r w:rsidR="004A5479">
        <w:rPr>
          <w:szCs w:val="22"/>
        </w:rPr>
        <w:t xml:space="preserve"> without this</w:t>
      </w:r>
      <w:r>
        <w:rPr>
          <w:szCs w:val="22"/>
        </w:rPr>
        <w:t>.</w:t>
      </w:r>
    </w:p>
    <w:p w14:paraId="1C7C17F0" w14:textId="1B9C253E" w:rsidR="00363090" w:rsidRPr="007C15AB" w:rsidRDefault="00363090" w:rsidP="00363090">
      <w:pPr>
        <w:pStyle w:val="FeatureBox"/>
      </w:pPr>
      <w:r>
        <w:t xml:space="preserve">It is important for students to have a clear understanding of the differences between legal and non-legal responses prior to beginning this learning sequence. Teachers may wish to refer students back to learning completed as a part of Core Part 1: The </w:t>
      </w:r>
      <w:r w:rsidR="006F7E61">
        <w:t>l</w:t>
      </w:r>
      <w:r>
        <w:t xml:space="preserve">egal </w:t>
      </w:r>
      <w:r w:rsidR="006F7E61">
        <w:t>s</w:t>
      </w:r>
      <w:r>
        <w:t>ystem to support understanding.</w:t>
      </w:r>
    </w:p>
    <w:p w14:paraId="5FAF1B77" w14:textId="7E8D4307" w:rsidR="00363090" w:rsidRDefault="00363090" w:rsidP="004A5479">
      <w:pPr>
        <w:pStyle w:val="ListBullet"/>
        <w:numPr>
          <w:ilvl w:val="0"/>
          <w:numId w:val="0"/>
        </w:numPr>
        <w:spacing w:before="120"/>
      </w:pPr>
      <w:r>
        <w:rPr>
          <w:szCs w:val="22"/>
        </w:rPr>
        <w:t>Conduct independent research on your chosen group that experiences disadvantage</w:t>
      </w:r>
      <w:r w:rsidR="004A5479">
        <w:rPr>
          <w:szCs w:val="22"/>
        </w:rPr>
        <w:t xml:space="preserve"> before</w:t>
      </w:r>
      <w:r>
        <w:rPr>
          <w:szCs w:val="22"/>
        </w:rPr>
        <w:t xml:space="preserve"> </w:t>
      </w:r>
      <w:r w:rsidR="004A5479">
        <w:rPr>
          <w:szCs w:val="22"/>
        </w:rPr>
        <w:t xml:space="preserve">completing </w:t>
      </w:r>
      <w:r>
        <w:t xml:space="preserve">a </w:t>
      </w:r>
      <w:hyperlink r:id="rId77" w:history="1">
        <w:r>
          <w:rPr>
            <w:rStyle w:val="Hyperlink"/>
          </w:rPr>
          <w:t>Frayer</w:t>
        </w:r>
        <w:r w:rsidRPr="008B7F02">
          <w:rPr>
            <w:rStyle w:val="Hyperlink"/>
          </w:rPr>
          <w:t xml:space="preserve"> diagram</w:t>
        </w:r>
      </w:hyperlink>
      <w:r>
        <w:t xml:space="preserve"> (below) for each legal and non-legal response that your group uses when looking to address disadvantage before the law. This reinforces the knowledge of legal and non-legal responses that you initially developed during your study of the ways that Aboriginal and Torres Strait Islander </w:t>
      </w:r>
      <w:r w:rsidR="006F7E61">
        <w:t>p</w:t>
      </w:r>
      <w:r>
        <w:t>eoples experience disadvantage before the law.</w:t>
      </w:r>
    </w:p>
    <w:p w14:paraId="4DF603CD" w14:textId="1755B1D1" w:rsidR="009C4761" w:rsidRDefault="009C4761" w:rsidP="009C4761">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 Frayer diagram</w:t>
      </w:r>
    </w:p>
    <w:p w14:paraId="5BBD96CB" w14:textId="77777777" w:rsidR="00363090" w:rsidRDefault="00363090" w:rsidP="00363090">
      <w:r w:rsidRPr="004F717B">
        <w:rPr>
          <w:noProof/>
        </w:rPr>
        <w:drawing>
          <wp:inline distT="0" distB="0" distL="0" distR="0" wp14:anchorId="2C9424DE" wp14:editId="1015FEF7">
            <wp:extent cx="6115050" cy="3438525"/>
            <wp:effectExtent l="0" t="0" r="0" b="9525"/>
            <wp:docPr id="1482617512" name="Picture 2" descr="A Frayer diagram with 4 boxes that include the following headings: definition, facts and characteristics, examples, non-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17512" name="Picture 2" descr="A Frayer diagram with 4 boxes that include the following headings: definition, facts and characteristics, examples, non-example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15050" cy="3438525"/>
                    </a:xfrm>
                    <a:prstGeom prst="rect">
                      <a:avLst/>
                    </a:prstGeom>
                    <a:noFill/>
                    <a:ln>
                      <a:noFill/>
                    </a:ln>
                  </pic:spPr>
                </pic:pic>
              </a:graphicData>
            </a:graphic>
          </wp:inline>
        </w:drawing>
      </w:r>
    </w:p>
    <w:p w14:paraId="134EDF89" w14:textId="22194A16" w:rsidR="00363090" w:rsidRDefault="00363090" w:rsidP="00363090">
      <w:pPr>
        <w:pStyle w:val="FeatureBox2"/>
      </w:pPr>
      <w:r w:rsidRPr="006D567B">
        <w:rPr>
          <w:b/>
          <w:bCs/>
        </w:rPr>
        <w:t>Note</w:t>
      </w:r>
      <w:r w:rsidRPr="009C4761">
        <w:t>:</w:t>
      </w:r>
      <w:r>
        <w:t xml:space="preserve"> teachers may prefer to use an alternative form of </w:t>
      </w:r>
      <w:hyperlink r:id="rId78" w:history="1">
        <w:r w:rsidRPr="00D834D2">
          <w:rPr>
            <w:rStyle w:val="Hyperlink"/>
          </w:rPr>
          <w:t>graphic organiser</w:t>
        </w:r>
      </w:hyperlink>
      <w:r>
        <w:t xml:space="preserve"> to complete the task. Teachers should assist students to complete the graphic organise</w:t>
      </w:r>
      <w:r w:rsidR="00313697">
        <w:t>r</w:t>
      </w:r>
      <w:r>
        <w:t xml:space="preserve"> as needed and ensure that the following legal and non-legal methods are included: legislation, case law, legal institutions, media, members of parliament, trade unions</w:t>
      </w:r>
      <w:r w:rsidR="002207AB">
        <w:t xml:space="preserve"> and</w:t>
      </w:r>
      <w:r>
        <w:t xml:space="preserve"> interest group</w:t>
      </w:r>
      <w:r w:rsidR="002207AB">
        <w:t>s</w:t>
      </w:r>
      <w:r>
        <w:t xml:space="preserve"> such as non-government organisations (NGOs). Teachers should also use the activity as an opportunity to assess prior knowledge, which may lead to reteaching of an outline of non-legal methods of engaging with the law if needed.</w:t>
      </w:r>
    </w:p>
    <w:p w14:paraId="6BD2BA3D" w14:textId="10A1FE2B" w:rsidR="008E5262" w:rsidRDefault="008E5262" w:rsidP="00B370E1">
      <w:pPr>
        <w:pStyle w:val="ListBullet"/>
        <w:numPr>
          <w:ilvl w:val="0"/>
          <w:numId w:val="0"/>
        </w:numPr>
        <w:spacing w:before="120"/>
      </w:pPr>
      <w:r>
        <w:t xml:space="preserve">Use your Frayer diagram or alternative graphic organiser as the basis for writing a 2-paragraph description of the </w:t>
      </w:r>
      <w:r w:rsidRPr="005F759C">
        <w:t xml:space="preserve">legal and non-legal responses to </w:t>
      </w:r>
      <w:r w:rsidR="00B370E1">
        <w:t>your chosen group’s experience of disadvantage before the law.</w:t>
      </w:r>
    </w:p>
    <w:p w14:paraId="722DF045" w14:textId="61456473" w:rsidR="00B370E1" w:rsidRDefault="00B370E1" w:rsidP="00B370E1">
      <w:pPr>
        <w:pStyle w:val="FeatureBox2"/>
        <w:rPr>
          <w:szCs w:val="22"/>
        </w:rPr>
      </w:pPr>
      <w:r w:rsidRPr="007C15AB">
        <w:rPr>
          <w:b/>
          <w:bCs/>
          <w:szCs w:val="22"/>
        </w:rPr>
        <w:t>Note</w:t>
      </w:r>
      <w:r w:rsidRPr="009C4761">
        <w:rPr>
          <w:szCs w:val="22"/>
        </w:rPr>
        <w:t>:</w:t>
      </w:r>
      <w:r w:rsidRPr="007C15AB">
        <w:rPr>
          <w:szCs w:val="22"/>
        </w:rPr>
        <w:t xml:space="preserve"> </w:t>
      </w:r>
      <w:r>
        <w:rPr>
          <w:szCs w:val="22"/>
        </w:rPr>
        <w:t>at this point in the learning sequence, students must have demonstrated understanding of</w:t>
      </w:r>
      <w:r>
        <w:t xml:space="preserve"> the </w:t>
      </w:r>
      <w:r w:rsidRPr="005F759C">
        <w:t xml:space="preserve">legal and non-legal responses to </w:t>
      </w:r>
      <w:r>
        <w:t>your chosen group’s experience of disadvantage before the law</w:t>
      </w:r>
      <w:r>
        <w:rPr>
          <w:szCs w:val="22"/>
        </w:rPr>
        <w:t xml:space="preserve"> and should not proceed to the second half of the investigation below without this.</w:t>
      </w:r>
    </w:p>
    <w:p w14:paraId="44BA6C47" w14:textId="66F9B00C" w:rsidR="000D5D13" w:rsidRDefault="000D5D13" w:rsidP="008C0F88">
      <w:r>
        <w:t xml:space="preserve">Select </w:t>
      </w:r>
      <w:r w:rsidR="00D01C3F">
        <w:t>one legal response and one non-legal response from your Frayer diagram</w:t>
      </w:r>
      <w:r w:rsidR="002207AB">
        <w:t>,</w:t>
      </w:r>
      <w:r w:rsidR="00D01C3F">
        <w:t xml:space="preserve"> or alternative graphic organiser</w:t>
      </w:r>
      <w:r w:rsidR="002207AB">
        <w:t>,</w:t>
      </w:r>
      <w:r w:rsidR="00D01C3F">
        <w:t xml:space="preserve"> with a view to further investigating and evaluating</w:t>
      </w:r>
      <w:r w:rsidR="00143AA5">
        <w:t xml:space="preserve"> </w:t>
      </w:r>
      <w:r w:rsidR="00D01C3F">
        <w:t>responses</w:t>
      </w:r>
      <w:r w:rsidR="00143AA5">
        <w:t xml:space="preserve"> to disadvantage</w:t>
      </w:r>
      <w:r w:rsidR="00D01C3F">
        <w:t>.</w:t>
      </w:r>
    </w:p>
    <w:p w14:paraId="64A5C6C6" w14:textId="692ECD69" w:rsidR="00B370E1" w:rsidRDefault="009C661C" w:rsidP="008C0F88">
      <w:r>
        <w:lastRenderedPageBreak/>
        <w:t>C</w:t>
      </w:r>
      <w:r w:rsidR="008C0F88">
        <w:rPr>
          <w:szCs w:val="22"/>
        </w:rPr>
        <w:t xml:space="preserve">onduct additional independent research </w:t>
      </w:r>
      <w:r w:rsidR="00EA77CA">
        <w:rPr>
          <w:szCs w:val="22"/>
        </w:rPr>
        <w:t xml:space="preserve">to </w:t>
      </w:r>
      <w:r w:rsidR="00B370E1" w:rsidRPr="005F759C">
        <w:t>evaluat</w:t>
      </w:r>
      <w:r w:rsidR="00EA77CA">
        <w:t>e</w:t>
      </w:r>
      <w:r w:rsidR="00B370E1" w:rsidRPr="005F759C">
        <w:t xml:space="preserve"> the effectiveness of </w:t>
      </w:r>
      <w:r w:rsidR="00143AA5">
        <w:t>your chosen</w:t>
      </w:r>
      <w:r w:rsidR="00B370E1" w:rsidRPr="005F759C">
        <w:t xml:space="preserve"> legal and non-legal responses </w:t>
      </w:r>
      <w:r w:rsidR="00B370E1">
        <w:t xml:space="preserve">to </w:t>
      </w:r>
      <w:r w:rsidR="00FE6DDC">
        <w:t>your</w:t>
      </w:r>
      <w:r w:rsidR="00B370E1">
        <w:t xml:space="preserve"> chosen group</w:t>
      </w:r>
      <w:r w:rsidR="00143AA5">
        <w:t>’s</w:t>
      </w:r>
      <w:r w:rsidR="00B370E1">
        <w:t xml:space="preserve"> experienc</w:t>
      </w:r>
      <w:r w:rsidR="00143AA5">
        <w:t>es of</w:t>
      </w:r>
      <w:r w:rsidR="00B370E1">
        <w:t xml:space="preserve"> disadvantage</w:t>
      </w:r>
      <w:r w:rsidR="00FE6DDC">
        <w:t>.</w:t>
      </w:r>
      <w:r w:rsidR="00143AA5">
        <w:t xml:space="preserve"> This research should be conducted with awareness of the following criteria for effectiveness of the law:</w:t>
      </w:r>
    </w:p>
    <w:p w14:paraId="527D6E14" w14:textId="77777777" w:rsidR="00143AA5" w:rsidRDefault="00143AA5" w:rsidP="00143AA5">
      <w:pPr>
        <w:pStyle w:val="ListBullet"/>
        <w:rPr>
          <w:szCs w:val="22"/>
        </w:rPr>
      </w:pPr>
      <w:r w:rsidRPr="00BF0E1F">
        <w:t>protection of individual rights</w:t>
      </w:r>
    </w:p>
    <w:p w14:paraId="30F4D0C1" w14:textId="77777777" w:rsidR="00143AA5" w:rsidRDefault="00143AA5" w:rsidP="00143AA5">
      <w:pPr>
        <w:pStyle w:val="ListBullet"/>
        <w:rPr>
          <w:szCs w:val="22"/>
        </w:rPr>
      </w:pPr>
      <w:r w:rsidRPr="00BF0E1F">
        <w:t>meeting society’s needs</w:t>
      </w:r>
    </w:p>
    <w:p w14:paraId="3AF94DA3" w14:textId="77777777" w:rsidR="00143AA5" w:rsidRDefault="00143AA5" w:rsidP="00143AA5">
      <w:pPr>
        <w:pStyle w:val="ListBullet"/>
        <w:rPr>
          <w:szCs w:val="22"/>
        </w:rPr>
      </w:pPr>
      <w:r w:rsidRPr="00BF0E1F">
        <w:t>application of the rule of law</w:t>
      </w:r>
    </w:p>
    <w:p w14:paraId="4DC9D1AB" w14:textId="678F68A7" w:rsidR="00143AA5" w:rsidRPr="001C758A" w:rsidRDefault="00CB0B48" w:rsidP="008C0F88">
      <w:pPr>
        <w:pStyle w:val="ListBullet"/>
        <w:rPr>
          <w:szCs w:val="22"/>
        </w:rPr>
      </w:pPr>
      <w:r>
        <w:t>whether</w:t>
      </w:r>
      <w:r w:rsidRPr="00BF0E1F">
        <w:t xml:space="preserve"> </w:t>
      </w:r>
      <w:r w:rsidR="00143AA5" w:rsidRPr="00BF0E1F">
        <w:t>justice</w:t>
      </w:r>
      <w:r>
        <w:t xml:space="preserve"> has</w:t>
      </w:r>
      <w:r w:rsidR="00143AA5" w:rsidRPr="00BF0E1F">
        <w:t xml:space="preserve"> been achieved</w:t>
      </w:r>
      <w:r>
        <w:t>.</w:t>
      </w:r>
    </w:p>
    <w:p w14:paraId="2EA7628F" w14:textId="122EF2EF" w:rsidR="001C758A" w:rsidRPr="00C33890" w:rsidRDefault="001C758A" w:rsidP="001C758A">
      <w:pPr>
        <w:pStyle w:val="FeatureBox2"/>
      </w:pPr>
      <w:r w:rsidRPr="00E56833">
        <w:rPr>
          <w:b/>
          <w:bCs/>
          <w:szCs w:val="22"/>
        </w:rPr>
        <w:t>Note</w:t>
      </w:r>
      <w:r w:rsidRPr="009C4761">
        <w:rPr>
          <w:szCs w:val="22"/>
        </w:rPr>
        <w:t xml:space="preserve">: </w:t>
      </w:r>
      <w:r>
        <w:t xml:space="preserve">the teacher should provide each student with </w:t>
      </w:r>
      <w:r w:rsidR="005E6FEE">
        <w:t>3</w:t>
      </w:r>
      <w:r>
        <w:t xml:space="preserve"> hardcop</w:t>
      </w:r>
      <w:r w:rsidR="005E6FEE">
        <w:t>ies</w:t>
      </w:r>
      <w:r>
        <w:t xml:space="preserve"> of Table 6</w:t>
      </w:r>
      <w:r w:rsidR="005E6FEE">
        <w:t xml:space="preserve"> </w:t>
      </w:r>
      <w:r>
        <w:t>prior to completing the activity below.</w:t>
      </w:r>
    </w:p>
    <w:p w14:paraId="3A90A19B" w14:textId="39660BB7" w:rsidR="00FE6DDC" w:rsidRPr="00522A6E" w:rsidRDefault="00FE6DDC" w:rsidP="009C4761">
      <w:r>
        <w:t>Complete the table below for each of your</w:t>
      </w:r>
      <w:r w:rsidR="00143AA5">
        <w:t xml:space="preserve"> </w:t>
      </w:r>
      <w:r w:rsidR="00FC5004">
        <w:t xml:space="preserve">chosen </w:t>
      </w:r>
      <w:r>
        <w:t>legal response and non-legal response</w:t>
      </w:r>
      <w:r w:rsidR="002207AB">
        <w:t>s</w:t>
      </w:r>
      <w:r>
        <w:t xml:space="preserve"> in hard copy</w:t>
      </w:r>
      <w:r w:rsidR="001C758A">
        <w:t xml:space="preserve">. </w:t>
      </w:r>
      <w:r>
        <w:t>Be sure to carefully consider the ways in which each response addresses disadvantages experience</w:t>
      </w:r>
      <w:r w:rsidR="002A1C66">
        <w:t xml:space="preserve">d </w:t>
      </w:r>
      <w:r w:rsidR="00895992">
        <w:t xml:space="preserve">by your group </w:t>
      </w:r>
      <w:r>
        <w:t xml:space="preserve">before the law with reference to the criteria </w:t>
      </w:r>
      <w:r w:rsidR="00895992">
        <w:t>listed in the table.</w:t>
      </w:r>
    </w:p>
    <w:p w14:paraId="22682E89" w14:textId="24812B73" w:rsidR="009C4761" w:rsidRDefault="009C4761" w:rsidP="0085045D">
      <w:pPr>
        <w:pStyle w:val="Caption"/>
      </w:pPr>
      <w:r>
        <w:t xml:space="preserve">Table </w:t>
      </w:r>
      <w:r>
        <w:fldChar w:fldCharType="begin"/>
      </w:r>
      <w:r>
        <w:instrText xml:space="preserve"> SEQ Table \* ARABIC </w:instrText>
      </w:r>
      <w:r>
        <w:fldChar w:fldCharType="separate"/>
      </w:r>
      <w:r w:rsidR="0085045D">
        <w:rPr>
          <w:noProof/>
        </w:rPr>
        <w:t>6</w:t>
      </w:r>
      <w:r>
        <w:fldChar w:fldCharType="end"/>
      </w:r>
      <w:r>
        <w:t xml:space="preserve"> – e</w:t>
      </w:r>
      <w:r w:rsidRPr="00582848">
        <w:t>valuating legal and non-legal responses to disadvantage</w:t>
      </w:r>
    </w:p>
    <w:tbl>
      <w:tblPr>
        <w:tblStyle w:val="Tableheader"/>
        <w:tblW w:w="9634" w:type="dxa"/>
        <w:tblLook w:val="04A0" w:firstRow="1" w:lastRow="0" w:firstColumn="1" w:lastColumn="0" w:noHBand="0" w:noVBand="1"/>
        <w:tblDescription w:val="Evaluating legal and non-legal responses to disadvantage. Table contains columns labelled Criteria, Evaluation of legal response and Evaluation of non-legal response. There are blank cells for students to complete."/>
      </w:tblPr>
      <w:tblGrid>
        <w:gridCol w:w="2405"/>
        <w:gridCol w:w="2693"/>
        <w:gridCol w:w="4536"/>
      </w:tblGrid>
      <w:tr w:rsidR="00FE6DDC" w:rsidRPr="003A32C9" w14:paraId="4690C496" w14:textId="77777777" w:rsidTr="00B10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949258" w14:textId="529525E7" w:rsidR="00FE6DDC" w:rsidRPr="003A32C9" w:rsidRDefault="00895992" w:rsidP="003A32C9">
            <w:r w:rsidRPr="003A32C9">
              <w:t>Criteria</w:t>
            </w:r>
          </w:p>
        </w:tc>
        <w:tc>
          <w:tcPr>
            <w:tcW w:w="2693" w:type="dxa"/>
          </w:tcPr>
          <w:p w14:paraId="33BF2E69" w14:textId="61003D89" w:rsidR="00FE6DDC" w:rsidRPr="003A32C9" w:rsidRDefault="001C758A" w:rsidP="003A32C9">
            <w:pPr>
              <w:cnfStyle w:val="100000000000" w:firstRow="1" w:lastRow="0" w:firstColumn="0" w:lastColumn="0" w:oddVBand="0" w:evenVBand="0" w:oddHBand="0" w:evenHBand="0" w:firstRowFirstColumn="0" w:firstRowLastColumn="0" w:lastRowFirstColumn="0" w:lastRowLastColumn="0"/>
            </w:pPr>
            <w:r w:rsidRPr="003A32C9">
              <w:t>Evaluation of l</w:t>
            </w:r>
            <w:r w:rsidR="00FE6DDC" w:rsidRPr="003A32C9">
              <w:t>egal response</w:t>
            </w:r>
          </w:p>
        </w:tc>
        <w:tc>
          <w:tcPr>
            <w:tcW w:w="4536" w:type="dxa"/>
          </w:tcPr>
          <w:p w14:paraId="48642FF6" w14:textId="51906A77" w:rsidR="00FE6DDC" w:rsidRPr="003A32C9" w:rsidRDefault="001C758A" w:rsidP="003A32C9">
            <w:pPr>
              <w:cnfStyle w:val="100000000000" w:firstRow="1" w:lastRow="0" w:firstColumn="0" w:lastColumn="0" w:oddVBand="0" w:evenVBand="0" w:oddHBand="0" w:evenHBand="0" w:firstRowFirstColumn="0" w:firstRowLastColumn="0" w:lastRowFirstColumn="0" w:lastRowLastColumn="0"/>
            </w:pPr>
            <w:r w:rsidRPr="003A32C9">
              <w:t>Evaluation of n</w:t>
            </w:r>
            <w:r w:rsidR="00FE6DDC" w:rsidRPr="003A32C9">
              <w:t>on-legal response</w:t>
            </w:r>
          </w:p>
        </w:tc>
      </w:tr>
      <w:tr w:rsidR="00FE6DDC" w:rsidRPr="003A32C9" w14:paraId="65E59E4A" w14:textId="77777777" w:rsidTr="00F35F66">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3AD28EA0" w14:textId="1298BC7F" w:rsidR="00FE6DDC" w:rsidRPr="003A32C9" w:rsidRDefault="00F35F66" w:rsidP="003A32C9">
            <w:r w:rsidRPr="003A32C9">
              <w:t>Resource efficiency</w:t>
            </w:r>
          </w:p>
        </w:tc>
        <w:tc>
          <w:tcPr>
            <w:tcW w:w="2693" w:type="dxa"/>
          </w:tcPr>
          <w:p w14:paraId="3AB66BB0"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c>
          <w:tcPr>
            <w:tcW w:w="4536" w:type="dxa"/>
          </w:tcPr>
          <w:p w14:paraId="034E176F"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r>
      <w:tr w:rsidR="00FE6DDC" w:rsidRPr="003A32C9" w14:paraId="4C5D515A" w14:textId="77777777" w:rsidTr="00F35F66">
        <w:trPr>
          <w:cnfStyle w:val="000000010000" w:firstRow="0" w:lastRow="0" w:firstColumn="0" w:lastColumn="0" w:oddVBand="0" w:evenVBand="0" w:oddHBand="0" w:evenHBand="1"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34F67A17" w14:textId="5EB58715" w:rsidR="00FE6DDC" w:rsidRPr="003A32C9" w:rsidRDefault="00F35F66" w:rsidP="003A32C9">
            <w:r w:rsidRPr="003A32C9">
              <w:t>Accessibility</w:t>
            </w:r>
          </w:p>
        </w:tc>
        <w:tc>
          <w:tcPr>
            <w:tcW w:w="2693" w:type="dxa"/>
          </w:tcPr>
          <w:p w14:paraId="6EB6A2D6" w14:textId="77777777" w:rsidR="00FE6DDC" w:rsidRPr="003A32C9" w:rsidRDefault="00FE6DDC" w:rsidP="003A32C9">
            <w:pPr>
              <w:cnfStyle w:val="000000010000" w:firstRow="0" w:lastRow="0" w:firstColumn="0" w:lastColumn="0" w:oddVBand="0" w:evenVBand="0" w:oddHBand="0" w:evenHBand="1" w:firstRowFirstColumn="0" w:firstRowLastColumn="0" w:lastRowFirstColumn="0" w:lastRowLastColumn="0"/>
            </w:pPr>
          </w:p>
        </w:tc>
        <w:tc>
          <w:tcPr>
            <w:tcW w:w="4536" w:type="dxa"/>
          </w:tcPr>
          <w:p w14:paraId="6F91EDD1" w14:textId="77777777" w:rsidR="00FE6DDC" w:rsidRPr="003A32C9" w:rsidRDefault="00FE6DDC" w:rsidP="003A32C9">
            <w:pPr>
              <w:cnfStyle w:val="000000010000" w:firstRow="0" w:lastRow="0" w:firstColumn="0" w:lastColumn="0" w:oddVBand="0" w:evenVBand="0" w:oddHBand="0" w:evenHBand="1" w:firstRowFirstColumn="0" w:firstRowLastColumn="0" w:lastRowFirstColumn="0" w:lastRowLastColumn="0"/>
            </w:pPr>
          </w:p>
        </w:tc>
      </w:tr>
      <w:tr w:rsidR="00FE6DDC" w:rsidRPr="003A32C9" w14:paraId="367DF4E9" w14:textId="77777777" w:rsidTr="00F35F66">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3306CF39" w14:textId="777DA79A" w:rsidR="00FE6DDC" w:rsidRPr="003A32C9" w:rsidRDefault="00F35F66" w:rsidP="003A32C9">
            <w:r w:rsidRPr="003A32C9">
              <w:t>Enforceability</w:t>
            </w:r>
          </w:p>
        </w:tc>
        <w:tc>
          <w:tcPr>
            <w:tcW w:w="2693" w:type="dxa"/>
          </w:tcPr>
          <w:p w14:paraId="27489C45"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c>
          <w:tcPr>
            <w:tcW w:w="4536" w:type="dxa"/>
          </w:tcPr>
          <w:p w14:paraId="279FBF63"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r>
      <w:tr w:rsidR="00FE6DDC" w:rsidRPr="003A32C9" w14:paraId="12E2DEA7" w14:textId="77777777" w:rsidTr="00F35F66">
        <w:trPr>
          <w:cnfStyle w:val="000000010000" w:firstRow="0" w:lastRow="0" w:firstColumn="0" w:lastColumn="0" w:oddVBand="0" w:evenVBand="0" w:oddHBand="0" w:evenHBand="1"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19294E1D" w14:textId="13155F37" w:rsidR="00FE6DDC" w:rsidRPr="003A32C9" w:rsidRDefault="00F35F66" w:rsidP="003A32C9">
            <w:r w:rsidRPr="003A32C9">
              <w:t>Responsiveness</w:t>
            </w:r>
          </w:p>
        </w:tc>
        <w:tc>
          <w:tcPr>
            <w:tcW w:w="2693" w:type="dxa"/>
          </w:tcPr>
          <w:p w14:paraId="60A65C3D" w14:textId="77777777" w:rsidR="00FE6DDC" w:rsidRPr="003A32C9" w:rsidRDefault="00FE6DDC" w:rsidP="003A32C9">
            <w:pPr>
              <w:cnfStyle w:val="000000010000" w:firstRow="0" w:lastRow="0" w:firstColumn="0" w:lastColumn="0" w:oddVBand="0" w:evenVBand="0" w:oddHBand="0" w:evenHBand="1" w:firstRowFirstColumn="0" w:firstRowLastColumn="0" w:lastRowFirstColumn="0" w:lastRowLastColumn="0"/>
            </w:pPr>
          </w:p>
        </w:tc>
        <w:tc>
          <w:tcPr>
            <w:tcW w:w="4536" w:type="dxa"/>
          </w:tcPr>
          <w:p w14:paraId="692D88B8" w14:textId="77777777" w:rsidR="00FE6DDC" w:rsidRPr="003A32C9" w:rsidRDefault="00FE6DDC" w:rsidP="003A32C9">
            <w:pPr>
              <w:cnfStyle w:val="000000010000" w:firstRow="0" w:lastRow="0" w:firstColumn="0" w:lastColumn="0" w:oddVBand="0" w:evenVBand="0" w:oddHBand="0" w:evenHBand="1" w:firstRowFirstColumn="0" w:firstRowLastColumn="0" w:lastRowFirstColumn="0" w:lastRowLastColumn="0"/>
            </w:pPr>
          </w:p>
        </w:tc>
      </w:tr>
      <w:tr w:rsidR="00FE6DDC" w:rsidRPr="003A32C9" w14:paraId="16063EA6" w14:textId="77777777" w:rsidTr="00F35F66">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24845E0C" w14:textId="35B94BC1" w:rsidR="00FE6DDC" w:rsidRPr="003A32C9" w:rsidRDefault="00F35F66" w:rsidP="003A32C9">
            <w:r w:rsidRPr="003A32C9">
              <w:lastRenderedPageBreak/>
              <w:t>Protection of individual rights</w:t>
            </w:r>
          </w:p>
        </w:tc>
        <w:tc>
          <w:tcPr>
            <w:tcW w:w="2693" w:type="dxa"/>
          </w:tcPr>
          <w:p w14:paraId="0518C0BD"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c>
          <w:tcPr>
            <w:tcW w:w="4536" w:type="dxa"/>
          </w:tcPr>
          <w:p w14:paraId="21A6C5FD" w14:textId="77777777" w:rsidR="00FE6DDC" w:rsidRPr="003A32C9" w:rsidRDefault="00FE6DDC" w:rsidP="003A32C9">
            <w:pPr>
              <w:cnfStyle w:val="000000100000" w:firstRow="0" w:lastRow="0" w:firstColumn="0" w:lastColumn="0" w:oddVBand="0" w:evenVBand="0" w:oddHBand="1" w:evenHBand="0" w:firstRowFirstColumn="0" w:firstRowLastColumn="0" w:lastRowFirstColumn="0" w:lastRowLastColumn="0"/>
            </w:pPr>
          </w:p>
        </w:tc>
      </w:tr>
      <w:tr w:rsidR="00F35F66" w:rsidRPr="003A32C9" w14:paraId="56BCECEA" w14:textId="77777777" w:rsidTr="00F35F66">
        <w:trPr>
          <w:cnfStyle w:val="000000010000" w:firstRow="0" w:lastRow="0" w:firstColumn="0" w:lastColumn="0" w:oddVBand="0" w:evenVBand="0" w:oddHBand="0" w:evenHBand="1"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7B56062B" w14:textId="725321D6" w:rsidR="00F35F66" w:rsidRPr="003A32C9" w:rsidRDefault="00F35F66" w:rsidP="003A32C9">
            <w:r w:rsidRPr="003A32C9">
              <w:t>Meeting society’s needs</w:t>
            </w:r>
          </w:p>
        </w:tc>
        <w:tc>
          <w:tcPr>
            <w:tcW w:w="2693" w:type="dxa"/>
          </w:tcPr>
          <w:p w14:paraId="2E37A239" w14:textId="77777777" w:rsidR="00F35F66" w:rsidRPr="003A32C9" w:rsidRDefault="00F35F66" w:rsidP="003A32C9">
            <w:pPr>
              <w:cnfStyle w:val="000000010000" w:firstRow="0" w:lastRow="0" w:firstColumn="0" w:lastColumn="0" w:oddVBand="0" w:evenVBand="0" w:oddHBand="0" w:evenHBand="1" w:firstRowFirstColumn="0" w:firstRowLastColumn="0" w:lastRowFirstColumn="0" w:lastRowLastColumn="0"/>
            </w:pPr>
          </w:p>
        </w:tc>
        <w:tc>
          <w:tcPr>
            <w:tcW w:w="4536" w:type="dxa"/>
          </w:tcPr>
          <w:p w14:paraId="27572F43" w14:textId="77777777" w:rsidR="00F35F66" w:rsidRPr="003A32C9" w:rsidRDefault="00F35F66" w:rsidP="003A32C9">
            <w:pPr>
              <w:cnfStyle w:val="000000010000" w:firstRow="0" w:lastRow="0" w:firstColumn="0" w:lastColumn="0" w:oddVBand="0" w:evenVBand="0" w:oddHBand="0" w:evenHBand="1" w:firstRowFirstColumn="0" w:firstRowLastColumn="0" w:lastRowFirstColumn="0" w:lastRowLastColumn="0"/>
            </w:pPr>
          </w:p>
        </w:tc>
      </w:tr>
      <w:tr w:rsidR="00F35F66" w:rsidRPr="003A32C9" w14:paraId="38BA5BB3" w14:textId="77777777" w:rsidTr="00F35F66">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28D9A31A" w14:textId="7F93AE1B" w:rsidR="00F35F66" w:rsidRPr="003A32C9" w:rsidRDefault="00F35F66" w:rsidP="003A32C9">
            <w:r w:rsidRPr="003A32C9">
              <w:t>Application of the rule of law</w:t>
            </w:r>
          </w:p>
        </w:tc>
        <w:tc>
          <w:tcPr>
            <w:tcW w:w="2693" w:type="dxa"/>
          </w:tcPr>
          <w:p w14:paraId="4052EAF8" w14:textId="77777777" w:rsidR="00F35F66" w:rsidRPr="003A32C9" w:rsidRDefault="00F35F66" w:rsidP="003A32C9">
            <w:pPr>
              <w:cnfStyle w:val="000000100000" w:firstRow="0" w:lastRow="0" w:firstColumn="0" w:lastColumn="0" w:oddVBand="0" w:evenVBand="0" w:oddHBand="1" w:evenHBand="0" w:firstRowFirstColumn="0" w:firstRowLastColumn="0" w:lastRowFirstColumn="0" w:lastRowLastColumn="0"/>
            </w:pPr>
          </w:p>
        </w:tc>
        <w:tc>
          <w:tcPr>
            <w:tcW w:w="4536" w:type="dxa"/>
          </w:tcPr>
          <w:p w14:paraId="480D13B8" w14:textId="77777777" w:rsidR="00F35F66" w:rsidRPr="003A32C9" w:rsidRDefault="00F35F66" w:rsidP="003A32C9">
            <w:pPr>
              <w:cnfStyle w:val="000000100000" w:firstRow="0" w:lastRow="0" w:firstColumn="0" w:lastColumn="0" w:oddVBand="0" w:evenVBand="0" w:oddHBand="1" w:evenHBand="0" w:firstRowFirstColumn="0" w:firstRowLastColumn="0" w:lastRowFirstColumn="0" w:lastRowLastColumn="0"/>
            </w:pPr>
          </w:p>
        </w:tc>
      </w:tr>
      <w:tr w:rsidR="00F35F66" w:rsidRPr="003A32C9" w14:paraId="3F195289" w14:textId="77777777" w:rsidTr="00F35F66">
        <w:trPr>
          <w:cnfStyle w:val="000000010000" w:firstRow="0" w:lastRow="0" w:firstColumn="0" w:lastColumn="0" w:oddVBand="0" w:evenVBand="0" w:oddHBand="0" w:evenHBand="1"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05" w:type="dxa"/>
          </w:tcPr>
          <w:p w14:paraId="62B80E0D" w14:textId="5316D23D" w:rsidR="00F35F66" w:rsidRPr="003A32C9" w:rsidRDefault="00B90777" w:rsidP="003A32C9">
            <w:r w:rsidRPr="003A32C9">
              <w:t>Whether justice has been achieved</w:t>
            </w:r>
          </w:p>
        </w:tc>
        <w:tc>
          <w:tcPr>
            <w:tcW w:w="2693" w:type="dxa"/>
          </w:tcPr>
          <w:p w14:paraId="49FFE901" w14:textId="77777777" w:rsidR="00F35F66" w:rsidRPr="003A32C9" w:rsidRDefault="00F35F66" w:rsidP="003A32C9">
            <w:pPr>
              <w:cnfStyle w:val="000000010000" w:firstRow="0" w:lastRow="0" w:firstColumn="0" w:lastColumn="0" w:oddVBand="0" w:evenVBand="0" w:oddHBand="0" w:evenHBand="1" w:firstRowFirstColumn="0" w:firstRowLastColumn="0" w:lastRowFirstColumn="0" w:lastRowLastColumn="0"/>
            </w:pPr>
          </w:p>
        </w:tc>
        <w:tc>
          <w:tcPr>
            <w:tcW w:w="4536" w:type="dxa"/>
          </w:tcPr>
          <w:p w14:paraId="799AB4DC" w14:textId="77777777" w:rsidR="00F35F66" w:rsidRPr="003A32C9" w:rsidRDefault="00F35F66" w:rsidP="003A32C9">
            <w:pPr>
              <w:cnfStyle w:val="000000010000" w:firstRow="0" w:lastRow="0" w:firstColumn="0" w:lastColumn="0" w:oddVBand="0" w:evenVBand="0" w:oddHBand="0" w:evenHBand="1" w:firstRowFirstColumn="0" w:firstRowLastColumn="0" w:lastRowFirstColumn="0" w:lastRowLastColumn="0"/>
            </w:pPr>
          </w:p>
        </w:tc>
      </w:tr>
    </w:tbl>
    <w:p w14:paraId="089E2194" w14:textId="437364FB" w:rsidR="00FE6DDC" w:rsidRDefault="00FE6DDC" w:rsidP="00FE6DDC">
      <w:r>
        <w:t xml:space="preserve">Ensure that </w:t>
      </w:r>
      <w:r w:rsidR="00F35F66">
        <w:t xml:space="preserve">you have </w:t>
      </w:r>
      <w:r>
        <w:t xml:space="preserve">completed </w:t>
      </w:r>
      <w:r w:rsidR="00F35F66">
        <w:t xml:space="preserve">your </w:t>
      </w:r>
      <w:r>
        <w:t xml:space="preserve">copy of the table for </w:t>
      </w:r>
      <w:r>
        <w:rPr>
          <w:szCs w:val="22"/>
        </w:rPr>
        <w:t xml:space="preserve">one of the legal and one of the non-legal responses </w:t>
      </w:r>
      <w:r>
        <w:t xml:space="preserve">used to support </w:t>
      </w:r>
      <w:r w:rsidR="00F35F66">
        <w:t>your chosen group experiencing disadvantage</w:t>
      </w:r>
      <w:r w:rsidR="005E6FEE">
        <w:t>.</w:t>
      </w:r>
    </w:p>
    <w:p w14:paraId="357AD1E1" w14:textId="4897AE2E" w:rsidR="00FE6DDC" w:rsidRDefault="005E6FEE" w:rsidP="00FE6DDC">
      <w:r>
        <w:t>Display your completed table on your desk in the classroom.</w:t>
      </w:r>
    </w:p>
    <w:p w14:paraId="43D27789" w14:textId="47C1CF7C" w:rsidR="00FE6DDC" w:rsidRDefault="00FE6DDC" w:rsidP="00FE6DDC">
      <w:r>
        <w:t xml:space="preserve">Conduct a </w:t>
      </w:r>
      <w:hyperlink r:id="rId79" w:history="1">
        <w:r w:rsidRPr="00D60C0F">
          <w:rPr>
            <w:rStyle w:val="Hyperlink"/>
          </w:rPr>
          <w:t>gallery walk</w:t>
        </w:r>
      </w:hyperlink>
      <w:r>
        <w:t xml:space="preserve"> to examine the tables created by other </w:t>
      </w:r>
      <w:r w:rsidR="005E6FEE">
        <w:t>students</w:t>
      </w:r>
      <w:r>
        <w:t xml:space="preserve"> in the class. While conducting your gallery walk, complete the 2 remaining hardcopy tables </w:t>
      </w:r>
      <w:r w:rsidR="000540F7">
        <w:rPr>
          <w:szCs w:val="22"/>
        </w:rPr>
        <w:t xml:space="preserve">on 2 </w:t>
      </w:r>
      <w:r w:rsidR="001F10B0">
        <w:t xml:space="preserve">other </w:t>
      </w:r>
      <w:r w:rsidR="005E6FEE">
        <w:t xml:space="preserve">groups </w:t>
      </w:r>
      <w:r w:rsidR="001F10B0">
        <w:t>experiencing disadvantage</w:t>
      </w:r>
      <w:r w:rsidR="000540F7">
        <w:t xml:space="preserve"> that are different to the group that you have studied</w:t>
      </w:r>
      <w:r w:rsidR="001F10B0">
        <w:t>.</w:t>
      </w:r>
      <w:r>
        <w:t xml:space="preserve"> </w:t>
      </w:r>
      <w:r w:rsidR="000540F7">
        <w:t>Be sure to identify the group on each table.</w:t>
      </w:r>
    </w:p>
    <w:p w14:paraId="4EDD42F5" w14:textId="0C22DE84" w:rsidR="000540F7" w:rsidRDefault="000540F7" w:rsidP="00FE6DDC">
      <w:r>
        <w:t>Keep you</w:t>
      </w:r>
      <w:r w:rsidR="00531566">
        <w:t>r</w:t>
      </w:r>
      <w:r>
        <w:t xml:space="preserve"> 3 tables with your notes to support preparation to complete responses on multiple groups experiencing disadvantage.</w:t>
      </w:r>
    </w:p>
    <w:p w14:paraId="7C409197" w14:textId="77777777" w:rsidR="00FE6DDC" w:rsidRDefault="00FE6DDC" w:rsidP="00FE6DDC">
      <w:pPr>
        <w:pStyle w:val="FeatureBox2"/>
      </w:pPr>
      <w:r>
        <w:rPr>
          <w:b/>
          <w:bCs/>
          <w:szCs w:val="22"/>
        </w:rPr>
        <w:t>Note</w:t>
      </w:r>
      <w:r w:rsidRPr="009C4761">
        <w:rPr>
          <w:szCs w:val="22"/>
        </w:rPr>
        <w:t xml:space="preserve">: </w:t>
      </w:r>
      <w:r>
        <w:rPr>
          <w:szCs w:val="22"/>
        </w:rPr>
        <w:t xml:space="preserve">teachers may wish to use </w:t>
      </w:r>
      <w:hyperlink r:id="rId80" w:anchor=":~:text=provide%20educators%20with%20effective%20structures%20for%20key%20text-types" w:history="1">
        <w:r w:rsidRPr="00AF7B95">
          <w:rPr>
            <w:rStyle w:val="Hyperlink"/>
            <w:szCs w:val="22"/>
          </w:rPr>
          <w:t>writing scaffolds</w:t>
        </w:r>
      </w:hyperlink>
      <w:r>
        <w:rPr>
          <w:szCs w:val="22"/>
        </w:rPr>
        <w:t xml:space="preserve"> to support students to complete the next activity.</w:t>
      </w:r>
    </w:p>
    <w:p w14:paraId="541E515B" w14:textId="3869AA34" w:rsidR="00FE6DDC" w:rsidRDefault="00FE6DDC" w:rsidP="00FE6DDC">
      <w:pPr>
        <w:rPr>
          <w:szCs w:val="22"/>
        </w:rPr>
      </w:pPr>
      <w:r>
        <w:t xml:space="preserve">Use </w:t>
      </w:r>
      <w:r w:rsidR="000540F7">
        <w:t xml:space="preserve">the table that you completed on your chosen group experiencing disadvantage </w:t>
      </w:r>
      <w:r>
        <w:t xml:space="preserve">to individually </w:t>
      </w:r>
      <w:r>
        <w:rPr>
          <w:rFonts w:eastAsia="Arial"/>
          <w:color w:val="000000" w:themeColor="text1"/>
          <w:szCs w:val="22"/>
        </w:rPr>
        <w:t xml:space="preserve">write a </w:t>
      </w:r>
      <w:r w:rsidR="00CF0670">
        <w:rPr>
          <w:rFonts w:eastAsia="Arial"/>
          <w:color w:val="000000" w:themeColor="text1"/>
          <w:szCs w:val="22"/>
        </w:rPr>
        <w:t>one</w:t>
      </w:r>
      <w:r>
        <w:rPr>
          <w:rFonts w:eastAsia="Arial"/>
          <w:color w:val="000000" w:themeColor="text1"/>
          <w:szCs w:val="22"/>
        </w:rPr>
        <w:t xml:space="preserve">-paragraph evaluation of </w:t>
      </w:r>
      <w:r>
        <w:rPr>
          <w:szCs w:val="22"/>
        </w:rPr>
        <w:t xml:space="preserve">legal responses to disadvantage experienced by </w:t>
      </w:r>
      <w:r w:rsidR="000540F7">
        <w:rPr>
          <w:szCs w:val="22"/>
        </w:rPr>
        <w:t>your group.</w:t>
      </w:r>
    </w:p>
    <w:p w14:paraId="2A23E182" w14:textId="7F9BECA1" w:rsidR="00FE6DDC" w:rsidRDefault="00FE6DDC" w:rsidP="00FE6DDC">
      <w:pPr>
        <w:rPr>
          <w:szCs w:val="22"/>
        </w:rPr>
      </w:pPr>
      <w:r>
        <w:lastRenderedPageBreak/>
        <w:t xml:space="preserve">Use </w:t>
      </w:r>
      <w:r w:rsidR="000540F7">
        <w:t xml:space="preserve">the table that you completed on your chosen group experiencing disadvantage </w:t>
      </w:r>
      <w:r w:rsidR="00AA3DB6">
        <w:t xml:space="preserve">to individually </w:t>
      </w:r>
      <w:r>
        <w:rPr>
          <w:rFonts w:eastAsia="Arial"/>
          <w:color w:val="000000" w:themeColor="text1"/>
          <w:szCs w:val="22"/>
        </w:rPr>
        <w:t xml:space="preserve">write a </w:t>
      </w:r>
      <w:r w:rsidR="00CF0670">
        <w:rPr>
          <w:rFonts w:eastAsia="Arial"/>
          <w:color w:val="000000" w:themeColor="text1"/>
          <w:szCs w:val="22"/>
        </w:rPr>
        <w:t>one</w:t>
      </w:r>
      <w:r>
        <w:rPr>
          <w:rFonts w:eastAsia="Arial"/>
          <w:color w:val="000000" w:themeColor="text1"/>
          <w:szCs w:val="22"/>
        </w:rPr>
        <w:t>-paragraph evaluation of non-</w:t>
      </w:r>
      <w:r>
        <w:rPr>
          <w:szCs w:val="22"/>
        </w:rPr>
        <w:t xml:space="preserve">legal responses to disadvantage experienced by </w:t>
      </w:r>
      <w:r w:rsidR="00AA3DB6">
        <w:rPr>
          <w:szCs w:val="22"/>
        </w:rPr>
        <w:t>your group.</w:t>
      </w:r>
    </w:p>
    <w:p w14:paraId="3D8EFCB6" w14:textId="22E26D63" w:rsidR="00FE6DDC" w:rsidRPr="008A1C7D" w:rsidRDefault="00FE6DDC" w:rsidP="00FE6DDC">
      <w:pPr>
        <w:rPr>
          <w:rFonts w:eastAsia="Arial"/>
          <w:color w:val="000000" w:themeColor="text1"/>
          <w:szCs w:val="22"/>
        </w:rPr>
      </w:pPr>
      <w:r>
        <w:rPr>
          <w:szCs w:val="22"/>
        </w:rPr>
        <w:t xml:space="preserve">In each response, </w:t>
      </w:r>
      <w:r>
        <w:t>e</w:t>
      </w:r>
      <w:r w:rsidRPr="005F759C">
        <w:t>valuate the effectiveness of the legal and non-legal responses to</w:t>
      </w:r>
      <w:r>
        <w:rPr>
          <w:szCs w:val="22"/>
        </w:rPr>
        <w:t xml:space="preserve"> disadvantage experienced by </w:t>
      </w:r>
      <w:r w:rsidR="00AA3DB6">
        <w:rPr>
          <w:szCs w:val="22"/>
        </w:rPr>
        <w:t xml:space="preserve">your group </w:t>
      </w:r>
      <w:r>
        <w:rPr>
          <w:szCs w:val="22"/>
        </w:rPr>
        <w:t>with reference to the criteria below:</w:t>
      </w:r>
    </w:p>
    <w:p w14:paraId="3181ACB5" w14:textId="77777777" w:rsidR="00FE6DDC" w:rsidRPr="0043669E" w:rsidRDefault="00FE6DDC" w:rsidP="00FE6DDC">
      <w:pPr>
        <w:pStyle w:val="ListBullet"/>
      </w:pPr>
      <w:r w:rsidRPr="0043669E">
        <w:t>resource efficiency</w:t>
      </w:r>
    </w:p>
    <w:p w14:paraId="56CB6662" w14:textId="77777777" w:rsidR="00FE6DDC" w:rsidRPr="0043669E" w:rsidRDefault="00FE6DDC" w:rsidP="00FE6DDC">
      <w:pPr>
        <w:pStyle w:val="ListBullet"/>
      </w:pPr>
      <w:r w:rsidRPr="0043669E">
        <w:t>accessibility</w:t>
      </w:r>
    </w:p>
    <w:p w14:paraId="54239425" w14:textId="77777777" w:rsidR="00FE6DDC" w:rsidRPr="0043669E" w:rsidRDefault="00FE6DDC" w:rsidP="00FE6DDC">
      <w:pPr>
        <w:pStyle w:val="ListBullet"/>
      </w:pPr>
      <w:r w:rsidRPr="0043669E">
        <w:t>enforceability</w:t>
      </w:r>
    </w:p>
    <w:p w14:paraId="73F72169" w14:textId="77777777" w:rsidR="00FE6DDC" w:rsidRPr="0043669E" w:rsidRDefault="00FE6DDC" w:rsidP="00FE6DDC">
      <w:pPr>
        <w:pStyle w:val="ListBullet"/>
      </w:pPr>
      <w:r w:rsidRPr="0043669E">
        <w:t>responsiveness</w:t>
      </w:r>
    </w:p>
    <w:p w14:paraId="6AC9AE68" w14:textId="77777777" w:rsidR="00FE6DDC" w:rsidRPr="0043669E" w:rsidRDefault="00FE6DDC" w:rsidP="00FE6DDC">
      <w:pPr>
        <w:pStyle w:val="ListBullet"/>
      </w:pPr>
      <w:r w:rsidRPr="0043669E">
        <w:t>protection of individual rights</w:t>
      </w:r>
    </w:p>
    <w:p w14:paraId="5634AFF6" w14:textId="77777777" w:rsidR="00FE6DDC" w:rsidRPr="0043669E" w:rsidRDefault="00FE6DDC" w:rsidP="00FE6DDC">
      <w:pPr>
        <w:pStyle w:val="ListBullet"/>
      </w:pPr>
      <w:r w:rsidRPr="0043669E">
        <w:t>meeting society’s needs</w:t>
      </w:r>
    </w:p>
    <w:p w14:paraId="3E4F44A9" w14:textId="61DC15B3" w:rsidR="00FE6DDC" w:rsidRDefault="00FE6DDC" w:rsidP="00FE6DDC">
      <w:pPr>
        <w:pStyle w:val="ListBullet"/>
      </w:pPr>
      <w:r w:rsidRPr="0043669E">
        <w:t>application of the rule of law</w:t>
      </w:r>
      <w:r w:rsidR="00531566">
        <w:t>.</w:t>
      </w:r>
    </w:p>
    <w:p w14:paraId="766B8C53" w14:textId="77777777" w:rsidR="0070630A" w:rsidRPr="0009012B" w:rsidRDefault="0070630A" w:rsidP="0070630A">
      <w:pPr>
        <w:pStyle w:val="FeatureBox2"/>
      </w:pPr>
      <w:r>
        <w:rPr>
          <w:b/>
          <w:bCs/>
          <w:szCs w:val="22"/>
        </w:rPr>
        <w:t>Note</w:t>
      </w:r>
      <w:r w:rsidRPr="009C4761">
        <w:rPr>
          <w:szCs w:val="22"/>
        </w:rPr>
        <w:t xml:space="preserve">: </w:t>
      </w:r>
      <w:r>
        <w:rPr>
          <w:szCs w:val="22"/>
        </w:rPr>
        <w:t xml:space="preserve">teachers may wish to use </w:t>
      </w:r>
      <w:hyperlink r:id="rId81" w:anchor=":~:text=provide%20educators%20with%20effective%20structures%20for%20key%20text-types" w:history="1">
        <w:r w:rsidRPr="00AF7B95">
          <w:rPr>
            <w:rStyle w:val="Hyperlink"/>
            <w:szCs w:val="22"/>
          </w:rPr>
          <w:t>writing scaffolds</w:t>
        </w:r>
      </w:hyperlink>
      <w:r>
        <w:rPr>
          <w:szCs w:val="22"/>
        </w:rPr>
        <w:t xml:space="preserve"> to support students to complete the next activity.</w:t>
      </w:r>
    </w:p>
    <w:p w14:paraId="3448CFAE" w14:textId="38E6C098" w:rsidR="0014116A" w:rsidRDefault="0070630A" w:rsidP="0014116A">
      <w:pPr>
        <w:pStyle w:val="ListBullet"/>
      </w:pPr>
      <w:r>
        <w:rPr>
          <w:rFonts w:eastAsia="Arial"/>
          <w:color w:val="000000" w:themeColor="text1"/>
          <w:szCs w:val="22"/>
        </w:rPr>
        <w:t>W</w:t>
      </w:r>
      <w:r w:rsidRPr="00760E37">
        <w:rPr>
          <w:rFonts w:eastAsia="Arial"/>
          <w:color w:val="000000" w:themeColor="text1"/>
          <w:szCs w:val="22"/>
        </w:rPr>
        <w:t xml:space="preserve">rite a multi-paragraph response </w:t>
      </w:r>
      <w:r>
        <w:t xml:space="preserve">evaluating </w:t>
      </w:r>
      <w:r w:rsidR="00AA3DB6" w:rsidRPr="005F759C">
        <w:t xml:space="preserve">the effectiveness of the legal and non-legal responses </w:t>
      </w:r>
      <w:r w:rsidR="00AA3DB6">
        <w:t xml:space="preserve">to the chosen group experiencing disadvantage using </w:t>
      </w:r>
      <w:r w:rsidR="006A79E3">
        <w:t xml:space="preserve">the above </w:t>
      </w:r>
      <w:r w:rsidR="00AA3DB6">
        <w:t>criteria</w:t>
      </w:r>
      <w:r w:rsidR="00AA3DB6" w:rsidRPr="005F759C">
        <w:t>.</w:t>
      </w:r>
      <w:r>
        <w:t xml:space="preserve"> Specify the nature of the legal disadvantage experienced by</w:t>
      </w:r>
      <w:r w:rsidR="007C568A">
        <w:t xml:space="preserve"> the chosen group, its relationship to socio-economic disadvantage and </w:t>
      </w:r>
      <w:r w:rsidR="0024234F">
        <w:t xml:space="preserve">clearly justify your conclusions </w:t>
      </w:r>
      <w:r w:rsidR="0021010F">
        <w:t>based on</w:t>
      </w:r>
      <w:r w:rsidR="0024234F">
        <w:t xml:space="preserve"> evidence.</w:t>
      </w:r>
      <w:r w:rsidR="0014116A">
        <w:br w:type="page"/>
      </w:r>
    </w:p>
    <w:p w14:paraId="2DB6441E" w14:textId="6317C3C0" w:rsidR="00C02F82" w:rsidRPr="0014116A" w:rsidRDefault="54F41CBD" w:rsidP="0014116A">
      <w:pPr>
        <w:pStyle w:val="Heading1"/>
      </w:pPr>
      <w:bookmarkStart w:id="20" w:name="_Toc197941739"/>
      <w:r w:rsidRPr="0014116A">
        <w:lastRenderedPageBreak/>
        <w:t>Additional information</w:t>
      </w:r>
      <w:bookmarkEnd w:id="7"/>
      <w:bookmarkEnd w:id="20"/>
    </w:p>
    <w:p w14:paraId="445FF2E3" w14:textId="3E7507B8" w:rsidR="00C02F82" w:rsidRDefault="00C02F82" w:rsidP="00CE359A">
      <w:r w:rsidRPr="00A12C29">
        <w:t xml:space="preserve">The information below can be used to support teachers when using this teaching resource for </w:t>
      </w:r>
      <w:r w:rsidR="00D6439E">
        <w:t>Stage 6 legal studies.</w:t>
      </w:r>
    </w:p>
    <w:p w14:paraId="03C461FE" w14:textId="77777777" w:rsidR="00C02F82" w:rsidRPr="0014116A" w:rsidRDefault="54F41CBD" w:rsidP="0014116A">
      <w:pPr>
        <w:pStyle w:val="Heading2"/>
      </w:pPr>
      <w:bookmarkStart w:id="21" w:name="_Toc1022999069"/>
      <w:bookmarkStart w:id="22" w:name="_Toc112409496"/>
      <w:bookmarkStart w:id="23" w:name="_Toc197941740"/>
      <w:r w:rsidRPr="0014116A">
        <w:t>Support and alignment</w:t>
      </w:r>
      <w:bookmarkEnd w:id="21"/>
      <w:bookmarkEnd w:id="22"/>
      <w:bookmarkEnd w:id="23"/>
    </w:p>
    <w:p w14:paraId="324E24D6" w14:textId="22D0872C" w:rsidR="00083C72" w:rsidRDefault="00083C72" w:rsidP="00083C72">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D6439E">
        <w:t>HSIE</w:t>
      </w:r>
      <w:r>
        <w:t xml:space="preserve"> Curriculum team by emailing </w:t>
      </w:r>
      <w:hyperlink r:id="rId82" w:history="1">
        <w:r w:rsidR="00D6439E" w:rsidRPr="00A815DA">
          <w:rPr>
            <w:rStyle w:val="Hyperlink"/>
          </w:rPr>
          <w:t>hsie@det.nsw.edu.au</w:t>
        </w:r>
      </w:hyperlink>
      <w:r w:rsidR="0033712D">
        <w:t>.</w:t>
      </w:r>
    </w:p>
    <w:p w14:paraId="7AE7E85A" w14:textId="07ADBDAA" w:rsidR="00083C72" w:rsidRPr="00C82E19" w:rsidRDefault="00083C72" w:rsidP="00083C72">
      <w:pPr>
        <w:rPr>
          <w:rFonts w:eastAsia="Arial"/>
        </w:rPr>
      </w:pPr>
      <w:bookmarkStart w:id="24" w:name="_Hlk148105154"/>
      <w:r w:rsidRPr="19B962B9">
        <w:rPr>
          <w:b/>
          <w:bCs/>
        </w:rPr>
        <w:t>Differentiation</w:t>
      </w:r>
      <w:r w:rsidRPr="009C4761">
        <w:t xml:space="preserve">: </w:t>
      </w:r>
      <w:r w:rsidRPr="0033712D">
        <w:t>f</w:t>
      </w:r>
      <w:r w:rsidRPr="19B962B9">
        <w:rPr>
          <w:rFonts w:eastAsia="Arial"/>
        </w:rPr>
        <w:t>urther advice to support Aboriginal and</w:t>
      </w:r>
      <w:r w:rsidR="009C4761">
        <w:rPr>
          <w:rFonts w:eastAsia="Arial"/>
        </w:rPr>
        <w:t>/or</w:t>
      </w:r>
      <w:r w:rsidRPr="19B962B9">
        <w:rPr>
          <w:rFonts w:eastAsia="Arial"/>
        </w:rPr>
        <w:t xml:space="preserve"> Torres Strait Islander students, </w:t>
      </w:r>
      <w:r w:rsidR="00A815DA">
        <w:rPr>
          <w:rFonts w:eastAsia="Arial"/>
        </w:rPr>
        <w:t>students learning English as an additional language or dialect (</w:t>
      </w:r>
      <w:r w:rsidRPr="19B962B9">
        <w:rPr>
          <w:rFonts w:eastAsia="Arial"/>
        </w:rPr>
        <w:t>EAL</w:t>
      </w:r>
      <w:r w:rsidR="009C4761">
        <w:rPr>
          <w:rFonts w:eastAsia="Arial"/>
        </w:rPr>
        <w:t>/</w:t>
      </w:r>
      <w:r w:rsidRPr="19B962B9">
        <w:rPr>
          <w:rFonts w:eastAsia="Arial"/>
        </w:rPr>
        <w:t>D</w:t>
      </w:r>
      <w:r w:rsidR="00A815DA">
        <w:rPr>
          <w:rFonts w:eastAsia="Arial"/>
        </w:rPr>
        <w:t>)</w:t>
      </w:r>
      <w:r w:rsidRPr="19B962B9">
        <w:rPr>
          <w:rFonts w:eastAsia="Arial"/>
        </w:rPr>
        <w:t xml:space="preserve">, students with a disability and/or additional needs and </w:t>
      </w:r>
      <w:r w:rsidR="009C4761">
        <w:rPr>
          <w:rFonts w:eastAsia="Arial"/>
        </w:rPr>
        <w:t>h</w:t>
      </w:r>
      <w:r w:rsidRPr="19B962B9">
        <w:rPr>
          <w:rFonts w:eastAsia="Arial"/>
        </w:rPr>
        <w:t xml:space="preserve">igh </w:t>
      </w:r>
      <w:r w:rsidR="009C4761">
        <w:rPr>
          <w:rFonts w:eastAsia="Arial"/>
        </w:rPr>
        <w:t>p</w:t>
      </w:r>
      <w:r w:rsidRPr="19B962B9">
        <w:rPr>
          <w:rFonts w:eastAsia="Arial"/>
        </w:rPr>
        <w:t xml:space="preserve">otential and gifted students can be found on the </w:t>
      </w:r>
      <w:hyperlink r:id="rId83">
        <w:r w:rsidRPr="19B962B9">
          <w:rPr>
            <w:rStyle w:val="Hyperlink"/>
            <w:rFonts w:eastAsia="Arial"/>
          </w:rPr>
          <w:t>Planning</w:t>
        </w:r>
        <w:r w:rsidR="009C4761">
          <w:rPr>
            <w:rStyle w:val="Hyperlink"/>
            <w:rFonts w:eastAsia="Arial"/>
          </w:rPr>
          <w:t>,</w:t>
        </w:r>
        <w:r w:rsidRPr="19B962B9">
          <w:rPr>
            <w:rStyle w:val="Hyperlink"/>
            <w:rFonts w:eastAsia="Arial"/>
          </w:rPr>
          <w:t xml:space="preserve"> programming and assessing 7</w:t>
        </w:r>
        <w:r w:rsidR="009C4761">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84" w:history="1">
        <w:r w:rsidRPr="00BD39B0">
          <w:rPr>
            <w:rStyle w:val="Hyperlink"/>
          </w:rPr>
          <w:t xml:space="preserve">Inclusion and differentiation </w:t>
        </w:r>
        <w:r w:rsidR="009C4761">
          <w:rPr>
            <w:rStyle w:val="Hyperlink"/>
          </w:rPr>
          <w:t xml:space="preserve">advice </w:t>
        </w:r>
        <w:r w:rsidRPr="00BD39B0">
          <w:rPr>
            <w:rStyle w:val="Hyperlink"/>
          </w:rPr>
          <w:t>7</w:t>
        </w:r>
        <w:r>
          <w:rPr>
            <w:rStyle w:val="Hyperlink"/>
          </w:rPr>
          <w:t>–</w:t>
        </w:r>
        <w:r w:rsidRPr="00BD39B0">
          <w:rPr>
            <w:rStyle w:val="Hyperlink"/>
          </w:rPr>
          <w:t>10</w:t>
        </w:r>
      </w:hyperlink>
      <w:r>
        <w:t xml:space="preserve"> webpage.</w:t>
      </w:r>
    </w:p>
    <w:p w14:paraId="2DC9B0E5" w14:textId="00C126E8" w:rsidR="00083C72" w:rsidRDefault="00083C72" w:rsidP="00083C72">
      <w:r w:rsidRPr="19B962B9">
        <w:rPr>
          <w:b/>
          <w:bCs/>
        </w:rPr>
        <w:t>Assessment</w:t>
      </w:r>
      <w:r>
        <w:t xml:space="preserve">: </w:t>
      </w:r>
      <w:r w:rsidRPr="19B962B9">
        <w:rPr>
          <w:rFonts w:eastAsia="Arial"/>
        </w:rPr>
        <w:t xml:space="preserve">further advice to support formative assessment is available on the </w:t>
      </w:r>
      <w:hyperlink r:id="rId85">
        <w:r w:rsidRPr="19B962B9">
          <w:rPr>
            <w:rStyle w:val="Hyperlink"/>
            <w:rFonts w:eastAsia="Arial"/>
          </w:rPr>
          <w:t>Planning</w:t>
        </w:r>
        <w:r w:rsidR="009C4761">
          <w:rPr>
            <w:rStyle w:val="Hyperlink"/>
            <w:rFonts w:eastAsia="Arial"/>
          </w:rPr>
          <w:t>,</w:t>
        </w:r>
        <w:r w:rsidRPr="19B962B9">
          <w:rPr>
            <w:rStyle w:val="Hyperlink"/>
            <w:rFonts w:eastAsia="Arial"/>
          </w:rPr>
          <w:t xml:space="preserve"> programming and assessing 7</w:t>
        </w:r>
        <w:r w:rsidR="009C4761">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86" w:history="1">
        <w:r w:rsidRPr="00D15E22">
          <w:rPr>
            <w:rStyle w:val="Hyperlink"/>
          </w:rPr>
          <w:t>Classroom assessment advice 7</w:t>
        </w:r>
        <w:r w:rsidR="009C4761">
          <w:rPr>
            <w:rStyle w:val="Hyperlink"/>
          </w:rPr>
          <w:t>–</w:t>
        </w:r>
        <w:r w:rsidRPr="00D15E22">
          <w:rPr>
            <w:rStyle w:val="Hyperlink"/>
          </w:rPr>
          <w:t>10</w:t>
        </w:r>
      </w:hyperlink>
      <w:r>
        <w:t xml:space="preserve">. For summative assessment tasks, the </w:t>
      </w:r>
      <w:hyperlink r:id="rId87" w:history="1">
        <w:r w:rsidR="009C4761">
          <w:rPr>
            <w:rStyle w:val="Hyperlink"/>
          </w:rPr>
          <w:t>A</w:t>
        </w:r>
        <w:r w:rsidRPr="00E95D83">
          <w:rPr>
            <w:rStyle w:val="Hyperlink"/>
          </w:rPr>
          <w:t>ssessment task advice 7</w:t>
        </w:r>
        <w:r w:rsidR="009C4761">
          <w:rPr>
            <w:rStyle w:val="Hyperlink"/>
          </w:rPr>
          <w:t>–</w:t>
        </w:r>
        <w:r w:rsidRPr="00E95D83">
          <w:rPr>
            <w:rStyle w:val="Hyperlink"/>
          </w:rPr>
          <w:t>10</w:t>
        </w:r>
      </w:hyperlink>
      <w:r>
        <w:t xml:space="preserve"> webpage is available.</w:t>
      </w:r>
    </w:p>
    <w:p w14:paraId="2D93FFC2" w14:textId="77777777" w:rsidR="00083C72" w:rsidRDefault="00083C72" w:rsidP="00083C72">
      <w:r w:rsidRPr="00715BE0">
        <w:rPr>
          <w:rStyle w:val="Strong"/>
        </w:rPr>
        <w:t>Explicit teaching</w:t>
      </w:r>
      <w:r w:rsidRPr="009C4761">
        <w:rPr>
          <w:rStyle w:val="Strong"/>
          <w:b w:val="0"/>
          <w:bCs w:val="0"/>
        </w:rPr>
        <w:t>:</w:t>
      </w:r>
      <w:r w:rsidRPr="00715BE0">
        <w:t xml:space="preserve"> further advice to support explicit teaching is available on the </w:t>
      </w:r>
      <w:hyperlink r:id="rId88" w:history="1">
        <w:r w:rsidRPr="00715BE0">
          <w:rPr>
            <w:rStyle w:val="Hyperlink"/>
          </w:rPr>
          <w:t>Explicit teaching</w:t>
        </w:r>
      </w:hyperlink>
      <w:r w:rsidRPr="00715BE0">
        <w:t xml:space="preserve"> webpage. This includes the CESE </w:t>
      </w:r>
      <w:hyperlink r:id="rId89" w:history="1">
        <w:r w:rsidRPr="00715BE0">
          <w:rPr>
            <w:rStyle w:val="Hyperlink"/>
          </w:rPr>
          <w:t>Explicit teaching – Driving learning and engagement</w:t>
        </w:r>
      </w:hyperlink>
      <w:r w:rsidRPr="00715BE0">
        <w:t xml:space="preserve"> webpage.</w:t>
      </w:r>
    </w:p>
    <w:p w14:paraId="21C782A8" w14:textId="21D18BE7" w:rsidR="00083C72" w:rsidRDefault="605CBC0D" w:rsidP="35D0B27B">
      <w:pPr>
        <w:rPr>
          <w:rFonts w:eastAsia="Arial"/>
        </w:rPr>
      </w:pPr>
      <w:r w:rsidRPr="35D0B27B">
        <w:rPr>
          <w:b/>
          <w:bCs/>
        </w:rPr>
        <w:t>Consulted with</w:t>
      </w:r>
      <w:r>
        <w:t xml:space="preserve">: </w:t>
      </w:r>
      <w:r w:rsidR="304B36B2" w:rsidRPr="00594463">
        <w:t>Curriculum and Reform, Aboriginal Education and Communities Directorate, High Potential and Gifted Education, Literacy and Numeracy, Multicultural Education</w:t>
      </w:r>
      <w:r w:rsidR="00594463">
        <w:t>, Inclusive Education</w:t>
      </w:r>
      <w:r w:rsidR="304B36B2" w:rsidRPr="00594463">
        <w:t xml:space="preserve"> and Explicit Teaching.</w:t>
      </w:r>
    </w:p>
    <w:p w14:paraId="7DEC1DF3" w14:textId="77777777" w:rsidR="00083C72" w:rsidRDefault="00083C72" w:rsidP="00083C72">
      <w:r w:rsidRPr="002E7C6F">
        <w:rPr>
          <w:b/>
          <w:bCs/>
        </w:rPr>
        <w:t>Alignment to system priorities and/or needs</w:t>
      </w:r>
      <w:r>
        <w:t xml:space="preserve">: </w:t>
      </w:r>
      <w:hyperlink r:id="rId90" w:history="1">
        <w:r w:rsidRPr="00D336ED">
          <w:rPr>
            <w:rStyle w:val="Hyperlink"/>
          </w:rPr>
          <w:t>School Excellence Policy</w:t>
        </w:r>
      </w:hyperlink>
      <w:r>
        <w:t xml:space="preserve">, </w:t>
      </w:r>
      <w:hyperlink r:id="rId91" w:history="1">
        <w:r w:rsidRPr="00715BE0">
          <w:rPr>
            <w:rStyle w:val="Hyperlink"/>
          </w:rPr>
          <w:t>Our Plan for NSW Public Education</w:t>
        </w:r>
      </w:hyperlink>
      <w:r w:rsidRPr="00715BE0">
        <w:t>.</w:t>
      </w:r>
    </w:p>
    <w:p w14:paraId="6645F8F3" w14:textId="72252FE1" w:rsidR="00083C72" w:rsidRDefault="00083C72" w:rsidP="00083C72">
      <w:r w:rsidRPr="002E7C6F">
        <w:rPr>
          <w:b/>
          <w:bCs/>
        </w:rPr>
        <w:t>Alignment to the School Excellence Framework</w:t>
      </w:r>
      <w:r>
        <w:t xml:space="preserve">: this resource supports the </w:t>
      </w:r>
      <w:hyperlink r:id="rId92" w:history="1">
        <w:r w:rsidRPr="00D336ED">
          <w:rPr>
            <w:rStyle w:val="Hyperlink"/>
          </w:rPr>
          <w:t>School Excellence Framework</w:t>
        </w:r>
      </w:hyperlink>
      <w:r>
        <w:t xml:space="preserve"> elements of curriculum (curriculum provision) and effective classroom practice (lesson planning, explicit teaching).</w:t>
      </w:r>
    </w:p>
    <w:p w14:paraId="256C5DEB" w14:textId="63DB6E8E" w:rsidR="00083C72" w:rsidRDefault="00083C72" w:rsidP="00083C72">
      <w:r w:rsidRPr="708AD2A7">
        <w:rPr>
          <w:b/>
          <w:bCs/>
        </w:rPr>
        <w:t xml:space="preserve">Alignment to Australian Professional </w:t>
      </w:r>
      <w:r w:rsidR="009F36FC">
        <w:rPr>
          <w:b/>
          <w:bCs/>
        </w:rPr>
        <w:t xml:space="preserve">Standards for </w:t>
      </w:r>
      <w:r w:rsidRPr="708AD2A7">
        <w:rPr>
          <w:b/>
          <w:bCs/>
        </w:rPr>
        <w:t>Teach</w:t>
      </w:r>
      <w:r w:rsidR="009F36FC">
        <w:rPr>
          <w:b/>
          <w:bCs/>
        </w:rPr>
        <w:t>ers</w:t>
      </w:r>
      <w:r>
        <w:t xml:space="preserve">: this resource supports teachers to address </w:t>
      </w:r>
      <w:hyperlink r:id="rId93">
        <w:r w:rsidR="009F36FC">
          <w:rPr>
            <w:rStyle w:val="Hyperlink"/>
          </w:rPr>
          <w:t>Proficient Teacher Standard Descriptors</w:t>
        </w:r>
      </w:hyperlink>
      <w:r>
        <w:t xml:space="preserve"> [3.2.2, 3.3.2].</w:t>
      </w:r>
      <w:bookmarkEnd w:id="24"/>
    </w:p>
    <w:p w14:paraId="4D50095B" w14:textId="4546DFF3" w:rsidR="00C02F82" w:rsidRDefault="6342C669" w:rsidP="00083C72">
      <w:r w:rsidRPr="4AE4468F">
        <w:rPr>
          <w:b/>
          <w:bCs/>
        </w:rPr>
        <w:lastRenderedPageBreak/>
        <w:t>Creation date</w:t>
      </w:r>
      <w:r w:rsidRPr="009C4761">
        <w:t>:</w:t>
      </w:r>
      <w:r w:rsidR="5CD67070" w:rsidRPr="009C4761">
        <w:t xml:space="preserve"> </w:t>
      </w:r>
      <w:r w:rsidR="005D44D6">
        <w:t>September</w:t>
      </w:r>
      <w:r w:rsidR="156A722E" w:rsidRPr="009C4761">
        <w:t xml:space="preserve"> </w:t>
      </w:r>
      <w:r w:rsidR="156A722E">
        <w:t>2024</w:t>
      </w:r>
      <w:r w:rsidR="00083C72">
        <w:br w:type="page"/>
      </w:r>
    </w:p>
    <w:p w14:paraId="1283B6BD" w14:textId="77777777" w:rsidR="00C02F82" w:rsidRPr="0014116A" w:rsidRDefault="54F41CBD" w:rsidP="0014116A">
      <w:pPr>
        <w:pStyle w:val="Heading1"/>
      </w:pPr>
      <w:bookmarkStart w:id="25" w:name="_Toc112681297"/>
      <w:bookmarkStart w:id="26" w:name="_Toc197941741"/>
      <w:r w:rsidRPr="0014116A">
        <w:lastRenderedPageBreak/>
        <w:t>References</w:t>
      </w:r>
      <w:bookmarkEnd w:id="25"/>
      <w:bookmarkEnd w:id="26"/>
    </w:p>
    <w:p w14:paraId="382FC542" w14:textId="77777777" w:rsidR="00D81EAE" w:rsidRDefault="00D81EAE" w:rsidP="00D81EA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BAF52B7" w14:textId="77777777" w:rsidR="00D81EAE" w:rsidRDefault="00D81EAE" w:rsidP="00D81EAE">
      <w:pPr>
        <w:pStyle w:val="FeatureBox2"/>
      </w:pPr>
      <w:r>
        <w:t xml:space="preserve">Please refer to the NESA Copyright Disclaimer for more information </w:t>
      </w:r>
      <w:hyperlink r:id="rId94" w:tgtFrame="_blank" w:tooltip="https://educationstandards.nsw.edu.au/wps/portal/nesa/mini-footer/copyright" w:history="1">
        <w:r>
          <w:rPr>
            <w:rStyle w:val="Hyperlink"/>
          </w:rPr>
          <w:t>https://educationstandards.nsw.edu.au/wps/portal/nesa/mini-footer/copyright</w:t>
        </w:r>
      </w:hyperlink>
      <w:r>
        <w:t>.</w:t>
      </w:r>
    </w:p>
    <w:p w14:paraId="3004F2E0" w14:textId="77777777" w:rsidR="00D81EAE" w:rsidRDefault="00D81EAE" w:rsidP="00D81EAE">
      <w:pPr>
        <w:pStyle w:val="FeatureBox2"/>
      </w:pPr>
      <w:r>
        <w:t xml:space="preserve">NESA holds the only official and up-to-date versions of the NSW Curriculum and syllabus documents. Please visit the NSW Education Standards Authority (NESA) website </w:t>
      </w:r>
      <w:hyperlink r:id="rId95" w:history="1">
        <w:r>
          <w:rPr>
            <w:rStyle w:val="Hyperlink"/>
          </w:rPr>
          <w:t>https://educationstandards.nsw.edu.au</w:t>
        </w:r>
      </w:hyperlink>
      <w:r>
        <w:t xml:space="preserve"> and the NSW Curriculum website </w:t>
      </w:r>
      <w:hyperlink r:id="rId96" w:history="1">
        <w:r>
          <w:rPr>
            <w:rStyle w:val="Hyperlink"/>
          </w:rPr>
          <w:t>https://curriculum.nsw.edu.au</w:t>
        </w:r>
      </w:hyperlink>
      <w:r>
        <w:t>.</w:t>
      </w:r>
    </w:p>
    <w:p w14:paraId="69A600B1" w14:textId="4DC2B027" w:rsidR="00C02F82" w:rsidRDefault="00F254DB" w:rsidP="00C02F82">
      <w:hyperlink r:id="rId97" w:history="1">
        <w:r w:rsidRPr="00C84A51">
          <w:rPr>
            <w:rStyle w:val="Hyperlink"/>
          </w:rPr>
          <w:t>Legal Studies Stage 6 Syllabus</w:t>
        </w:r>
      </w:hyperlink>
      <w:r>
        <w:rPr>
          <w:rStyle w:val="Hyperlink"/>
        </w:rPr>
        <w:t xml:space="preserve"> </w:t>
      </w:r>
      <w:r w:rsidR="00C02F82">
        <w:t>© NSW Education Standards Authority (NESA) for and on behalf of the Crown in right of the State of New South Wales</w:t>
      </w:r>
      <w:r w:rsidR="0071731F">
        <w:t xml:space="preserve">, </w:t>
      </w:r>
      <w:r w:rsidR="0071731F" w:rsidRPr="001A3A6B">
        <w:t>2009</w:t>
      </w:r>
      <w:r w:rsidR="00C02F82">
        <w:t>.</w:t>
      </w:r>
    </w:p>
    <w:p w14:paraId="529F3C05" w14:textId="20D1E7A9" w:rsidR="00121E05" w:rsidRDefault="00121E05" w:rsidP="00121E05">
      <w:pPr>
        <w:rPr>
          <w:rFonts w:eastAsia="Arial"/>
          <w:color w:val="000000" w:themeColor="text1"/>
        </w:rPr>
      </w:pPr>
      <w:r w:rsidRPr="4AE4468F">
        <w:rPr>
          <w:rFonts w:eastAsia="Arial"/>
          <w:color w:val="000000" w:themeColor="text1"/>
        </w:rPr>
        <w:t xml:space="preserve">AITSL (Australian Institute for Teaching and School Leadership Limited) (n.d.) </w:t>
      </w:r>
      <w:hyperlink r:id="rId98" w:anchor=":~:text=Learning%20Intentions%20are%20descriptions%20of,providing%20feedback%20and%20assessing%20achievement.">
        <w:r w:rsidRPr="4AE4468F">
          <w:rPr>
            <w:rStyle w:val="Hyperlink"/>
            <w:rFonts w:eastAsia="Arial"/>
            <w:i/>
            <w:iCs/>
          </w:rPr>
          <w:t>Learning intentions and success criteria</w:t>
        </w:r>
        <w:r w:rsidRPr="4AE4468F">
          <w:rPr>
            <w:rStyle w:val="Hyperlink"/>
            <w:rFonts w:eastAsia="Arial"/>
          </w:rPr>
          <w:t xml:space="preserve"> [PDF 251 KB]</w:t>
        </w:r>
      </w:hyperlink>
      <w:r w:rsidRPr="4AE4468F">
        <w:rPr>
          <w:rFonts w:eastAsia="Arial"/>
          <w:color w:val="000000" w:themeColor="text1"/>
        </w:rPr>
        <w:t>, AITSL</w:t>
      </w:r>
      <w:r>
        <w:rPr>
          <w:rFonts w:eastAsia="Arial"/>
          <w:color w:val="000000" w:themeColor="text1"/>
        </w:rPr>
        <w:t xml:space="preserve"> website</w:t>
      </w:r>
      <w:r w:rsidRPr="4AE4468F">
        <w:rPr>
          <w:rFonts w:eastAsia="Arial"/>
          <w:color w:val="000000" w:themeColor="text1"/>
        </w:rPr>
        <w:t>, accessed 30 May 2024.</w:t>
      </w:r>
    </w:p>
    <w:p w14:paraId="6F2B26B4" w14:textId="0867B9DC" w:rsidR="00D37800" w:rsidRDefault="00D37800" w:rsidP="00D37800">
      <w:pPr>
        <w:rPr>
          <w:rFonts w:eastAsia="Arial"/>
          <w:color w:val="000000" w:themeColor="text1"/>
        </w:rPr>
      </w:pPr>
      <w:r w:rsidRPr="4AE4468F">
        <w:rPr>
          <w:rFonts w:eastAsia="Arial"/>
          <w:color w:val="000000" w:themeColor="text1"/>
        </w:rPr>
        <w:t xml:space="preserve">AITSL (2017) </w:t>
      </w:r>
      <w:hyperlink r:id="rId99" w:anchor=":~:text=FEEDBACK-,Factsheet,-A%20quick%20guide">
        <w:r w:rsidRPr="0085045D">
          <w:rPr>
            <w:rStyle w:val="Hyperlink"/>
            <w:rFonts w:eastAsia="Arial"/>
            <w:i/>
            <w:iCs/>
          </w:rPr>
          <w:t>Feedback Factsheet</w:t>
        </w:r>
      </w:hyperlink>
      <w:r w:rsidRPr="4AE4468F">
        <w:rPr>
          <w:rFonts w:eastAsia="Arial"/>
          <w:color w:val="000000" w:themeColor="text1"/>
        </w:rPr>
        <w:t>, AITSL</w:t>
      </w:r>
      <w:r w:rsidR="00121E05">
        <w:rPr>
          <w:rFonts w:eastAsia="Arial"/>
          <w:color w:val="000000" w:themeColor="text1"/>
        </w:rPr>
        <w:t xml:space="preserve"> website</w:t>
      </w:r>
      <w:r w:rsidRPr="4AE4468F">
        <w:rPr>
          <w:rFonts w:eastAsia="Arial"/>
          <w:color w:val="000000" w:themeColor="text1"/>
        </w:rPr>
        <w:t>, accessed 30 May 2024.</w:t>
      </w:r>
    </w:p>
    <w:p w14:paraId="1553CEA8" w14:textId="32A66386" w:rsidR="00975480" w:rsidRDefault="00975480" w:rsidP="00975480">
      <w:r>
        <w:rPr>
          <w:lang w:eastAsia="zh-CN"/>
        </w:rPr>
        <w:t xml:space="preserve">CDPP (Office of the Commonwealth Director of Public Prosecutions) (2024) </w:t>
      </w:r>
      <w:hyperlink r:id="rId100">
        <w:r w:rsidRPr="00CA364E">
          <w:rPr>
            <w:rStyle w:val="Hyperlink"/>
            <w:i/>
            <w:iCs/>
          </w:rPr>
          <w:t>Legal Speak Explained</w:t>
        </w:r>
      </w:hyperlink>
      <w:r w:rsidRPr="00334CB5">
        <w:t>,</w:t>
      </w:r>
      <w:r>
        <w:t xml:space="preserve"> </w:t>
      </w:r>
      <w:r>
        <w:rPr>
          <w:lang w:eastAsia="zh-CN"/>
        </w:rPr>
        <w:t xml:space="preserve">CDPP </w:t>
      </w:r>
      <w:r>
        <w:rPr>
          <w:rFonts w:eastAsia="Arial"/>
          <w:color w:val="000000" w:themeColor="text1"/>
        </w:rPr>
        <w:t>website</w:t>
      </w:r>
      <w:r w:rsidRPr="00334CB5">
        <w:t xml:space="preserve">, accessed 24 </w:t>
      </w:r>
      <w:r>
        <w:t>April</w:t>
      </w:r>
      <w:r w:rsidRPr="00334CB5">
        <w:t xml:space="preserve"> 202</w:t>
      </w:r>
      <w:r>
        <w:t>4</w:t>
      </w:r>
      <w:r w:rsidRPr="00334CB5">
        <w:t>.</w:t>
      </w:r>
    </w:p>
    <w:p w14:paraId="19CDD758" w14:textId="75A29C83" w:rsidR="00121E05" w:rsidRDefault="00121E05" w:rsidP="00121E05">
      <w:pPr>
        <w:rPr>
          <w:rFonts w:eastAsia="Arial"/>
          <w:color w:val="000000" w:themeColor="text1"/>
        </w:rPr>
      </w:pPr>
      <w:r w:rsidRPr="4AE4468F">
        <w:rPr>
          <w:rFonts w:eastAsia="Arial"/>
          <w:color w:val="000000" w:themeColor="text1"/>
        </w:rPr>
        <w:t xml:space="preserve">CESE (Centre for Education Statistics and Evaluation) (2020a) </w:t>
      </w:r>
      <w:hyperlink r:id="rId101">
        <w:r w:rsidRPr="4AE4468F">
          <w:rPr>
            <w:rStyle w:val="Hyperlink"/>
            <w:rFonts w:eastAsia="Arial"/>
            <w:i/>
            <w:iCs/>
          </w:rPr>
          <w:t>What works best: 2020 update</w:t>
        </w:r>
      </w:hyperlink>
      <w:r w:rsidRPr="4AE4468F">
        <w:rPr>
          <w:rFonts w:eastAsia="Arial"/>
          <w:color w:val="000000" w:themeColor="text1"/>
        </w:rPr>
        <w:t>, NSW Department of Education</w:t>
      </w:r>
      <w:r w:rsidR="00D16FE0">
        <w:rPr>
          <w:rFonts w:eastAsia="Arial"/>
          <w:color w:val="000000" w:themeColor="text1"/>
        </w:rPr>
        <w:t xml:space="preserve"> website</w:t>
      </w:r>
      <w:r w:rsidRPr="4AE4468F">
        <w:rPr>
          <w:rFonts w:eastAsia="Arial"/>
          <w:color w:val="000000" w:themeColor="text1"/>
        </w:rPr>
        <w:t>, accessed 30 May 2024.</w:t>
      </w:r>
    </w:p>
    <w:p w14:paraId="32A037B3" w14:textId="01A0DADC" w:rsidR="00D37800" w:rsidRDefault="00D37800" w:rsidP="00D37800">
      <w:pPr>
        <w:rPr>
          <w:rFonts w:eastAsia="Arial"/>
          <w:color w:val="000000" w:themeColor="text1"/>
        </w:rPr>
      </w:pPr>
      <w:r w:rsidRPr="4AE4468F">
        <w:rPr>
          <w:rFonts w:eastAsia="Arial"/>
          <w:color w:val="000000" w:themeColor="text1"/>
        </w:rPr>
        <w:t xml:space="preserve">CESE (2020b) </w:t>
      </w:r>
      <w:hyperlink r:id="rId102">
        <w:r w:rsidRPr="4AE4468F">
          <w:rPr>
            <w:rStyle w:val="Hyperlink"/>
            <w:rFonts w:eastAsia="Arial"/>
            <w:i/>
            <w:iCs/>
          </w:rPr>
          <w:t>What works best in practice</w:t>
        </w:r>
      </w:hyperlink>
      <w:r w:rsidRPr="4AE4468F">
        <w:rPr>
          <w:rFonts w:eastAsia="Arial"/>
          <w:color w:val="000000" w:themeColor="text1"/>
        </w:rPr>
        <w:t>, NSW Department of Education</w:t>
      </w:r>
      <w:r w:rsidR="00D16FE0">
        <w:rPr>
          <w:rFonts w:eastAsia="Arial"/>
          <w:color w:val="000000" w:themeColor="text1"/>
        </w:rPr>
        <w:t xml:space="preserve"> website</w:t>
      </w:r>
      <w:r w:rsidRPr="4AE4468F">
        <w:rPr>
          <w:rFonts w:eastAsia="Arial"/>
          <w:color w:val="000000" w:themeColor="text1"/>
        </w:rPr>
        <w:t>, accessed 30 May 2024.</w:t>
      </w:r>
    </w:p>
    <w:p w14:paraId="320D3A28" w14:textId="4EC25A48" w:rsidR="00D37800" w:rsidRDefault="00D37800" w:rsidP="00D37800">
      <w:pPr>
        <w:rPr>
          <w:rFonts w:eastAsia="Arial"/>
          <w:color w:val="000000" w:themeColor="text1"/>
        </w:rPr>
      </w:pPr>
      <w:r w:rsidRPr="4AE4468F">
        <w:rPr>
          <w:rFonts w:eastAsia="Arial"/>
          <w:color w:val="000000" w:themeColor="text1"/>
        </w:rPr>
        <w:t>NESA (NSW Education Standards Authority) (2022</w:t>
      </w:r>
      <w:r w:rsidR="00975480">
        <w:rPr>
          <w:rFonts w:eastAsia="Arial"/>
          <w:color w:val="000000" w:themeColor="text1"/>
        </w:rPr>
        <w:t>a</w:t>
      </w:r>
      <w:r w:rsidRPr="4AE4468F">
        <w:rPr>
          <w:rFonts w:eastAsia="Arial"/>
          <w:color w:val="000000" w:themeColor="text1"/>
        </w:rPr>
        <w:t>) ‘</w:t>
      </w:r>
      <w:hyperlink r:id="rId103">
        <w:r w:rsidRPr="4AE4468F">
          <w:rPr>
            <w:rStyle w:val="Hyperlink"/>
            <w:rFonts w:eastAsia="Arial"/>
          </w:rPr>
          <w:t>Advice on units</w:t>
        </w:r>
      </w:hyperlink>
      <w:r w:rsidRPr="4AE4468F">
        <w:rPr>
          <w:rFonts w:eastAsia="Arial"/>
          <w:color w:val="000000" w:themeColor="text1"/>
        </w:rPr>
        <w:t xml:space="preserve">’, </w:t>
      </w:r>
      <w:r w:rsidRPr="4AE4468F">
        <w:rPr>
          <w:rFonts w:eastAsia="Arial"/>
          <w:i/>
          <w:iCs/>
          <w:color w:val="000000" w:themeColor="text1"/>
        </w:rPr>
        <w:t>Programming,</w:t>
      </w:r>
      <w:r w:rsidRPr="4AE4468F">
        <w:rPr>
          <w:rFonts w:eastAsia="Arial"/>
          <w:color w:val="000000" w:themeColor="text1"/>
        </w:rPr>
        <w:t xml:space="preserve"> NESA website, accessed 30 May 2024.</w:t>
      </w:r>
    </w:p>
    <w:p w14:paraId="407CD5FD" w14:textId="59CF1982" w:rsidR="00D37800" w:rsidRDefault="00D37800" w:rsidP="00D37800">
      <w:pPr>
        <w:rPr>
          <w:rFonts w:eastAsia="Arial"/>
          <w:color w:val="000000" w:themeColor="text1"/>
        </w:rPr>
      </w:pPr>
      <w:r w:rsidRPr="4AE4468F">
        <w:rPr>
          <w:rFonts w:eastAsia="Arial"/>
          <w:color w:val="000000" w:themeColor="text1"/>
        </w:rPr>
        <w:t>NESA (2022</w:t>
      </w:r>
      <w:r w:rsidR="00975480">
        <w:rPr>
          <w:rFonts w:eastAsia="Arial"/>
          <w:color w:val="000000" w:themeColor="text1"/>
        </w:rPr>
        <w:t>b</w:t>
      </w:r>
      <w:r w:rsidRPr="4AE4468F">
        <w:rPr>
          <w:rFonts w:eastAsia="Arial"/>
          <w:color w:val="000000" w:themeColor="text1"/>
        </w:rPr>
        <w:t>) ‘</w:t>
      </w:r>
      <w:hyperlink r:id="rId104">
        <w:r>
          <w:rPr>
            <w:rStyle w:val="Hyperlink"/>
            <w:rFonts w:eastAsia="Arial"/>
          </w:rPr>
          <w:t>Proficient Teacher Standard Descriptors</w:t>
        </w:r>
      </w:hyperlink>
      <w:r w:rsidRPr="4AE4468F">
        <w:rPr>
          <w:rFonts w:eastAsia="Arial"/>
          <w:color w:val="000000" w:themeColor="text1"/>
        </w:rPr>
        <w:t xml:space="preserve">’, </w:t>
      </w:r>
      <w:r w:rsidR="005E7A4A" w:rsidRPr="00F862C4">
        <w:rPr>
          <w:rFonts w:eastAsia="Arial"/>
          <w:i/>
          <w:iCs/>
          <w:color w:val="000000" w:themeColor="text1"/>
        </w:rPr>
        <w:t xml:space="preserve">Achieve </w:t>
      </w:r>
      <w:r>
        <w:rPr>
          <w:rStyle w:val="Emphasis"/>
          <w:rFonts w:eastAsia="Arial"/>
          <w:color w:val="000000" w:themeColor="text1"/>
        </w:rPr>
        <w:t>Proficient Teacher</w:t>
      </w:r>
      <w:r w:rsidR="005E7A4A">
        <w:rPr>
          <w:rStyle w:val="Emphasis"/>
          <w:rFonts w:eastAsia="Arial"/>
          <w:color w:val="000000" w:themeColor="text1"/>
        </w:rPr>
        <w:t xml:space="preserve"> Accreditation</w:t>
      </w:r>
      <w:r w:rsidRPr="4AE4468F">
        <w:rPr>
          <w:rFonts w:eastAsia="Arial"/>
          <w:color w:val="000000" w:themeColor="text1"/>
        </w:rPr>
        <w:t>, NESA website, accessed 30 May 2024.</w:t>
      </w:r>
    </w:p>
    <w:p w14:paraId="102A335D" w14:textId="2DEDFB4C" w:rsidR="00D37800" w:rsidRDefault="00D37800" w:rsidP="00D37800">
      <w:pPr>
        <w:rPr>
          <w:rFonts w:eastAsia="Arial"/>
          <w:color w:val="000000" w:themeColor="text1"/>
        </w:rPr>
      </w:pPr>
      <w:r w:rsidRPr="4AE4468F">
        <w:rPr>
          <w:rFonts w:eastAsia="Arial"/>
          <w:color w:val="000000" w:themeColor="text1"/>
        </w:rPr>
        <w:t>NESA (2022</w:t>
      </w:r>
      <w:r w:rsidR="00975480">
        <w:rPr>
          <w:rFonts w:eastAsia="Arial"/>
          <w:color w:val="000000" w:themeColor="text1"/>
        </w:rPr>
        <w:t>c</w:t>
      </w:r>
      <w:r w:rsidRPr="4AE4468F">
        <w:rPr>
          <w:rFonts w:eastAsia="Arial"/>
          <w:color w:val="000000" w:themeColor="text1"/>
        </w:rPr>
        <w:t>) ‘</w:t>
      </w:r>
      <w:hyperlink r:id="rId105">
        <w:r w:rsidRPr="4AE4468F">
          <w:rPr>
            <w:rStyle w:val="Hyperlink"/>
            <w:rFonts w:eastAsia="Arial"/>
          </w:rPr>
          <w:t>Programming</w:t>
        </w:r>
      </w:hyperlink>
      <w:r w:rsidRPr="4AE4468F">
        <w:rPr>
          <w:rFonts w:eastAsia="Arial"/>
          <w:color w:val="000000" w:themeColor="text1"/>
        </w:rPr>
        <w:t xml:space="preserve">’, </w:t>
      </w:r>
      <w:r w:rsidRPr="4AE4468F">
        <w:rPr>
          <w:rFonts w:eastAsia="Arial"/>
          <w:i/>
          <w:iCs/>
          <w:color w:val="000000" w:themeColor="text1"/>
        </w:rPr>
        <w:t>Understanding the curriculum</w:t>
      </w:r>
      <w:r w:rsidRPr="4AE4468F">
        <w:rPr>
          <w:rFonts w:eastAsia="Arial"/>
          <w:color w:val="000000" w:themeColor="text1"/>
        </w:rPr>
        <w:t>, NESA website, accessed 30 May 2024.</w:t>
      </w:r>
    </w:p>
    <w:p w14:paraId="3E013234" w14:textId="78002E4A" w:rsidR="00D37800" w:rsidRDefault="00D37800" w:rsidP="00ED5611">
      <w:r>
        <w:lastRenderedPageBreak/>
        <w:t xml:space="preserve">New South Wales Department of Education (2024) </w:t>
      </w:r>
      <w:hyperlink r:id="rId106" w:anchor=".Y1HVdAK5_hs.link" w:history="1">
        <w:r w:rsidRPr="0085045D">
          <w:rPr>
            <w:rStyle w:val="Hyperlink"/>
            <w:i/>
            <w:iCs/>
          </w:rPr>
          <w:t>Digital Learning Selector – Storyboarding</w:t>
        </w:r>
      </w:hyperlink>
      <w:r>
        <w:t>, New South Wales Department of Education</w:t>
      </w:r>
      <w:r w:rsidR="00D16FE0">
        <w:rPr>
          <w:rFonts w:eastAsia="Arial"/>
          <w:color w:val="000000" w:themeColor="text1"/>
        </w:rPr>
        <w:t xml:space="preserve"> website</w:t>
      </w:r>
      <w:r>
        <w:t>, accessed 24 April 2024.</w:t>
      </w:r>
    </w:p>
    <w:p w14:paraId="4C099C67" w14:textId="79B8C4FC" w:rsidR="00D37800" w:rsidRDefault="00D37800" w:rsidP="00D37800">
      <w:pPr>
        <w:rPr>
          <w:rFonts w:eastAsia="Arial"/>
          <w:color w:val="000000" w:themeColor="text1"/>
        </w:rPr>
      </w:pPr>
      <w:proofErr w:type="spellStart"/>
      <w:r w:rsidRPr="4AE4468F">
        <w:rPr>
          <w:rFonts w:eastAsia="Arial"/>
          <w:color w:val="000000" w:themeColor="text1"/>
        </w:rPr>
        <w:t>Rosenshine</w:t>
      </w:r>
      <w:proofErr w:type="spellEnd"/>
      <w:r w:rsidRPr="4AE4468F">
        <w:rPr>
          <w:rFonts w:eastAsia="Arial"/>
          <w:color w:val="000000" w:themeColor="text1"/>
        </w:rPr>
        <w:t xml:space="preserve"> B (2012) ‘</w:t>
      </w:r>
      <w:hyperlink r:id="rId107">
        <w:r w:rsidRPr="4AE4468F">
          <w:rPr>
            <w:rStyle w:val="Hyperlink"/>
            <w:rFonts w:eastAsia="Arial"/>
          </w:rPr>
          <w:t>Principles of Instruction: Research-Based Strategies That All Teachers Should Know</w:t>
        </w:r>
      </w:hyperlink>
      <w:r w:rsidRPr="4AE4468F">
        <w:rPr>
          <w:rStyle w:val="Hyperlink"/>
          <w:rFonts w:eastAsia="Arial"/>
        </w:rPr>
        <w:t>’</w:t>
      </w:r>
      <w:r w:rsidRPr="4AE4468F">
        <w:rPr>
          <w:rFonts w:eastAsia="Arial"/>
          <w:color w:val="000000" w:themeColor="text1"/>
        </w:rPr>
        <w:t xml:space="preserve">, </w:t>
      </w:r>
      <w:r w:rsidRPr="4AE4468F">
        <w:rPr>
          <w:rStyle w:val="Emphasis"/>
          <w:rFonts w:eastAsia="Arial"/>
          <w:color w:val="000000" w:themeColor="text1"/>
        </w:rPr>
        <w:t>American Educator</w:t>
      </w:r>
      <w:r w:rsidRPr="4AE4468F">
        <w:rPr>
          <w:rFonts w:eastAsia="Arial"/>
          <w:color w:val="000000" w:themeColor="text1"/>
        </w:rPr>
        <w:t>, 36(1):12–19</w:t>
      </w:r>
      <w:r w:rsidR="005E7A4A">
        <w:rPr>
          <w:rFonts w:eastAsia="Arial"/>
          <w:color w:val="000000" w:themeColor="text1"/>
        </w:rPr>
        <w:t>,</w:t>
      </w:r>
      <w:r w:rsidRPr="4AE4468F">
        <w:rPr>
          <w:rFonts w:eastAsia="Arial"/>
          <w:color w:val="000000" w:themeColor="text1"/>
        </w:rPr>
        <w:t xml:space="preserve"> accessed 30 May 2024.</w:t>
      </w:r>
    </w:p>
    <w:p w14:paraId="27C1F183" w14:textId="0E458141" w:rsidR="00D37800" w:rsidRDefault="00D37800" w:rsidP="00ED5611">
      <w:r>
        <w:rPr>
          <w:lang w:eastAsia="zh-CN"/>
        </w:rPr>
        <w:t>Rule of Law Education Centre (20</w:t>
      </w:r>
      <w:r w:rsidR="002966B1">
        <w:rPr>
          <w:lang w:eastAsia="zh-CN"/>
        </w:rPr>
        <w:t>18</w:t>
      </w:r>
      <w:r>
        <w:rPr>
          <w:lang w:eastAsia="zh-CN"/>
        </w:rPr>
        <w:t>)</w:t>
      </w:r>
      <w:r>
        <w:t xml:space="preserve"> </w:t>
      </w:r>
      <w:hyperlink r:id="rId108" w:history="1">
        <w:r w:rsidRPr="0085045D">
          <w:rPr>
            <w:rStyle w:val="Hyperlink"/>
            <w:i/>
            <w:iCs/>
          </w:rPr>
          <w:t>Developing Legal Literacy</w:t>
        </w:r>
      </w:hyperlink>
      <w:r w:rsidRPr="00334CB5">
        <w:t>,</w:t>
      </w:r>
      <w:r>
        <w:t xml:space="preserve"> </w:t>
      </w:r>
      <w:r>
        <w:rPr>
          <w:lang w:eastAsia="zh-CN"/>
        </w:rPr>
        <w:t>Rule of Law NSW</w:t>
      </w:r>
      <w:r w:rsidR="00D16FE0">
        <w:rPr>
          <w:rFonts w:eastAsia="Arial"/>
          <w:color w:val="000000" w:themeColor="text1"/>
        </w:rPr>
        <w:t xml:space="preserve"> website</w:t>
      </w:r>
      <w:r w:rsidRPr="00334CB5">
        <w:t xml:space="preserve">, accessed 24 </w:t>
      </w:r>
      <w:r>
        <w:t>April</w:t>
      </w:r>
      <w:r w:rsidRPr="00334CB5">
        <w:t xml:space="preserve"> 202</w:t>
      </w:r>
      <w:r>
        <w:t>4.</w:t>
      </w:r>
    </w:p>
    <w:p w14:paraId="7BAD2928" w14:textId="208788F4" w:rsidR="00D37800" w:rsidRDefault="00D37800" w:rsidP="00ED5611">
      <w:r>
        <w:rPr>
          <w:lang w:eastAsia="zh-CN"/>
        </w:rPr>
        <w:t xml:space="preserve">Rule of Law Education Centre (2024) </w:t>
      </w:r>
      <w:hyperlink r:id="rId109" w:history="1">
        <w:r w:rsidRPr="0085045D">
          <w:rPr>
            <w:rStyle w:val="Hyperlink"/>
            <w:i/>
            <w:iCs/>
          </w:rPr>
          <w:t>Rule of Law Ed</w:t>
        </w:r>
        <w:r w:rsidRPr="0085045D">
          <w:rPr>
            <w:rStyle w:val="Hyperlink"/>
            <w:i/>
            <w:iCs/>
          </w:rPr>
          <w:t>u</w:t>
        </w:r>
        <w:r w:rsidRPr="0085045D">
          <w:rPr>
            <w:rStyle w:val="Hyperlink"/>
            <w:i/>
            <w:iCs/>
          </w:rPr>
          <w:t>cation Centre</w:t>
        </w:r>
      </w:hyperlink>
      <w:r w:rsidR="0052159A" w:rsidRPr="0052159A">
        <w:t xml:space="preserve"> [website]</w:t>
      </w:r>
      <w:r w:rsidRPr="00334CB5">
        <w:t xml:space="preserve">, accessed 24 </w:t>
      </w:r>
      <w:r>
        <w:t>April</w:t>
      </w:r>
      <w:r w:rsidRPr="00334CB5">
        <w:t xml:space="preserve"> 202</w:t>
      </w:r>
      <w:r>
        <w:t>4</w:t>
      </w:r>
      <w:r w:rsidRPr="00334CB5">
        <w:t>.</w:t>
      </w:r>
    </w:p>
    <w:p w14:paraId="4D310748" w14:textId="1F9B906E" w:rsidR="00D37800" w:rsidRDefault="00D37800" w:rsidP="00D37800">
      <w:pPr>
        <w:rPr>
          <w:rFonts w:eastAsia="Arial"/>
          <w:color w:val="000000" w:themeColor="text1"/>
        </w:rPr>
      </w:pPr>
      <w:r w:rsidRPr="4AE4468F">
        <w:rPr>
          <w:rFonts w:eastAsia="Arial"/>
          <w:color w:val="000000" w:themeColor="text1"/>
        </w:rPr>
        <w:t>Wiliam D (2013) ‘</w:t>
      </w:r>
      <w:hyperlink r:id="rId110">
        <w:r w:rsidRPr="4AE4468F">
          <w:rPr>
            <w:rStyle w:val="Hyperlink"/>
            <w:rFonts w:eastAsia="Arial"/>
          </w:rPr>
          <w:t xml:space="preserve">Assessment: The </w:t>
        </w:r>
        <w:r w:rsidR="002966B1">
          <w:rPr>
            <w:rStyle w:val="Hyperlink"/>
            <w:rFonts w:eastAsia="Arial"/>
          </w:rPr>
          <w:t>B</w:t>
        </w:r>
        <w:r w:rsidRPr="4AE4468F">
          <w:rPr>
            <w:rStyle w:val="Hyperlink"/>
            <w:rFonts w:eastAsia="Arial"/>
          </w:rPr>
          <w:t xml:space="preserve">ridge between </w:t>
        </w:r>
        <w:r w:rsidR="002966B1">
          <w:rPr>
            <w:rStyle w:val="Hyperlink"/>
            <w:rFonts w:eastAsia="Arial"/>
          </w:rPr>
          <w:t>T</w:t>
        </w:r>
        <w:r w:rsidRPr="4AE4468F">
          <w:rPr>
            <w:rStyle w:val="Hyperlink"/>
            <w:rFonts w:eastAsia="Arial"/>
          </w:rPr>
          <w:t xml:space="preserve">eaching and </w:t>
        </w:r>
        <w:r w:rsidR="002966B1">
          <w:rPr>
            <w:rStyle w:val="Hyperlink"/>
            <w:rFonts w:eastAsia="Arial"/>
          </w:rPr>
          <w:t>L</w:t>
        </w:r>
        <w:r w:rsidRPr="4AE4468F">
          <w:rPr>
            <w:rStyle w:val="Hyperlink"/>
            <w:rFonts w:eastAsia="Arial"/>
          </w:rPr>
          <w:t>earning</w:t>
        </w:r>
      </w:hyperlink>
      <w:r w:rsidRPr="4AE4468F">
        <w:rPr>
          <w:rFonts w:eastAsia="Arial"/>
          <w:color w:val="000000" w:themeColor="text1"/>
        </w:rPr>
        <w:t xml:space="preserve">’, </w:t>
      </w:r>
      <w:r w:rsidRPr="4AE4468F">
        <w:rPr>
          <w:rStyle w:val="Emphasis"/>
          <w:rFonts w:eastAsia="Arial"/>
          <w:color w:val="000000" w:themeColor="text1"/>
        </w:rPr>
        <w:t>Voices from the Middle</w:t>
      </w:r>
      <w:r w:rsidRPr="4AE4468F">
        <w:rPr>
          <w:rFonts w:eastAsia="Arial"/>
          <w:color w:val="000000" w:themeColor="text1"/>
        </w:rPr>
        <w:t xml:space="preserve">, 21(2):15–20, </w:t>
      </w:r>
      <w:r w:rsidR="002966B1">
        <w:rPr>
          <w:rFonts w:eastAsia="Arial"/>
          <w:color w:val="000000" w:themeColor="text1"/>
        </w:rPr>
        <w:t>doi</w:t>
      </w:r>
      <w:r w:rsidR="002966B1" w:rsidRPr="002966B1">
        <w:rPr>
          <w:rFonts w:eastAsia="Arial"/>
          <w:color w:val="000000" w:themeColor="text1"/>
        </w:rPr>
        <w:t>:10.58680/vm201324461</w:t>
      </w:r>
      <w:r w:rsidR="002966B1">
        <w:rPr>
          <w:rFonts w:eastAsia="Arial"/>
          <w:color w:val="000000" w:themeColor="text1"/>
        </w:rPr>
        <w:t>,</w:t>
      </w:r>
      <w:r w:rsidR="002966B1" w:rsidRPr="002966B1">
        <w:rPr>
          <w:rFonts w:eastAsia="Arial"/>
          <w:color w:val="000000" w:themeColor="text1"/>
        </w:rPr>
        <w:t xml:space="preserve"> </w:t>
      </w:r>
      <w:r w:rsidRPr="4AE4468F">
        <w:rPr>
          <w:rFonts w:eastAsia="Arial"/>
          <w:color w:val="000000" w:themeColor="text1"/>
        </w:rPr>
        <w:t>accessed 30 May 2024.</w:t>
      </w:r>
    </w:p>
    <w:p w14:paraId="6CF12986" w14:textId="77777777" w:rsidR="00D37800" w:rsidRDefault="00D37800" w:rsidP="00D37800">
      <w:pPr>
        <w:rPr>
          <w:rFonts w:eastAsia="Arial"/>
          <w:color w:val="000000" w:themeColor="text1"/>
        </w:rPr>
      </w:pPr>
      <w:r w:rsidRPr="4AE4468F">
        <w:rPr>
          <w:rFonts w:eastAsia="Arial"/>
          <w:color w:val="000000" w:themeColor="text1"/>
        </w:rPr>
        <w:t xml:space="preserve">Wiliam D (2017) </w:t>
      </w:r>
      <w:r w:rsidRPr="4AE4468F">
        <w:rPr>
          <w:rStyle w:val="Emphasis"/>
          <w:rFonts w:eastAsia="Arial"/>
          <w:color w:val="000000" w:themeColor="text1"/>
        </w:rPr>
        <w:t>Embedded Formative Assessment</w:t>
      </w:r>
      <w:r w:rsidRPr="4AE4468F">
        <w:rPr>
          <w:rFonts w:eastAsia="Arial"/>
          <w:color w:val="000000" w:themeColor="text1"/>
        </w:rPr>
        <w:t xml:space="preserve">, 2nd </w:t>
      </w:r>
      <w:proofErr w:type="spellStart"/>
      <w:r w:rsidRPr="4AE4468F">
        <w:rPr>
          <w:rFonts w:eastAsia="Arial"/>
          <w:color w:val="000000" w:themeColor="text1"/>
        </w:rPr>
        <w:t>edn</w:t>
      </w:r>
      <w:proofErr w:type="spellEnd"/>
      <w:r w:rsidRPr="4AE4468F">
        <w:rPr>
          <w:rFonts w:eastAsia="Arial"/>
          <w:color w:val="000000" w:themeColor="text1"/>
        </w:rPr>
        <w:t>, Solution Tree Press, Bloomington, IN.</w:t>
      </w:r>
    </w:p>
    <w:p w14:paraId="7AD2E7BF" w14:textId="3AA9B36D" w:rsidR="00D37800" w:rsidRDefault="00D37800" w:rsidP="00D37800">
      <w:pPr>
        <w:sectPr w:rsidR="00D37800" w:rsidSect="0014116A">
          <w:headerReference w:type="default" r:id="rId111"/>
          <w:footerReference w:type="even" r:id="rId112"/>
          <w:footerReference w:type="default" r:id="rId113"/>
          <w:headerReference w:type="first" r:id="rId114"/>
          <w:footerReference w:type="first" r:id="rId115"/>
          <w:pgSz w:w="11906" w:h="16838"/>
          <w:pgMar w:top="1134" w:right="1134" w:bottom="1134" w:left="1134" w:header="709" w:footer="709" w:gutter="0"/>
          <w:pgNumType w:start="0"/>
          <w:cols w:space="708"/>
          <w:titlePg/>
          <w:docGrid w:linePitch="360"/>
        </w:sectPr>
      </w:pPr>
      <w:r w:rsidRPr="4AE4468F">
        <w:rPr>
          <w:rFonts w:eastAsia="Arial"/>
          <w:color w:val="000000" w:themeColor="text1"/>
        </w:rPr>
        <w:t>Wisniewski B, Zierer K and Hattie J (2020) ‘</w:t>
      </w:r>
      <w:hyperlink r:id="rId116">
        <w:r w:rsidRPr="4AE4468F">
          <w:rPr>
            <w:rStyle w:val="Hyperlink"/>
            <w:rFonts w:eastAsia="Arial"/>
          </w:rPr>
          <w:t>The Power of Feedback Revisited: A Meta-Analysis of Educational Feedback Research</w:t>
        </w:r>
      </w:hyperlink>
      <w:r w:rsidRPr="4AE4468F">
        <w:rPr>
          <w:rFonts w:eastAsia="Arial"/>
          <w:color w:val="000000" w:themeColor="text1"/>
        </w:rPr>
        <w:t xml:space="preserve">’, </w:t>
      </w:r>
      <w:r w:rsidRPr="4AE4468F">
        <w:rPr>
          <w:rFonts w:eastAsia="Arial"/>
          <w:i/>
          <w:iCs/>
          <w:color w:val="000000" w:themeColor="text1"/>
        </w:rPr>
        <w:t>Frontiers In Psychology</w:t>
      </w:r>
      <w:r w:rsidRPr="4AE4468F">
        <w:rPr>
          <w:rFonts w:eastAsia="Arial"/>
          <w:color w:val="000000" w:themeColor="text1"/>
        </w:rPr>
        <w:t>, 10</w:t>
      </w:r>
      <w:r w:rsidR="00B02164">
        <w:rPr>
          <w:rFonts w:eastAsia="Arial"/>
          <w:color w:val="000000" w:themeColor="text1"/>
        </w:rPr>
        <w:t xml:space="preserve"> - 2019</w:t>
      </w:r>
      <w:r w:rsidRPr="4AE4468F">
        <w:rPr>
          <w:rFonts w:eastAsia="Arial"/>
          <w:color w:val="000000" w:themeColor="text1"/>
        </w:rPr>
        <w:t>, doi:10.3389/fpsyg.2019.03087, accessed 30 May 2024.</w:t>
      </w:r>
    </w:p>
    <w:p w14:paraId="38E74ABE" w14:textId="77384735" w:rsidR="00EE0EFE" w:rsidRPr="001748AB" w:rsidRDefault="00EE0EFE" w:rsidP="00EE0EFE">
      <w:pPr>
        <w:rPr>
          <w:rStyle w:val="Strong"/>
          <w:szCs w:val="22"/>
        </w:rPr>
      </w:pPr>
      <w:r w:rsidRPr="001748AB">
        <w:rPr>
          <w:rStyle w:val="Strong"/>
          <w:szCs w:val="22"/>
        </w:rPr>
        <w:lastRenderedPageBreak/>
        <w:t>© State of New South Wales (Department of Education), 202</w:t>
      </w:r>
      <w:r w:rsidR="00594463">
        <w:rPr>
          <w:rStyle w:val="Strong"/>
          <w:szCs w:val="22"/>
        </w:rPr>
        <w:t>5</w:t>
      </w:r>
    </w:p>
    <w:p w14:paraId="1C2B3DC8" w14:textId="77777777" w:rsidR="00EE0EFE" w:rsidRDefault="00EE0EFE" w:rsidP="00EE0EFE">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41EDE491" w14:textId="77777777" w:rsidR="00EE0EFE" w:rsidRDefault="00EE0EFE" w:rsidP="00EE0EFE">
      <w:r>
        <w:t xml:space="preserve">Copyright material available in this resource and owned by the NSW Department of Education is licensed under a </w:t>
      </w:r>
      <w:hyperlink r:id="rId117" w:history="1">
        <w:r w:rsidRPr="003B3E41">
          <w:rPr>
            <w:rStyle w:val="Hyperlink"/>
          </w:rPr>
          <w:t>Creative Commons Attribution 4.0 International (CC BY 4.0) license</w:t>
        </w:r>
      </w:hyperlink>
      <w:r>
        <w:t>.</w:t>
      </w:r>
    </w:p>
    <w:p w14:paraId="5E667061" w14:textId="77777777" w:rsidR="00EE0EFE" w:rsidRDefault="00EE0EFE" w:rsidP="00EE0EFE">
      <w:r>
        <w:rPr>
          <w:noProof/>
        </w:rPr>
        <w:drawing>
          <wp:inline distT="0" distB="0" distL="0" distR="0" wp14:anchorId="0E009B0D" wp14:editId="4848F69F">
            <wp:extent cx="1228725" cy="428625"/>
            <wp:effectExtent l="0" t="0" r="9525" b="9525"/>
            <wp:docPr id="32" name="Picture 32" descr="Creative Commons Attribution license log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7"/>
                    </pic:cNvPr>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F2340C" w14:textId="77777777" w:rsidR="00EE0EFE" w:rsidRDefault="00EE0EFE" w:rsidP="00EE0EFE">
      <w:r>
        <w:t>This license allows you to share and adapt the material for any purpose, even commercially.</w:t>
      </w:r>
    </w:p>
    <w:p w14:paraId="58C37F08" w14:textId="3975EAA8" w:rsidR="00EE0EFE" w:rsidRDefault="00EE0EFE" w:rsidP="00EE0EFE">
      <w:r>
        <w:t>Attribution should be given to © State of New South Wales (Department of Education), 202</w:t>
      </w:r>
      <w:r w:rsidR="005A0C57">
        <w:t>5</w:t>
      </w:r>
      <w:r>
        <w:t>.</w:t>
      </w:r>
    </w:p>
    <w:p w14:paraId="5EED4B78" w14:textId="77777777" w:rsidR="00EE0EFE" w:rsidRDefault="00EE0EFE" w:rsidP="00EE0EFE">
      <w:r>
        <w:t>Material in this resource not available under a Creative Commons license:</w:t>
      </w:r>
    </w:p>
    <w:p w14:paraId="50751435" w14:textId="77777777" w:rsidR="00EE0EFE" w:rsidRDefault="00EE0EFE">
      <w:pPr>
        <w:pStyle w:val="ListBullet"/>
        <w:numPr>
          <w:ilvl w:val="0"/>
          <w:numId w:val="1"/>
        </w:numPr>
      </w:pPr>
      <w:r>
        <w:t>the NSW Department of Education logo, other logos and trademark-protected material</w:t>
      </w:r>
    </w:p>
    <w:p w14:paraId="36951863" w14:textId="77777777" w:rsidR="00EE0EFE" w:rsidRDefault="00EE0EFE">
      <w:pPr>
        <w:pStyle w:val="ListBullet"/>
        <w:numPr>
          <w:ilvl w:val="0"/>
          <w:numId w:val="1"/>
        </w:numPr>
      </w:pPr>
      <w:r>
        <w:t>material owned by a third party that has been reproduced with permission. You will need to obtain permission from the third party to reuse its material.</w:t>
      </w:r>
    </w:p>
    <w:p w14:paraId="10D54D5B" w14:textId="77777777" w:rsidR="00EE0EFE" w:rsidRPr="003B3E41" w:rsidRDefault="00EE0EFE" w:rsidP="00EE0EFE">
      <w:pPr>
        <w:pStyle w:val="FeatureBox2"/>
        <w:rPr>
          <w:rStyle w:val="Strong"/>
        </w:rPr>
      </w:pPr>
      <w:r w:rsidRPr="003B3E41">
        <w:rPr>
          <w:rStyle w:val="Strong"/>
        </w:rPr>
        <w:t>Links to third-party material and websites</w:t>
      </w:r>
    </w:p>
    <w:p w14:paraId="62056928" w14:textId="77777777" w:rsidR="00EE0EFE" w:rsidRDefault="00EE0EFE" w:rsidP="00EE0EF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EEED51" w14:textId="53FD631B" w:rsidR="00ED5611" w:rsidRPr="00FC0E4A" w:rsidRDefault="00EE0EFE" w:rsidP="00EE0EF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00ED5611" w:rsidRPr="00FC0E4A" w:rsidSect="00EE0EFE">
      <w:headerReference w:type="first" r:id="rId119"/>
      <w:footerReference w:type="first" r:id="rId1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A783" w14:textId="77777777" w:rsidR="0075359F" w:rsidRDefault="0075359F" w:rsidP="00E51733">
      <w:r>
        <w:separator/>
      </w:r>
    </w:p>
  </w:endnote>
  <w:endnote w:type="continuationSeparator" w:id="0">
    <w:p w14:paraId="1009D02F" w14:textId="77777777" w:rsidR="0075359F" w:rsidRDefault="0075359F" w:rsidP="00E51733">
      <w:r>
        <w:continuationSeparator/>
      </w:r>
    </w:p>
  </w:endnote>
  <w:endnote w:type="continuationNotice" w:id="1">
    <w:p w14:paraId="68474C0D" w14:textId="77777777" w:rsidR="0075359F" w:rsidRDefault="007535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B85" w14:textId="25257956" w:rsidR="00D37800" w:rsidRPr="00491389" w:rsidRDefault="00D37800"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311E9E">
      <w:rPr>
        <w:noProof/>
      </w:rPr>
      <w:t>May-25</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6081" w14:textId="38174828" w:rsidR="00D37800" w:rsidRPr="00CE359A" w:rsidRDefault="00D37800" w:rsidP="00CE359A">
    <w:pPr>
      <w:pStyle w:val="Footer"/>
    </w:pPr>
    <w:r>
      <w:t xml:space="preserve">© NSW Department of Education, </w:t>
    </w:r>
    <w:r>
      <w:fldChar w:fldCharType="begin"/>
    </w:r>
    <w:r>
      <w:instrText xml:space="preserve"> DATE  \@ "MMM-yy"  \* MERGEFORMAT </w:instrText>
    </w:r>
    <w:r>
      <w:fldChar w:fldCharType="separate"/>
    </w:r>
    <w:r w:rsidR="00311E9E">
      <w:rPr>
        <w:noProof/>
      </w:rPr>
      <w:t>May-25</w:t>
    </w:r>
    <w:r>
      <w:fldChar w:fldCharType="end"/>
    </w:r>
    <w:r>
      <w:ptab w:relativeTo="margin" w:alignment="right" w:leader="none"/>
    </w:r>
    <w:r>
      <w:rPr>
        <w:b/>
        <w:noProof/>
        <w:sz w:val="28"/>
        <w:szCs w:val="28"/>
      </w:rPr>
      <w:drawing>
        <wp:inline distT="0" distB="0" distL="0" distR="0" wp14:anchorId="7CD88CBE" wp14:editId="1A9C5707">
          <wp:extent cx="571500" cy="190500"/>
          <wp:effectExtent l="0" t="0" r="0" b="0"/>
          <wp:docPr id="1607925448" name="Picture 160792544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6E14" w14:textId="77777777" w:rsidR="00D37800" w:rsidRPr="00CE359A" w:rsidRDefault="00D37800" w:rsidP="00CE359A">
    <w:pPr>
      <w:pStyle w:val="Logo"/>
      <w:tabs>
        <w:tab w:val="clear" w:pos="10200"/>
        <w:tab w:val="right" w:pos="9639"/>
      </w:tabs>
      <w:ind w:right="-1"/>
      <w:jc w:val="right"/>
    </w:pPr>
    <w:r w:rsidRPr="008426B6">
      <w:rPr>
        <w:noProof/>
      </w:rPr>
      <w:drawing>
        <wp:inline distT="0" distB="0" distL="0" distR="0" wp14:anchorId="7AC360B6" wp14:editId="346216A9">
          <wp:extent cx="834442" cy="906218"/>
          <wp:effectExtent l="0" t="0" r="3810" b="8255"/>
          <wp:docPr id="1096360772" name="Graphic 109636077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D172" w14:textId="77777777" w:rsidR="001C5B29" w:rsidRPr="00EC1782" w:rsidRDefault="001C5B29" w:rsidP="00B105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518A" w14:textId="77777777" w:rsidR="0075359F" w:rsidRDefault="0075359F" w:rsidP="00E51733">
      <w:r>
        <w:separator/>
      </w:r>
    </w:p>
  </w:footnote>
  <w:footnote w:type="continuationSeparator" w:id="0">
    <w:p w14:paraId="34D1BDCC" w14:textId="77777777" w:rsidR="0075359F" w:rsidRDefault="0075359F" w:rsidP="00E51733">
      <w:r>
        <w:continuationSeparator/>
      </w:r>
    </w:p>
  </w:footnote>
  <w:footnote w:type="continuationNotice" w:id="1">
    <w:p w14:paraId="3E07375C" w14:textId="77777777" w:rsidR="0075359F" w:rsidRDefault="007535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25B4" w14:textId="1269B995" w:rsidR="00D37800" w:rsidRDefault="00D37800" w:rsidP="00CE359A">
    <w:pPr>
      <w:pStyle w:val="Documentname"/>
    </w:pPr>
    <w:r>
      <w:t xml:space="preserve">Preliminary legal studies – Core Part </w:t>
    </w:r>
    <w:r w:rsidR="00A616F0">
      <w:t>3</w:t>
    </w:r>
    <w:r>
      <w:t xml:space="preserve">: </w:t>
    </w:r>
    <w:r w:rsidR="00A616F0">
      <w:t xml:space="preserve">Law in practice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6F0" w14:textId="6D0C90AA" w:rsidR="00D37800" w:rsidRPr="00CE359A" w:rsidRDefault="00000000" w:rsidP="00CE359A">
    <w:pPr>
      <w:pStyle w:val="Header"/>
      <w:spacing w:after="0"/>
    </w:pPr>
    <w:r>
      <w:pict w14:anchorId="23075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D37800"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14BE" w14:textId="77777777" w:rsidR="001C5B29" w:rsidRPr="00EC1782" w:rsidRDefault="001C5B29" w:rsidP="00B10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DCCAEA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B17C6"/>
    <w:multiLevelType w:val="hybridMultilevel"/>
    <w:tmpl w:val="5E9C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983578"/>
    <w:multiLevelType w:val="hybridMultilevel"/>
    <w:tmpl w:val="07523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F94470"/>
    <w:multiLevelType w:val="hybridMultilevel"/>
    <w:tmpl w:val="59626F0E"/>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0BB4AD6"/>
    <w:multiLevelType w:val="hybridMultilevel"/>
    <w:tmpl w:val="6F9424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ED410F"/>
    <w:multiLevelType w:val="hybridMultilevel"/>
    <w:tmpl w:val="4184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C5949"/>
    <w:multiLevelType w:val="hybridMultilevel"/>
    <w:tmpl w:val="818A2F8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CC5408"/>
    <w:multiLevelType w:val="hybridMultilevel"/>
    <w:tmpl w:val="1A56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FC0EDA"/>
    <w:multiLevelType w:val="hybridMultilevel"/>
    <w:tmpl w:val="08145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AF43B7"/>
    <w:multiLevelType w:val="hybridMultilevel"/>
    <w:tmpl w:val="2B3E4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C41B61"/>
    <w:multiLevelType w:val="hybridMultilevel"/>
    <w:tmpl w:val="04DCC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4C3F1F"/>
    <w:multiLevelType w:val="hybridMultilevel"/>
    <w:tmpl w:val="6ED0B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7118973">
    <w:abstractNumId w:val="3"/>
  </w:num>
  <w:num w:numId="2" w16cid:durableId="845437448">
    <w:abstractNumId w:val="6"/>
  </w:num>
  <w:num w:numId="3" w16cid:durableId="1304967452">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634681385">
    <w:abstractNumId w:val="0"/>
  </w:num>
  <w:num w:numId="5" w16cid:durableId="104737860">
    <w:abstractNumId w:val="3"/>
  </w:num>
  <w:num w:numId="6" w16cid:durableId="481889342">
    <w:abstractNumId w:val="13"/>
  </w:num>
  <w:num w:numId="7" w16cid:durableId="1461026517">
    <w:abstractNumId w:val="7"/>
  </w:num>
  <w:num w:numId="8" w16cid:durableId="827868562">
    <w:abstractNumId w:val="9"/>
  </w:num>
  <w:num w:numId="9" w16cid:durableId="1710953350">
    <w:abstractNumId w:val="5"/>
  </w:num>
  <w:num w:numId="10" w16cid:durableId="1778796724">
    <w:abstractNumId w:val="12"/>
  </w:num>
  <w:num w:numId="11" w16cid:durableId="675814621">
    <w:abstractNumId w:val="1"/>
  </w:num>
  <w:num w:numId="12" w16cid:durableId="363094086">
    <w:abstractNumId w:val="4"/>
  </w:num>
  <w:num w:numId="13" w16cid:durableId="742802329">
    <w:abstractNumId w:val="16"/>
  </w:num>
  <w:num w:numId="14" w16cid:durableId="1041595865">
    <w:abstractNumId w:val="8"/>
  </w:num>
  <w:num w:numId="15" w16cid:durableId="440301265">
    <w:abstractNumId w:val="15"/>
  </w:num>
  <w:num w:numId="16" w16cid:durableId="1282498891">
    <w:abstractNumId w:val="11"/>
  </w:num>
  <w:num w:numId="17" w16cid:durableId="429398587">
    <w:abstractNumId w:val="2"/>
  </w:num>
  <w:num w:numId="18" w16cid:durableId="934942493">
    <w:abstractNumId w:val="14"/>
  </w:num>
  <w:num w:numId="19" w16cid:durableId="503790395">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384137686">
    <w:abstractNumId w:val="0"/>
  </w:num>
  <w:num w:numId="21" w16cid:durableId="1211922649">
    <w:abstractNumId w:val="3"/>
  </w:num>
  <w:num w:numId="22" w16cid:durableId="1547839663">
    <w:abstractNumId w:val="13"/>
  </w:num>
  <w:num w:numId="23" w16cid:durableId="1873153414">
    <w:abstractNumId w:val="13"/>
  </w:num>
  <w:num w:numId="24" w16cid:durableId="1235499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82"/>
    <w:rsid w:val="00002BE3"/>
    <w:rsid w:val="0000630A"/>
    <w:rsid w:val="000067A6"/>
    <w:rsid w:val="00013621"/>
    <w:rsid w:val="000136B5"/>
    <w:rsid w:val="00013FF2"/>
    <w:rsid w:val="00014543"/>
    <w:rsid w:val="0001772F"/>
    <w:rsid w:val="00021209"/>
    <w:rsid w:val="00022449"/>
    <w:rsid w:val="00023D89"/>
    <w:rsid w:val="000252CB"/>
    <w:rsid w:val="00026540"/>
    <w:rsid w:val="00031DB7"/>
    <w:rsid w:val="000341E9"/>
    <w:rsid w:val="000357D3"/>
    <w:rsid w:val="000366CA"/>
    <w:rsid w:val="0004371B"/>
    <w:rsid w:val="00045E4C"/>
    <w:rsid w:val="00045F0D"/>
    <w:rsid w:val="0004750C"/>
    <w:rsid w:val="00047862"/>
    <w:rsid w:val="00053D13"/>
    <w:rsid w:val="000540F7"/>
    <w:rsid w:val="00054D26"/>
    <w:rsid w:val="000552A6"/>
    <w:rsid w:val="00057251"/>
    <w:rsid w:val="00061D5B"/>
    <w:rsid w:val="00064779"/>
    <w:rsid w:val="00065C41"/>
    <w:rsid w:val="00066724"/>
    <w:rsid w:val="00066ABA"/>
    <w:rsid w:val="00067211"/>
    <w:rsid w:val="00073BCC"/>
    <w:rsid w:val="00074F0F"/>
    <w:rsid w:val="00076FCA"/>
    <w:rsid w:val="00080475"/>
    <w:rsid w:val="0008145F"/>
    <w:rsid w:val="00083C72"/>
    <w:rsid w:val="000872DD"/>
    <w:rsid w:val="00093C75"/>
    <w:rsid w:val="000960F8"/>
    <w:rsid w:val="00096F03"/>
    <w:rsid w:val="000979EB"/>
    <w:rsid w:val="000A2F89"/>
    <w:rsid w:val="000A5210"/>
    <w:rsid w:val="000A74D3"/>
    <w:rsid w:val="000A74D8"/>
    <w:rsid w:val="000B13ED"/>
    <w:rsid w:val="000B21F1"/>
    <w:rsid w:val="000B2ABC"/>
    <w:rsid w:val="000B7207"/>
    <w:rsid w:val="000C1B93"/>
    <w:rsid w:val="000C24ED"/>
    <w:rsid w:val="000C6881"/>
    <w:rsid w:val="000D01B0"/>
    <w:rsid w:val="000D3BBE"/>
    <w:rsid w:val="000D53C6"/>
    <w:rsid w:val="000D5BFD"/>
    <w:rsid w:val="000D5D13"/>
    <w:rsid w:val="000D7466"/>
    <w:rsid w:val="000E2290"/>
    <w:rsid w:val="000E406B"/>
    <w:rsid w:val="000E4844"/>
    <w:rsid w:val="000E51E5"/>
    <w:rsid w:val="000E5C51"/>
    <w:rsid w:val="000E74AD"/>
    <w:rsid w:val="000F4409"/>
    <w:rsid w:val="00101E6E"/>
    <w:rsid w:val="0010665B"/>
    <w:rsid w:val="00112528"/>
    <w:rsid w:val="001126DD"/>
    <w:rsid w:val="00114194"/>
    <w:rsid w:val="001143F6"/>
    <w:rsid w:val="001152FA"/>
    <w:rsid w:val="00115A2A"/>
    <w:rsid w:val="0011688E"/>
    <w:rsid w:val="0012056C"/>
    <w:rsid w:val="00121368"/>
    <w:rsid w:val="00121E05"/>
    <w:rsid w:val="00123010"/>
    <w:rsid w:val="00125294"/>
    <w:rsid w:val="0013052F"/>
    <w:rsid w:val="00134627"/>
    <w:rsid w:val="00137518"/>
    <w:rsid w:val="00140819"/>
    <w:rsid w:val="0014116A"/>
    <w:rsid w:val="00143AA5"/>
    <w:rsid w:val="00145F42"/>
    <w:rsid w:val="001466B2"/>
    <w:rsid w:val="00150A57"/>
    <w:rsid w:val="001511AF"/>
    <w:rsid w:val="00154511"/>
    <w:rsid w:val="00154BDD"/>
    <w:rsid w:val="00160BAD"/>
    <w:rsid w:val="001620EC"/>
    <w:rsid w:val="00165EA8"/>
    <w:rsid w:val="001660BC"/>
    <w:rsid w:val="0016750D"/>
    <w:rsid w:val="00167591"/>
    <w:rsid w:val="0017270F"/>
    <w:rsid w:val="001739D8"/>
    <w:rsid w:val="00174789"/>
    <w:rsid w:val="00174D74"/>
    <w:rsid w:val="00174E7B"/>
    <w:rsid w:val="001767D5"/>
    <w:rsid w:val="00181FAC"/>
    <w:rsid w:val="0018272B"/>
    <w:rsid w:val="0018354B"/>
    <w:rsid w:val="001901C7"/>
    <w:rsid w:val="001909BE"/>
    <w:rsid w:val="00190A91"/>
    <w:rsid w:val="00190C6F"/>
    <w:rsid w:val="00191931"/>
    <w:rsid w:val="001953A5"/>
    <w:rsid w:val="00195F0B"/>
    <w:rsid w:val="00197542"/>
    <w:rsid w:val="001A0A4A"/>
    <w:rsid w:val="001A1EF8"/>
    <w:rsid w:val="001A2469"/>
    <w:rsid w:val="001A2D64"/>
    <w:rsid w:val="001A3009"/>
    <w:rsid w:val="001A3A6B"/>
    <w:rsid w:val="001A4062"/>
    <w:rsid w:val="001B1E98"/>
    <w:rsid w:val="001B2585"/>
    <w:rsid w:val="001B3E9C"/>
    <w:rsid w:val="001B4366"/>
    <w:rsid w:val="001B6514"/>
    <w:rsid w:val="001C0875"/>
    <w:rsid w:val="001C1C41"/>
    <w:rsid w:val="001C241F"/>
    <w:rsid w:val="001C350B"/>
    <w:rsid w:val="001C3957"/>
    <w:rsid w:val="001C4F4E"/>
    <w:rsid w:val="001C5B29"/>
    <w:rsid w:val="001C66CA"/>
    <w:rsid w:val="001C6EDD"/>
    <w:rsid w:val="001C758A"/>
    <w:rsid w:val="001C7E97"/>
    <w:rsid w:val="001D1802"/>
    <w:rsid w:val="001D21CC"/>
    <w:rsid w:val="001D5230"/>
    <w:rsid w:val="001D5C8A"/>
    <w:rsid w:val="001E2166"/>
    <w:rsid w:val="001E3C2A"/>
    <w:rsid w:val="001E43A5"/>
    <w:rsid w:val="001E44D8"/>
    <w:rsid w:val="001E7728"/>
    <w:rsid w:val="001F10B0"/>
    <w:rsid w:val="001F2964"/>
    <w:rsid w:val="001F2D78"/>
    <w:rsid w:val="001F35D4"/>
    <w:rsid w:val="001F6A44"/>
    <w:rsid w:val="001F7B7C"/>
    <w:rsid w:val="002012EA"/>
    <w:rsid w:val="002018AF"/>
    <w:rsid w:val="00203D9E"/>
    <w:rsid w:val="00205A58"/>
    <w:rsid w:val="0020766A"/>
    <w:rsid w:val="0021010F"/>
    <w:rsid w:val="002105AD"/>
    <w:rsid w:val="00211583"/>
    <w:rsid w:val="00211D21"/>
    <w:rsid w:val="00211E0F"/>
    <w:rsid w:val="00216AB9"/>
    <w:rsid w:val="002200C0"/>
    <w:rsid w:val="002207AB"/>
    <w:rsid w:val="00220AFB"/>
    <w:rsid w:val="002235CF"/>
    <w:rsid w:val="00226BD8"/>
    <w:rsid w:val="00234967"/>
    <w:rsid w:val="00234D39"/>
    <w:rsid w:val="0024234F"/>
    <w:rsid w:val="00242805"/>
    <w:rsid w:val="00245758"/>
    <w:rsid w:val="00247F01"/>
    <w:rsid w:val="002501CC"/>
    <w:rsid w:val="00252948"/>
    <w:rsid w:val="0025302B"/>
    <w:rsid w:val="0025573B"/>
    <w:rsid w:val="0025592F"/>
    <w:rsid w:val="00256B99"/>
    <w:rsid w:val="00257A9B"/>
    <w:rsid w:val="00261016"/>
    <w:rsid w:val="002646A9"/>
    <w:rsid w:val="0026548C"/>
    <w:rsid w:val="0026612D"/>
    <w:rsid w:val="00266207"/>
    <w:rsid w:val="00270691"/>
    <w:rsid w:val="00271AFA"/>
    <w:rsid w:val="00272B62"/>
    <w:rsid w:val="0027370C"/>
    <w:rsid w:val="00274EA7"/>
    <w:rsid w:val="0027677B"/>
    <w:rsid w:val="002777C3"/>
    <w:rsid w:val="002830CF"/>
    <w:rsid w:val="00283233"/>
    <w:rsid w:val="0028576C"/>
    <w:rsid w:val="002863A5"/>
    <w:rsid w:val="00286615"/>
    <w:rsid w:val="002917FC"/>
    <w:rsid w:val="00294E99"/>
    <w:rsid w:val="00296608"/>
    <w:rsid w:val="002966B1"/>
    <w:rsid w:val="00296D0D"/>
    <w:rsid w:val="00296FE4"/>
    <w:rsid w:val="0029757C"/>
    <w:rsid w:val="002A1C66"/>
    <w:rsid w:val="002A28B4"/>
    <w:rsid w:val="002A2B8C"/>
    <w:rsid w:val="002A35CF"/>
    <w:rsid w:val="002A475D"/>
    <w:rsid w:val="002A5297"/>
    <w:rsid w:val="002A5D51"/>
    <w:rsid w:val="002A78FA"/>
    <w:rsid w:val="002A7D35"/>
    <w:rsid w:val="002B50F2"/>
    <w:rsid w:val="002C19C4"/>
    <w:rsid w:val="002C5057"/>
    <w:rsid w:val="002C732F"/>
    <w:rsid w:val="002D044A"/>
    <w:rsid w:val="002D0F60"/>
    <w:rsid w:val="002D43D5"/>
    <w:rsid w:val="002E0C46"/>
    <w:rsid w:val="002E0D60"/>
    <w:rsid w:val="002E3C9D"/>
    <w:rsid w:val="002E462D"/>
    <w:rsid w:val="002E7EE0"/>
    <w:rsid w:val="002F095A"/>
    <w:rsid w:val="002F5715"/>
    <w:rsid w:val="002F6B3F"/>
    <w:rsid w:val="002F7CFE"/>
    <w:rsid w:val="002F7E4D"/>
    <w:rsid w:val="00303085"/>
    <w:rsid w:val="00305282"/>
    <w:rsid w:val="00306C23"/>
    <w:rsid w:val="00307CEA"/>
    <w:rsid w:val="00311B94"/>
    <w:rsid w:val="00311E9E"/>
    <w:rsid w:val="003128B7"/>
    <w:rsid w:val="00313697"/>
    <w:rsid w:val="003143F3"/>
    <w:rsid w:val="003151C2"/>
    <w:rsid w:val="003153BD"/>
    <w:rsid w:val="003221E5"/>
    <w:rsid w:val="00324BE4"/>
    <w:rsid w:val="00327C29"/>
    <w:rsid w:val="00327DA5"/>
    <w:rsid w:val="00327F08"/>
    <w:rsid w:val="003316DA"/>
    <w:rsid w:val="003338E8"/>
    <w:rsid w:val="00333973"/>
    <w:rsid w:val="00335101"/>
    <w:rsid w:val="0033712D"/>
    <w:rsid w:val="003377C0"/>
    <w:rsid w:val="00340DD9"/>
    <w:rsid w:val="00350D32"/>
    <w:rsid w:val="003526CB"/>
    <w:rsid w:val="00354DEC"/>
    <w:rsid w:val="00355189"/>
    <w:rsid w:val="003552E5"/>
    <w:rsid w:val="00360E17"/>
    <w:rsid w:val="0036209C"/>
    <w:rsid w:val="00362345"/>
    <w:rsid w:val="00362C3E"/>
    <w:rsid w:val="0036303F"/>
    <w:rsid w:val="00363090"/>
    <w:rsid w:val="00363C6F"/>
    <w:rsid w:val="00363DAF"/>
    <w:rsid w:val="0036670A"/>
    <w:rsid w:val="00366FC5"/>
    <w:rsid w:val="0037035E"/>
    <w:rsid w:val="003720C4"/>
    <w:rsid w:val="00372312"/>
    <w:rsid w:val="00375F7F"/>
    <w:rsid w:val="0037708C"/>
    <w:rsid w:val="00377ECF"/>
    <w:rsid w:val="00380661"/>
    <w:rsid w:val="00380CE1"/>
    <w:rsid w:val="00381C1C"/>
    <w:rsid w:val="00382452"/>
    <w:rsid w:val="00385DFB"/>
    <w:rsid w:val="00390786"/>
    <w:rsid w:val="00392DE1"/>
    <w:rsid w:val="003930C8"/>
    <w:rsid w:val="00393EFE"/>
    <w:rsid w:val="00396613"/>
    <w:rsid w:val="0039714E"/>
    <w:rsid w:val="003A1289"/>
    <w:rsid w:val="003A32C9"/>
    <w:rsid w:val="003A44DD"/>
    <w:rsid w:val="003A5190"/>
    <w:rsid w:val="003A6D72"/>
    <w:rsid w:val="003A7671"/>
    <w:rsid w:val="003B240E"/>
    <w:rsid w:val="003B4267"/>
    <w:rsid w:val="003B57BF"/>
    <w:rsid w:val="003B6AFC"/>
    <w:rsid w:val="003B6C30"/>
    <w:rsid w:val="003C74D9"/>
    <w:rsid w:val="003D13EF"/>
    <w:rsid w:val="003D346A"/>
    <w:rsid w:val="003D5C08"/>
    <w:rsid w:val="003D7C64"/>
    <w:rsid w:val="003E0927"/>
    <w:rsid w:val="003E1C5E"/>
    <w:rsid w:val="003E2FD2"/>
    <w:rsid w:val="003E57DC"/>
    <w:rsid w:val="003E5B19"/>
    <w:rsid w:val="003E747E"/>
    <w:rsid w:val="003E74D8"/>
    <w:rsid w:val="003E7818"/>
    <w:rsid w:val="003F2406"/>
    <w:rsid w:val="003F6AEA"/>
    <w:rsid w:val="003F76E1"/>
    <w:rsid w:val="00400768"/>
    <w:rsid w:val="00401084"/>
    <w:rsid w:val="00407EF0"/>
    <w:rsid w:val="004121F6"/>
    <w:rsid w:val="00412F2B"/>
    <w:rsid w:val="004143AD"/>
    <w:rsid w:val="004143FC"/>
    <w:rsid w:val="004164F8"/>
    <w:rsid w:val="00416E5B"/>
    <w:rsid w:val="004178B3"/>
    <w:rsid w:val="00424864"/>
    <w:rsid w:val="00424B0B"/>
    <w:rsid w:val="00430F12"/>
    <w:rsid w:val="00431499"/>
    <w:rsid w:val="004318CA"/>
    <w:rsid w:val="004346A7"/>
    <w:rsid w:val="0043664D"/>
    <w:rsid w:val="0043669E"/>
    <w:rsid w:val="00437290"/>
    <w:rsid w:val="004424B3"/>
    <w:rsid w:val="00442606"/>
    <w:rsid w:val="00443433"/>
    <w:rsid w:val="004439A3"/>
    <w:rsid w:val="00444782"/>
    <w:rsid w:val="00447ADE"/>
    <w:rsid w:val="00447B6A"/>
    <w:rsid w:val="004500B0"/>
    <w:rsid w:val="00452B31"/>
    <w:rsid w:val="00455E34"/>
    <w:rsid w:val="004604F7"/>
    <w:rsid w:val="00462671"/>
    <w:rsid w:val="00462FCE"/>
    <w:rsid w:val="00464E5C"/>
    <w:rsid w:val="004662AB"/>
    <w:rsid w:val="00470C9F"/>
    <w:rsid w:val="00471150"/>
    <w:rsid w:val="00472416"/>
    <w:rsid w:val="00473FDE"/>
    <w:rsid w:val="00474369"/>
    <w:rsid w:val="00480185"/>
    <w:rsid w:val="004843C1"/>
    <w:rsid w:val="00484FF7"/>
    <w:rsid w:val="0048642E"/>
    <w:rsid w:val="00486869"/>
    <w:rsid w:val="00491389"/>
    <w:rsid w:val="00494706"/>
    <w:rsid w:val="00496080"/>
    <w:rsid w:val="004961BC"/>
    <w:rsid w:val="004A027D"/>
    <w:rsid w:val="004A1357"/>
    <w:rsid w:val="004A2997"/>
    <w:rsid w:val="004A29B3"/>
    <w:rsid w:val="004A2A8D"/>
    <w:rsid w:val="004A44B7"/>
    <w:rsid w:val="004A5479"/>
    <w:rsid w:val="004B139A"/>
    <w:rsid w:val="004B1EB7"/>
    <w:rsid w:val="004B3077"/>
    <w:rsid w:val="004B484F"/>
    <w:rsid w:val="004B4B67"/>
    <w:rsid w:val="004C0945"/>
    <w:rsid w:val="004C11A9"/>
    <w:rsid w:val="004C2168"/>
    <w:rsid w:val="004C2899"/>
    <w:rsid w:val="004C635A"/>
    <w:rsid w:val="004D1C02"/>
    <w:rsid w:val="004E7A26"/>
    <w:rsid w:val="004F48DD"/>
    <w:rsid w:val="004F687F"/>
    <w:rsid w:val="004F6AF2"/>
    <w:rsid w:val="00501DED"/>
    <w:rsid w:val="0050360A"/>
    <w:rsid w:val="00503984"/>
    <w:rsid w:val="005048B7"/>
    <w:rsid w:val="00504A25"/>
    <w:rsid w:val="00505420"/>
    <w:rsid w:val="00506409"/>
    <w:rsid w:val="0050701B"/>
    <w:rsid w:val="005073D9"/>
    <w:rsid w:val="00511863"/>
    <w:rsid w:val="00512BEC"/>
    <w:rsid w:val="00516E04"/>
    <w:rsid w:val="0052159A"/>
    <w:rsid w:val="00521B53"/>
    <w:rsid w:val="00522A6E"/>
    <w:rsid w:val="0052511D"/>
    <w:rsid w:val="00526795"/>
    <w:rsid w:val="00527D9C"/>
    <w:rsid w:val="00531566"/>
    <w:rsid w:val="00532843"/>
    <w:rsid w:val="005357D4"/>
    <w:rsid w:val="005370AD"/>
    <w:rsid w:val="0053740F"/>
    <w:rsid w:val="005410D6"/>
    <w:rsid w:val="00541FBB"/>
    <w:rsid w:val="00542EF0"/>
    <w:rsid w:val="00543D3F"/>
    <w:rsid w:val="00545086"/>
    <w:rsid w:val="005454D1"/>
    <w:rsid w:val="00553543"/>
    <w:rsid w:val="005560A0"/>
    <w:rsid w:val="00562CE2"/>
    <w:rsid w:val="005649A1"/>
    <w:rsid w:val="005649D2"/>
    <w:rsid w:val="0056660D"/>
    <w:rsid w:val="00570A0F"/>
    <w:rsid w:val="00572728"/>
    <w:rsid w:val="005809F8"/>
    <w:rsid w:val="0058102D"/>
    <w:rsid w:val="00583731"/>
    <w:rsid w:val="005861C1"/>
    <w:rsid w:val="005934B4"/>
    <w:rsid w:val="00594463"/>
    <w:rsid w:val="00594475"/>
    <w:rsid w:val="00594E37"/>
    <w:rsid w:val="00597644"/>
    <w:rsid w:val="00597D84"/>
    <w:rsid w:val="005A03B9"/>
    <w:rsid w:val="005A086F"/>
    <w:rsid w:val="005A0C57"/>
    <w:rsid w:val="005A0FED"/>
    <w:rsid w:val="005A339B"/>
    <w:rsid w:val="005A34D4"/>
    <w:rsid w:val="005A44E3"/>
    <w:rsid w:val="005A67CA"/>
    <w:rsid w:val="005A7C01"/>
    <w:rsid w:val="005A7E63"/>
    <w:rsid w:val="005B184F"/>
    <w:rsid w:val="005B2BA0"/>
    <w:rsid w:val="005B4991"/>
    <w:rsid w:val="005B71D9"/>
    <w:rsid w:val="005B77E0"/>
    <w:rsid w:val="005C14A7"/>
    <w:rsid w:val="005C6E91"/>
    <w:rsid w:val="005D0140"/>
    <w:rsid w:val="005D0523"/>
    <w:rsid w:val="005D05C5"/>
    <w:rsid w:val="005D2C38"/>
    <w:rsid w:val="005D3C1F"/>
    <w:rsid w:val="005D42AE"/>
    <w:rsid w:val="005D44D6"/>
    <w:rsid w:val="005D49FE"/>
    <w:rsid w:val="005D4A85"/>
    <w:rsid w:val="005D52EF"/>
    <w:rsid w:val="005D61B4"/>
    <w:rsid w:val="005D7008"/>
    <w:rsid w:val="005E1F63"/>
    <w:rsid w:val="005E3374"/>
    <w:rsid w:val="005E4C0C"/>
    <w:rsid w:val="005E6FEE"/>
    <w:rsid w:val="005E7A4A"/>
    <w:rsid w:val="005F0C26"/>
    <w:rsid w:val="005F18B3"/>
    <w:rsid w:val="005F6913"/>
    <w:rsid w:val="005F6CB8"/>
    <w:rsid w:val="005F759C"/>
    <w:rsid w:val="005F7C9B"/>
    <w:rsid w:val="00600049"/>
    <w:rsid w:val="00600271"/>
    <w:rsid w:val="00600D2E"/>
    <w:rsid w:val="00606939"/>
    <w:rsid w:val="006069BF"/>
    <w:rsid w:val="00610FBF"/>
    <w:rsid w:val="0061236D"/>
    <w:rsid w:val="0061332D"/>
    <w:rsid w:val="0061461E"/>
    <w:rsid w:val="00614D87"/>
    <w:rsid w:val="00617E11"/>
    <w:rsid w:val="006243DD"/>
    <w:rsid w:val="00626BBF"/>
    <w:rsid w:val="0062750C"/>
    <w:rsid w:val="006423EB"/>
    <w:rsid w:val="006423F3"/>
    <w:rsid w:val="0064273E"/>
    <w:rsid w:val="00643CC4"/>
    <w:rsid w:val="006473DB"/>
    <w:rsid w:val="00647ADF"/>
    <w:rsid w:val="00652175"/>
    <w:rsid w:val="00652FCA"/>
    <w:rsid w:val="006534FF"/>
    <w:rsid w:val="00663249"/>
    <w:rsid w:val="00665474"/>
    <w:rsid w:val="0066636C"/>
    <w:rsid w:val="00670521"/>
    <w:rsid w:val="00670BEF"/>
    <w:rsid w:val="00671774"/>
    <w:rsid w:val="006721EE"/>
    <w:rsid w:val="00676259"/>
    <w:rsid w:val="00677835"/>
    <w:rsid w:val="00680388"/>
    <w:rsid w:val="00682488"/>
    <w:rsid w:val="006839DF"/>
    <w:rsid w:val="00686DA5"/>
    <w:rsid w:val="00687900"/>
    <w:rsid w:val="00690F5C"/>
    <w:rsid w:val="00693214"/>
    <w:rsid w:val="00695419"/>
    <w:rsid w:val="00696410"/>
    <w:rsid w:val="00696AB8"/>
    <w:rsid w:val="006A0AA8"/>
    <w:rsid w:val="006A30C4"/>
    <w:rsid w:val="006A351F"/>
    <w:rsid w:val="006A3884"/>
    <w:rsid w:val="006A492B"/>
    <w:rsid w:val="006A79E3"/>
    <w:rsid w:val="006B0401"/>
    <w:rsid w:val="006B1522"/>
    <w:rsid w:val="006B3160"/>
    <w:rsid w:val="006B3488"/>
    <w:rsid w:val="006B3D2E"/>
    <w:rsid w:val="006B6560"/>
    <w:rsid w:val="006B77B5"/>
    <w:rsid w:val="006C1C1A"/>
    <w:rsid w:val="006C310E"/>
    <w:rsid w:val="006C41B4"/>
    <w:rsid w:val="006C5C1F"/>
    <w:rsid w:val="006C67A5"/>
    <w:rsid w:val="006C6CAF"/>
    <w:rsid w:val="006C73F3"/>
    <w:rsid w:val="006D00B0"/>
    <w:rsid w:val="006D1CF3"/>
    <w:rsid w:val="006D1E31"/>
    <w:rsid w:val="006D2BF3"/>
    <w:rsid w:val="006D43D6"/>
    <w:rsid w:val="006D5D58"/>
    <w:rsid w:val="006E04E7"/>
    <w:rsid w:val="006E0CCF"/>
    <w:rsid w:val="006E3AE1"/>
    <w:rsid w:val="006E52E9"/>
    <w:rsid w:val="006E54D3"/>
    <w:rsid w:val="006F0C64"/>
    <w:rsid w:val="006F3329"/>
    <w:rsid w:val="006F57AA"/>
    <w:rsid w:val="006F616B"/>
    <w:rsid w:val="006F75EE"/>
    <w:rsid w:val="006F7E61"/>
    <w:rsid w:val="0070123A"/>
    <w:rsid w:val="00703C7C"/>
    <w:rsid w:val="0070630A"/>
    <w:rsid w:val="00712E2A"/>
    <w:rsid w:val="00717237"/>
    <w:rsid w:val="0071731F"/>
    <w:rsid w:val="00720722"/>
    <w:rsid w:val="007218BD"/>
    <w:rsid w:val="0072381A"/>
    <w:rsid w:val="007335D8"/>
    <w:rsid w:val="0073634F"/>
    <w:rsid w:val="00740E54"/>
    <w:rsid w:val="0075359F"/>
    <w:rsid w:val="00755873"/>
    <w:rsid w:val="007564F8"/>
    <w:rsid w:val="00757C9A"/>
    <w:rsid w:val="0076165E"/>
    <w:rsid w:val="00761BA8"/>
    <w:rsid w:val="007667FF"/>
    <w:rsid w:val="00766934"/>
    <w:rsid w:val="00766D19"/>
    <w:rsid w:val="00767CA4"/>
    <w:rsid w:val="00770718"/>
    <w:rsid w:val="00782AE7"/>
    <w:rsid w:val="00784AF7"/>
    <w:rsid w:val="007870EE"/>
    <w:rsid w:val="00790DD7"/>
    <w:rsid w:val="00794D2A"/>
    <w:rsid w:val="00796111"/>
    <w:rsid w:val="00796AA5"/>
    <w:rsid w:val="00797C02"/>
    <w:rsid w:val="007A1601"/>
    <w:rsid w:val="007A17F4"/>
    <w:rsid w:val="007A1909"/>
    <w:rsid w:val="007A3800"/>
    <w:rsid w:val="007A6766"/>
    <w:rsid w:val="007A7C3F"/>
    <w:rsid w:val="007B020C"/>
    <w:rsid w:val="007B18C5"/>
    <w:rsid w:val="007B42D5"/>
    <w:rsid w:val="007B4AAC"/>
    <w:rsid w:val="007B523A"/>
    <w:rsid w:val="007C15AB"/>
    <w:rsid w:val="007C568A"/>
    <w:rsid w:val="007C61DF"/>
    <w:rsid w:val="007C61E6"/>
    <w:rsid w:val="007D006A"/>
    <w:rsid w:val="007D0A0A"/>
    <w:rsid w:val="007D4749"/>
    <w:rsid w:val="007D675B"/>
    <w:rsid w:val="007D6D3A"/>
    <w:rsid w:val="007E2B89"/>
    <w:rsid w:val="007E2D55"/>
    <w:rsid w:val="007E2E76"/>
    <w:rsid w:val="007E35C3"/>
    <w:rsid w:val="007F066A"/>
    <w:rsid w:val="007F655B"/>
    <w:rsid w:val="007F6BE6"/>
    <w:rsid w:val="008011A6"/>
    <w:rsid w:val="0080248A"/>
    <w:rsid w:val="00804F58"/>
    <w:rsid w:val="008073B1"/>
    <w:rsid w:val="00807E7B"/>
    <w:rsid w:val="008120C2"/>
    <w:rsid w:val="008253D3"/>
    <w:rsid w:val="00832C44"/>
    <w:rsid w:val="008461BC"/>
    <w:rsid w:val="0085045D"/>
    <w:rsid w:val="00850B15"/>
    <w:rsid w:val="008559F3"/>
    <w:rsid w:val="00856CA3"/>
    <w:rsid w:val="00860620"/>
    <w:rsid w:val="00860DF7"/>
    <w:rsid w:val="00864661"/>
    <w:rsid w:val="00865BC1"/>
    <w:rsid w:val="00867611"/>
    <w:rsid w:val="00870B0F"/>
    <w:rsid w:val="0087496A"/>
    <w:rsid w:val="008758C0"/>
    <w:rsid w:val="00880BA2"/>
    <w:rsid w:val="008843C7"/>
    <w:rsid w:val="008843DA"/>
    <w:rsid w:val="008870CB"/>
    <w:rsid w:val="00890EEE"/>
    <w:rsid w:val="0089316E"/>
    <w:rsid w:val="00893E76"/>
    <w:rsid w:val="00894B25"/>
    <w:rsid w:val="00894C7E"/>
    <w:rsid w:val="00895992"/>
    <w:rsid w:val="00897BE3"/>
    <w:rsid w:val="008A030D"/>
    <w:rsid w:val="008A1C7D"/>
    <w:rsid w:val="008A3F13"/>
    <w:rsid w:val="008A4CF6"/>
    <w:rsid w:val="008A550D"/>
    <w:rsid w:val="008A5EBC"/>
    <w:rsid w:val="008A6174"/>
    <w:rsid w:val="008A683A"/>
    <w:rsid w:val="008A6BEE"/>
    <w:rsid w:val="008A7124"/>
    <w:rsid w:val="008B0598"/>
    <w:rsid w:val="008B1FA5"/>
    <w:rsid w:val="008C0F88"/>
    <w:rsid w:val="008C15CF"/>
    <w:rsid w:val="008C29EC"/>
    <w:rsid w:val="008C2BFD"/>
    <w:rsid w:val="008C75A5"/>
    <w:rsid w:val="008CAC69"/>
    <w:rsid w:val="008D1AE0"/>
    <w:rsid w:val="008D4C6A"/>
    <w:rsid w:val="008D686A"/>
    <w:rsid w:val="008E3DE9"/>
    <w:rsid w:val="008E5262"/>
    <w:rsid w:val="008E53E8"/>
    <w:rsid w:val="008F1CEC"/>
    <w:rsid w:val="008F39B6"/>
    <w:rsid w:val="008F4F0E"/>
    <w:rsid w:val="008F544F"/>
    <w:rsid w:val="008F62DB"/>
    <w:rsid w:val="00902E65"/>
    <w:rsid w:val="00903077"/>
    <w:rsid w:val="0090351C"/>
    <w:rsid w:val="00907B37"/>
    <w:rsid w:val="00907BA9"/>
    <w:rsid w:val="009102CE"/>
    <w:rsid w:val="009107ED"/>
    <w:rsid w:val="0091200D"/>
    <w:rsid w:val="009138BF"/>
    <w:rsid w:val="009150A5"/>
    <w:rsid w:val="00915B2F"/>
    <w:rsid w:val="0091657C"/>
    <w:rsid w:val="0092040F"/>
    <w:rsid w:val="009225BF"/>
    <w:rsid w:val="00924847"/>
    <w:rsid w:val="00931092"/>
    <w:rsid w:val="00933C32"/>
    <w:rsid w:val="009340A5"/>
    <w:rsid w:val="0093525A"/>
    <w:rsid w:val="0093679E"/>
    <w:rsid w:val="009417E5"/>
    <w:rsid w:val="00941FCC"/>
    <w:rsid w:val="00943F3D"/>
    <w:rsid w:val="0094511B"/>
    <w:rsid w:val="009453BE"/>
    <w:rsid w:val="0095142B"/>
    <w:rsid w:val="00952B82"/>
    <w:rsid w:val="009541CD"/>
    <w:rsid w:val="00956A5E"/>
    <w:rsid w:val="00961293"/>
    <w:rsid w:val="00962B5F"/>
    <w:rsid w:val="00963369"/>
    <w:rsid w:val="0096620C"/>
    <w:rsid w:val="00972C40"/>
    <w:rsid w:val="009739C8"/>
    <w:rsid w:val="009745AD"/>
    <w:rsid w:val="00975480"/>
    <w:rsid w:val="0097762F"/>
    <w:rsid w:val="009810C7"/>
    <w:rsid w:val="00982157"/>
    <w:rsid w:val="00983321"/>
    <w:rsid w:val="009838F3"/>
    <w:rsid w:val="009839C3"/>
    <w:rsid w:val="009866B6"/>
    <w:rsid w:val="00986EB4"/>
    <w:rsid w:val="00987DF4"/>
    <w:rsid w:val="0099144F"/>
    <w:rsid w:val="0099242A"/>
    <w:rsid w:val="00993363"/>
    <w:rsid w:val="00994329"/>
    <w:rsid w:val="00994420"/>
    <w:rsid w:val="0099776C"/>
    <w:rsid w:val="009A0C22"/>
    <w:rsid w:val="009A1095"/>
    <w:rsid w:val="009A2891"/>
    <w:rsid w:val="009A2B99"/>
    <w:rsid w:val="009A3601"/>
    <w:rsid w:val="009B1280"/>
    <w:rsid w:val="009B1F55"/>
    <w:rsid w:val="009B216A"/>
    <w:rsid w:val="009B2AE8"/>
    <w:rsid w:val="009B4435"/>
    <w:rsid w:val="009B6635"/>
    <w:rsid w:val="009C2DB5"/>
    <w:rsid w:val="009C4238"/>
    <w:rsid w:val="009C4761"/>
    <w:rsid w:val="009C5B0E"/>
    <w:rsid w:val="009C661C"/>
    <w:rsid w:val="009D03BA"/>
    <w:rsid w:val="009D2E11"/>
    <w:rsid w:val="009D4948"/>
    <w:rsid w:val="009D6628"/>
    <w:rsid w:val="009E2054"/>
    <w:rsid w:val="009E6FBE"/>
    <w:rsid w:val="009F1091"/>
    <w:rsid w:val="009F24E7"/>
    <w:rsid w:val="009F34D7"/>
    <w:rsid w:val="009F36FC"/>
    <w:rsid w:val="009F5FCF"/>
    <w:rsid w:val="009F6F78"/>
    <w:rsid w:val="00A119B4"/>
    <w:rsid w:val="00A1221A"/>
    <w:rsid w:val="00A170A2"/>
    <w:rsid w:val="00A20B8B"/>
    <w:rsid w:val="00A30AC9"/>
    <w:rsid w:val="00A3104B"/>
    <w:rsid w:val="00A35522"/>
    <w:rsid w:val="00A364AC"/>
    <w:rsid w:val="00A378DB"/>
    <w:rsid w:val="00A40A31"/>
    <w:rsid w:val="00A437ED"/>
    <w:rsid w:val="00A4544B"/>
    <w:rsid w:val="00A45FE5"/>
    <w:rsid w:val="00A50885"/>
    <w:rsid w:val="00A534B8"/>
    <w:rsid w:val="00A54063"/>
    <w:rsid w:val="00A5409F"/>
    <w:rsid w:val="00A56296"/>
    <w:rsid w:val="00A5731E"/>
    <w:rsid w:val="00A57460"/>
    <w:rsid w:val="00A577D4"/>
    <w:rsid w:val="00A60AE3"/>
    <w:rsid w:val="00A615AF"/>
    <w:rsid w:val="00A616F0"/>
    <w:rsid w:val="00A63054"/>
    <w:rsid w:val="00A64AA3"/>
    <w:rsid w:val="00A701FF"/>
    <w:rsid w:val="00A71CA4"/>
    <w:rsid w:val="00A758AC"/>
    <w:rsid w:val="00A75F2B"/>
    <w:rsid w:val="00A815DA"/>
    <w:rsid w:val="00A81C52"/>
    <w:rsid w:val="00A81F88"/>
    <w:rsid w:val="00A821DA"/>
    <w:rsid w:val="00A8309E"/>
    <w:rsid w:val="00A85C31"/>
    <w:rsid w:val="00A85CE7"/>
    <w:rsid w:val="00A85E34"/>
    <w:rsid w:val="00A8792B"/>
    <w:rsid w:val="00A879CF"/>
    <w:rsid w:val="00A904E5"/>
    <w:rsid w:val="00A9082E"/>
    <w:rsid w:val="00A90BFF"/>
    <w:rsid w:val="00A93509"/>
    <w:rsid w:val="00A93BCE"/>
    <w:rsid w:val="00A9673D"/>
    <w:rsid w:val="00A96F77"/>
    <w:rsid w:val="00A97E9E"/>
    <w:rsid w:val="00AA15D8"/>
    <w:rsid w:val="00AA3DB6"/>
    <w:rsid w:val="00AA5227"/>
    <w:rsid w:val="00AA60ED"/>
    <w:rsid w:val="00AA7DC9"/>
    <w:rsid w:val="00AB099B"/>
    <w:rsid w:val="00AB1950"/>
    <w:rsid w:val="00AB2249"/>
    <w:rsid w:val="00AB6B39"/>
    <w:rsid w:val="00AB7FFC"/>
    <w:rsid w:val="00AC010F"/>
    <w:rsid w:val="00AC1739"/>
    <w:rsid w:val="00AC2E0B"/>
    <w:rsid w:val="00AC48A7"/>
    <w:rsid w:val="00AC4AF4"/>
    <w:rsid w:val="00AC510E"/>
    <w:rsid w:val="00AC7920"/>
    <w:rsid w:val="00AD0E5B"/>
    <w:rsid w:val="00AE1BEB"/>
    <w:rsid w:val="00AE3CD7"/>
    <w:rsid w:val="00AE4760"/>
    <w:rsid w:val="00AE599C"/>
    <w:rsid w:val="00AF0309"/>
    <w:rsid w:val="00AF34AC"/>
    <w:rsid w:val="00AF3E13"/>
    <w:rsid w:val="00AF5A75"/>
    <w:rsid w:val="00AF7B95"/>
    <w:rsid w:val="00B00E3A"/>
    <w:rsid w:val="00B02164"/>
    <w:rsid w:val="00B04DC8"/>
    <w:rsid w:val="00B06C49"/>
    <w:rsid w:val="00B07461"/>
    <w:rsid w:val="00B07CC7"/>
    <w:rsid w:val="00B105B6"/>
    <w:rsid w:val="00B1088B"/>
    <w:rsid w:val="00B11010"/>
    <w:rsid w:val="00B117AA"/>
    <w:rsid w:val="00B2036D"/>
    <w:rsid w:val="00B26C50"/>
    <w:rsid w:val="00B27E40"/>
    <w:rsid w:val="00B27FB9"/>
    <w:rsid w:val="00B30422"/>
    <w:rsid w:val="00B333C5"/>
    <w:rsid w:val="00B370E1"/>
    <w:rsid w:val="00B37742"/>
    <w:rsid w:val="00B414E6"/>
    <w:rsid w:val="00B45077"/>
    <w:rsid w:val="00B46033"/>
    <w:rsid w:val="00B503F5"/>
    <w:rsid w:val="00B5178A"/>
    <w:rsid w:val="00B51918"/>
    <w:rsid w:val="00B53548"/>
    <w:rsid w:val="00B53598"/>
    <w:rsid w:val="00B53FCE"/>
    <w:rsid w:val="00B557B8"/>
    <w:rsid w:val="00B55A6A"/>
    <w:rsid w:val="00B65452"/>
    <w:rsid w:val="00B65856"/>
    <w:rsid w:val="00B715AC"/>
    <w:rsid w:val="00B72931"/>
    <w:rsid w:val="00B76A66"/>
    <w:rsid w:val="00B77178"/>
    <w:rsid w:val="00B8093F"/>
    <w:rsid w:val="00B80AAD"/>
    <w:rsid w:val="00B80ADE"/>
    <w:rsid w:val="00B811AC"/>
    <w:rsid w:val="00B81885"/>
    <w:rsid w:val="00B8280E"/>
    <w:rsid w:val="00B843A3"/>
    <w:rsid w:val="00B852EF"/>
    <w:rsid w:val="00B87D9D"/>
    <w:rsid w:val="00B9064A"/>
    <w:rsid w:val="00B90777"/>
    <w:rsid w:val="00B95FE9"/>
    <w:rsid w:val="00B97A11"/>
    <w:rsid w:val="00BA008B"/>
    <w:rsid w:val="00BA7122"/>
    <w:rsid w:val="00BA7230"/>
    <w:rsid w:val="00BA770D"/>
    <w:rsid w:val="00BA7AAB"/>
    <w:rsid w:val="00BB0E78"/>
    <w:rsid w:val="00BB5132"/>
    <w:rsid w:val="00BC00AF"/>
    <w:rsid w:val="00BC0692"/>
    <w:rsid w:val="00BC57DA"/>
    <w:rsid w:val="00BD32C6"/>
    <w:rsid w:val="00BD772F"/>
    <w:rsid w:val="00BE08C8"/>
    <w:rsid w:val="00BE3ED8"/>
    <w:rsid w:val="00BE56AD"/>
    <w:rsid w:val="00BF0E1F"/>
    <w:rsid w:val="00BF1D0B"/>
    <w:rsid w:val="00BF23BF"/>
    <w:rsid w:val="00BF35D4"/>
    <w:rsid w:val="00BF3A31"/>
    <w:rsid w:val="00BF46B9"/>
    <w:rsid w:val="00BF732E"/>
    <w:rsid w:val="00C011FE"/>
    <w:rsid w:val="00C02F82"/>
    <w:rsid w:val="00C031CB"/>
    <w:rsid w:val="00C06952"/>
    <w:rsid w:val="00C07252"/>
    <w:rsid w:val="00C07321"/>
    <w:rsid w:val="00C1635C"/>
    <w:rsid w:val="00C174DB"/>
    <w:rsid w:val="00C300E7"/>
    <w:rsid w:val="00C35A63"/>
    <w:rsid w:val="00C374E6"/>
    <w:rsid w:val="00C378CC"/>
    <w:rsid w:val="00C426A0"/>
    <w:rsid w:val="00C436AB"/>
    <w:rsid w:val="00C472F0"/>
    <w:rsid w:val="00C5096F"/>
    <w:rsid w:val="00C5439B"/>
    <w:rsid w:val="00C5624F"/>
    <w:rsid w:val="00C57A06"/>
    <w:rsid w:val="00C608ED"/>
    <w:rsid w:val="00C61A2F"/>
    <w:rsid w:val="00C62823"/>
    <w:rsid w:val="00C62AA6"/>
    <w:rsid w:val="00C62B29"/>
    <w:rsid w:val="00C64A4C"/>
    <w:rsid w:val="00C66104"/>
    <w:rsid w:val="00C66371"/>
    <w:rsid w:val="00C664FC"/>
    <w:rsid w:val="00C70C44"/>
    <w:rsid w:val="00C723EC"/>
    <w:rsid w:val="00C74BB5"/>
    <w:rsid w:val="00C817E6"/>
    <w:rsid w:val="00C84A51"/>
    <w:rsid w:val="00C859DF"/>
    <w:rsid w:val="00C92BD2"/>
    <w:rsid w:val="00C93B1C"/>
    <w:rsid w:val="00C96376"/>
    <w:rsid w:val="00C96A08"/>
    <w:rsid w:val="00C96F43"/>
    <w:rsid w:val="00CA0226"/>
    <w:rsid w:val="00CA364E"/>
    <w:rsid w:val="00CA4940"/>
    <w:rsid w:val="00CA65E7"/>
    <w:rsid w:val="00CB0B48"/>
    <w:rsid w:val="00CB1B44"/>
    <w:rsid w:val="00CB2145"/>
    <w:rsid w:val="00CB4A8B"/>
    <w:rsid w:val="00CB66B0"/>
    <w:rsid w:val="00CB6AF2"/>
    <w:rsid w:val="00CB7E92"/>
    <w:rsid w:val="00CC0F34"/>
    <w:rsid w:val="00CC1C5C"/>
    <w:rsid w:val="00CC2ED6"/>
    <w:rsid w:val="00CC788B"/>
    <w:rsid w:val="00CC7971"/>
    <w:rsid w:val="00CD020F"/>
    <w:rsid w:val="00CD0E49"/>
    <w:rsid w:val="00CD32BD"/>
    <w:rsid w:val="00CD403E"/>
    <w:rsid w:val="00CD4358"/>
    <w:rsid w:val="00CD6723"/>
    <w:rsid w:val="00CE1D15"/>
    <w:rsid w:val="00CE225E"/>
    <w:rsid w:val="00CE2C10"/>
    <w:rsid w:val="00CE359A"/>
    <w:rsid w:val="00CE4D09"/>
    <w:rsid w:val="00CE5951"/>
    <w:rsid w:val="00CE5E64"/>
    <w:rsid w:val="00CE7478"/>
    <w:rsid w:val="00CF00B8"/>
    <w:rsid w:val="00CF0670"/>
    <w:rsid w:val="00CF73E9"/>
    <w:rsid w:val="00CF75F9"/>
    <w:rsid w:val="00CF7C4A"/>
    <w:rsid w:val="00D00F1F"/>
    <w:rsid w:val="00D0148A"/>
    <w:rsid w:val="00D0164C"/>
    <w:rsid w:val="00D01C3F"/>
    <w:rsid w:val="00D023D6"/>
    <w:rsid w:val="00D02D6E"/>
    <w:rsid w:val="00D0340C"/>
    <w:rsid w:val="00D04367"/>
    <w:rsid w:val="00D06773"/>
    <w:rsid w:val="00D06F07"/>
    <w:rsid w:val="00D136E3"/>
    <w:rsid w:val="00D15A52"/>
    <w:rsid w:val="00D169AB"/>
    <w:rsid w:val="00D16FE0"/>
    <w:rsid w:val="00D17C31"/>
    <w:rsid w:val="00D2118B"/>
    <w:rsid w:val="00D23D47"/>
    <w:rsid w:val="00D27FFC"/>
    <w:rsid w:val="00D303EE"/>
    <w:rsid w:val="00D31D1F"/>
    <w:rsid w:val="00D31E35"/>
    <w:rsid w:val="00D37800"/>
    <w:rsid w:val="00D37904"/>
    <w:rsid w:val="00D42459"/>
    <w:rsid w:val="00D50055"/>
    <w:rsid w:val="00D507E2"/>
    <w:rsid w:val="00D5110B"/>
    <w:rsid w:val="00D534B3"/>
    <w:rsid w:val="00D53889"/>
    <w:rsid w:val="00D56B1C"/>
    <w:rsid w:val="00D60C0F"/>
    <w:rsid w:val="00D60EB0"/>
    <w:rsid w:val="00D61CE0"/>
    <w:rsid w:val="00D63214"/>
    <w:rsid w:val="00D63421"/>
    <w:rsid w:val="00D6439E"/>
    <w:rsid w:val="00D65C0F"/>
    <w:rsid w:val="00D678DB"/>
    <w:rsid w:val="00D70135"/>
    <w:rsid w:val="00D756BD"/>
    <w:rsid w:val="00D75D3D"/>
    <w:rsid w:val="00D77854"/>
    <w:rsid w:val="00D80041"/>
    <w:rsid w:val="00D8082D"/>
    <w:rsid w:val="00D81EAE"/>
    <w:rsid w:val="00D85EA3"/>
    <w:rsid w:val="00D86BF3"/>
    <w:rsid w:val="00D90058"/>
    <w:rsid w:val="00D928A5"/>
    <w:rsid w:val="00D93929"/>
    <w:rsid w:val="00DA0D4D"/>
    <w:rsid w:val="00DB2D99"/>
    <w:rsid w:val="00DB34FD"/>
    <w:rsid w:val="00DB6360"/>
    <w:rsid w:val="00DC0E6C"/>
    <w:rsid w:val="00DC27CF"/>
    <w:rsid w:val="00DC2BC2"/>
    <w:rsid w:val="00DC5276"/>
    <w:rsid w:val="00DC74E1"/>
    <w:rsid w:val="00DC7C44"/>
    <w:rsid w:val="00DD18BC"/>
    <w:rsid w:val="00DD2042"/>
    <w:rsid w:val="00DD23D7"/>
    <w:rsid w:val="00DD2427"/>
    <w:rsid w:val="00DD2F4E"/>
    <w:rsid w:val="00DD726B"/>
    <w:rsid w:val="00DD764B"/>
    <w:rsid w:val="00DE0048"/>
    <w:rsid w:val="00DE07A5"/>
    <w:rsid w:val="00DE2CE3"/>
    <w:rsid w:val="00DE3289"/>
    <w:rsid w:val="00DE44A8"/>
    <w:rsid w:val="00DE44E6"/>
    <w:rsid w:val="00DE4BAE"/>
    <w:rsid w:val="00DF0AD1"/>
    <w:rsid w:val="00DF0F5E"/>
    <w:rsid w:val="00E00347"/>
    <w:rsid w:val="00E00CB5"/>
    <w:rsid w:val="00E00D17"/>
    <w:rsid w:val="00E00D1B"/>
    <w:rsid w:val="00E040AC"/>
    <w:rsid w:val="00E04DAF"/>
    <w:rsid w:val="00E072E6"/>
    <w:rsid w:val="00E11009"/>
    <w:rsid w:val="00E112C7"/>
    <w:rsid w:val="00E117EF"/>
    <w:rsid w:val="00E125C6"/>
    <w:rsid w:val="00E14552"/>
    <w:rsid w:val="00E22F6B"/>
    <w:rsid w:val="00E25090"/>
    <w:rsid w:val="00E25381"/>
    <w:rsid w:val="00E27184"/>
    <w:rsid w:val="00E27F48"/>
    <w:rsid w:val="00E309A5"/>
    <w:rsid w:val="00E32A36"/>
    <w:rsid w:val="00E32DA1"/>
    <w:rsid w:val="00E3359C"/>
    <w:rsid w:val="00E35015"/>
    <w:rsid w:val="00E36F3D"/>
    <w:rsid w:val="00E37E3D"/>
    <w:rsid w:val="00E40987"/>
    <w:rsid w:val="00E40A2C"/>
    <w:rsid w:val="00E4119E"/>
    <w:rsid w:val="00E41D7E"/>
    <w:rsid w:val="00E41FBF"/>
    <w:rsid w:val="00E42348"/>
    <w:rsid w:val="00E4272D"/>
    <w:rsid w:val="00E44FD3"/>
    <w:rsid w:val="00E4742B"/>
    <w:rsid w:val="00E5058E"/>
    <w:rsid w:val="00E50957"/>
    <w:rsid w:val="00E51733"/>
    <w:rsid w:val="00E55946"/>
    <w:rsid w:val="00E56264"/>
    <w:rsid w:val="00E56833"/>
    <w:rsid w:val="00E604B6"/>
    <w:rsid w:val="00E6180F"/>
    <w:rsid w:val="00E61EC8"/>
    <w:rsid w:val="00E63F97"/>
    <w:rsid w:val="00E66CA0"/>
    <w:rsid w:val="00E7624E"/>
    <w:rsid w:val="00E802E5"/>
    <w:rsid w:val="00E836F5"/>
    <w:rsid w:val="00E83D81"/>
    <w:rsid w:val="00E86824"/>
    <w:rsid w:val="00E90944"/>
    <w:rsid w:val="00E93FA0"/>
    <w:rsid w:val="00E96FF5"/>
    <w:rsid w:val="00EA05A5"/>
    <w:rsid w:val="00EA1A3C"/>
    <w:rsid w:val="00EA577B"/>
    <w:rsid w:val="00EA589C"/>
    <w:rsid w:val="00EA77CA"/>
    <w:rsid w:val="00EA7B81"/>
    <w:rsid w:val="00EB7067"/>
    <w:rsid w:val="00EC0009"/>
    <w:rsid w:val="00EC487F"/>
    <w:rsid w:val="00EC624B"/>
    <w:rsid w:val="00ED06E5"/>
    <w:rsid w:val="00ED199B"/>
    <w:rsid w:val="00ED4B87"/>
    <w:rsid w:val="00ED5611"/>
    <w:rsid w:val="00EE0EFE"/>
    <w:rsid w:val="00EE2623"/>
    <w:rsid w:val="00EE3B1A"/>
    <w:rsid w:val="00EE5682"/>
    <w:rsid w:val="00EE5E47"/>
    <w:rsid w:val="00EF3A30"/>
    <w:rsid w:val="00EF497F"/>
    <w:rsid w:val="00EF67FF"/>
    <w:rsid w:val="00F00E97"/>
    <w:rsid w:val="00F01352"/>
    <w:rsid w:val="00F01774"/>
    <w:rsid w:val="00F0464B"/>
    <w:rsid w:val="00F05450"/>
    <w:rsid w:val="00F05D6B"/>
    <w:rsid w:val="00F07A8B"/>
    <w:rsid w:val="00F117F8"/>
    <w:rsid w:val="00F12AF8"/>
    <w:rsid w:val="00F14D7F"/>
    <w:rsid w:val="00F15D08"/>
    <w:rsid w:val="00F17384"/>
    <w:rsid w:val="00F17A74"/>
    <w:rsid w:val="00F208AD"/>
    <w:rsid w:val="00F20AC8"/>
    <w:rsid w:val="00F22D35"/>
    <w:rsid w:val="00F2512B"/>
    <w:rsid w:val="00F254DB"/>
    <w:rsid w:val="00F26A64"/>
    <w:rsid w:val="00F270A0"/>
    <w:rsid w:val="00F2791F"/>
    <w:rsid w:val="00F301DA"/>
    <w:rsid w:val="00F3211D"/>
    <w:rsid w:val="00F3454B"/>
    <w:rsid w:val="00F35F66"/>
    <w:rsid w:val="00F36C38"/>
    <w:rsid w:val="00F36FE4"/>
    <w:rsid w:val="00F378AA"/>
    <w:rsid w:val="00F42CC0"/>
    <w:rsid w:val="00F44E3D"/>
    <w:rsid w:val="00F50CEA"/>
    <w:rsid w:val="00F51310"/>
    <w:rsid w:val="00F522E3"/>
    <w:rsid w:val="00F52BCC"/>
    <w:rsid w:val="00F54B96"/>
    <w:rsid w:val="00F54F06"/>
    <w:rsid w:val="00F57036"/>
    <w:rsid w:val="00F603B2"/>
    <w:rsid w:val="00F62CD9"/>
    <w:rsid w:val="00F65F84"/>
    <w:rsid w:val="00F66145"/>
    <w:rsid w:val="00F67719"/>
    <w:rsid w:val="00F70E15"/>
    <w:rsid w:val="00F76DFB"/>
    <w:rsid w:val="00F815D7"/>
    <w:rsid w:val="00F81980"/>
    <w:rsid w:val="00F841A0"/>
    <w:rsid w:val="00F84B0C"/>
    <w:rsid w:val="00F85277"/>
    <w:rsid w:val="00F862C4"/>
    <w:rsid w:val="00F9248A"/>
    <w:rsid w:val="00F926A9"/>
    <w:rsid w:val="00F9276A"/>
    <w:rsid w:val="00F946C4"/>
    <w:rsid w:val="00F95351"/>
    <w:rsid w:val="00FA1CF4"/>
    <w:rsid w:val="00FA1D85"/>
    <w:rsid w:val="00FA2806"/>
    <w:rsid w:val="00FA3555"/>
    <w:rsid w:val="00FA3DBE"/>
    <w:rsid w:val="00FB0503"/>
    <w:rsid w:val="00FB3813"/>
    <w:rsid w:val="00FC0E4A"/>
    <w:rsid w:val="00FC5004"/>
    <w:rsid w:val="00FC6369"/>
    <w:rsid w:val="00FC7B51"/>
    <w:rsid w:val="00FD0A93"/>
    <w:rsid w:val="00FD4DFC"/>
    <w:rsid w:val="00FD5AF5"/>
    <w:rsid w:val="00FD6F02"/>
    <w:rsid w:val="00FE0872"/>
    <w:rsid w:val="00FE49F3"/>
    <w:rsid w:val="00FE5E0D"/>
    <w:rsid w:val="00FE6DDC"/>
    <w:rsid w:val="00FE74EA"/>
    <w:rsid w:val="00FF025D"/>
    <w:rsid w:val="00FF47AF"/>
    <w:rsid w:val="0115E668"/>
    <w:rsid w:val="011E300D"/>
    <w:rsid w:val="018C572E"/>
    <w:rsid w:val="02B0C238"/>
    <w:rsid w:val="02DB8F82"/>
    <w:rsid w:val="03609CE4"/>
    <w:rsid w:val="03D756C8"/>
    <w:rsid w:val="04409763"/>
    <w:rsid w:val="04CA5065"/>
    <w:rsid w:val="04E31E56"/>
    <w:rsid w:val="054341D9"/>
    <w:rsid w:val="05BB29A3"/>
    <w:rsid w:val="061C4F65"/>
    <w:rsid w:val="07C81939"/>
    <w:rsid w:val="07DD861A"/>
    <w:rsid w:val="0845EFD8"/>
    <w:rsid w:val="088D0097"/>
    <w:rsid w:val="08AFE754"/>
    <w:rsid w:val="08BA432A"/>
    <w:rsid w:val="0956EFB8"/>
    <w:rsid w:val="096E1E9A"/>
    <w:rsid w:val="096E31E5"/>
    <w:rsid w:val="0A580993"/>
    <w:rsid w:val="0CEE1371"/>
    <w:rsid w:val="0D7D2E7F"/>
    <w:rsid w:val="0E3A6D92"/>
    <w:rsid w:val="0EC5FAD4"/>
    <w:rsid w:val="0EC804AF"/>
    <w:rsid w:val="0FDE720F"/>
    <w:rsid w:val="10CB4FA9"/>
    <w:rsid w:val="12331E29"/>
    <w:rsid w:val="123DF6EA"/>
    <w:rsid w:val="12A7D35F"/>
    <w:rsid w:val="12AE3088"/>
    <w:rsid w:val="12BFA042"/>
    <w:rsid w:val="135530F6"/>
    <w:rsid w:val="136DF45B"/>
    <w:rsid w:val="137BD078"/>
    <w:rsid w:val="143E6549"/>
    <w:rsid w:val="156A722E"/>
    <w:rsid w:val="15B20DD7"/>
    <w:rsid w:val="15DA35AA"/>
    <w:rsid w:val="165FE149"/>
    <w:rsid w:val="171362EE"/>
    <w:rsid w:val="1790947D"/>
    <w:rsid w:val="183D7F79"/>
    <w:rsid w:val="188A04E1"/>
    <w:rsid w:val="1949CB78"/>
    <w:rsid w:val="198B34BF"/>
    <w:rsid w:val="19C1D160"/>
    <w:rsid w:val="1A44CCD2"/>
    <w:rsid w:val="1AF7690D"/>
    <w:rsid w:val="1B055ACD"/>
    <w:rsid w:val="1B2E7502"/>
    <w:rsid w:val="1B5281FA"/>
    <w:rsid w:val="1B692774"/>
    <w:rsid w:val="1B88E67C"/>
    <w:rsid w:val="1B8E8F1D"/>
    <w:rsid w:val="1BC77E2D"/>
    <w:rsid w:val="1C54C19B"/>
    <w:rsid w:val="1C6022FB"/>
    <w:rsid w:val="1D0B74DA"/>
    <w:rsid w:val="1D35ABEC"/>
    <w:rsid w:val="1DD24F77"/>
    <w:rsid w:val="1E758FD2"/>
    <w:rsid w:val="1EF5A7F5"/>
    <w:rsid w:val="1F007182"/>
    <w:rsid w:val="1F340457"/>
    <w:rsid w:val="1F6F359E"/>
    <w:rsid w:val="1FF640F0"/>
    <w:rsid w:val="20238506"/>
    <w:rsid w:val="20E464A9"/>
    <w:rsid w:val="212FF885"/>
    <w:rsid w:val="217733A9"/>
    <w:rsid w:val="21E46E7A"/>
    <w:rsid w:val="2238BE0D"/>
    <w:rsid w:val="223C6126"/>
    <w:rsid w:val="22EC339A"/>
    <w:rsid w:val="22FC14F4"/>
    <w:rsid w:val="23A53425"/>
    <w:rsid w:val="23AD7308"/>
    <w:rsid w:val="23BB20BE"/>
    <w:rsid w:val="245AFB1F"/>
    <w:rsid w:val="26115DC8"/>
    <w:rsid w:val="263370A1"/>
    <w:rsid w:val="263CF5B7"/>
    <w:rsid w:val="266C9483"/>
    <w:rsid w:val="266D057C"/>
    <w:rsid w:val="2749D766"/>
    <w:rsid w:val="292042D1"/>
    <w:rsid w:val="2920902A"/>
    <w:rsid w:val="294CFEBC"/>
    <w:rsid w:val="2989F0E9"/>
    <w:rsid w:val="2A0CCE66"/>
    <w:rsid w:val="2B656A33"/>
    <w:rsid w:val="2CE0399C"/>
    <w:rsid w:val="2D09EE2F"/>
    <w:rsid w:val="2D653A3B"/>
    <w:rsid w:val="2D8BA3AB"/>
    <w:rsid w:val="2DBF74A0"/>
    <w:rsid w:val="303449C5"/>
    <w:rsid w:val="304B36B2"/>
    <w:rsid w:val="30500DD1"/>
    <w:rsid w:val="30746F75"/>
    <w:rsid w:val="3077E17C"/>
    <w:rsid w:val="30A8862B"/>
    <w:rsid w:val="30C7BED7"/>
    <w:rsid w:val="30DC8698"/>
    <w:rsid w:val="3210BDE0"/>
    <w:rsid w:val="32E0FE2F"/>
    <w:rsid w:val="33086EF9"/>
    <w:rsid w:val="3369EEC4"/>
    <w:rsid w:val="33D0E6C1"/>
    <w:rsid w:val="343B6095"/>
    <w:rsid w:val="35912706"/>
    <w:rsid w:val="35D0B27B"/>
    <w:rsid w:val="36304A0B"/>
    <w:rsid w:val="370F7210"/>
    <w:rsid w:val="37F53ACC"/>
    <w:rsid w:val="38EC7710"/>
    <w:rsid w:val="39626A01"/>
    <w:rsid w:val="397A5B4F"/>
    <w:rsid w:val="39991EE8"/>
    <w:rsid w:val="39BDEB5A"/>
    <w:rsid w:val="39E3D80A"/>
    <w:rsid w:val="39FBE228"/>
    <w:rsid w:val="3A0F7030"/>
    <w:rsid w:val="3B701B7F"/>
    <w:rsid w:val="3B946866"/>
    <w:rsid w:val="3BDA8C74"/>
    <w:rsid w:val="3BE8DE26"/>
    <w:rsid w:val="3C320463"/>
    <w:rsid w:val="3C752A61"/>
    <w:rsid w:val="3CE4DB97"/>
    <w:rsid w:val="3D0BD60B"/>
    <w:rsid w:val="3D261C64"/>
    <w:rsid w:val="3DF677BA"/>
    <w:rsid w:val="3E254B0A"/>
    <w:rsid w:val="3E3F4D30"/>
    <w:rsid w:val="3E6CC1E3"/>
    <w:rsid w:val="3EC7F526"/>
    <w:rsid w:val="4035812A"/>
    <w:rsid w:val="40BD991A"/>
    <w:rsid w:val="41B4B6F7"/>
    <w:rsid w:val="4223BF7C"/>
    <w:rsid w:val="42319FB5"/>
    <w:rsid w:val="429836D8"/>
    <w:rsid w:val="433FF675"/>
    <w:rsid w:val="435B9806"/>
    <w:rsid w:val="441D5966"/>
    <w:rsid w:val="444F2361"/>
    <w:rsid w:val="44713159"/>
    <w:rsid w:val="44BF26FA"/>
    <w:rsid w:val="44CDDE70"/>
    <w:rsid w:val="450AB40F"/>
    <w:rsid w:val="4642D705"/>
    <w:rsid w:val="464AA676"/>
    <w:rsid w:val="46B09057"/>
    <w:rsid w:val="46B8D281"/>
    <w:rsid w:val="47C2FD2E"/>
    <w:rsid w:val="47CBB320"/>
    <w:rsid w:val="49304B67"/>
    <w:rsid w:val="4971AADC"/>
    <w:rsid w:val="4A8E4277"/>
    <w:rsid w:val="4AA211CB"/>
    <w:rsid w:val="4ADD8AF6"/>
    <w:rsid w:val="4AE4468F"/>
    <w:rsid w:val="4B4A3750"/>
    <w:rsid w:val="4B4D11D1"/>
    <w:rsid w:val="4B648B14"/>
    <w:rsid w:val="4C1874F7"/>
    <w:rsid w:val="4C6733DC"/>
    <w:rsid w:val="4D118A9E"/>
    <w:rsid w:val="4D6DE61E"/>
    <w:rsid w:val="4DA8EFC5"/>
    <w:rsid w:val="4DCBC85A"/>
    <w:rsid w:val="4DD0A196"/>
    <w:rsid w:val="4DD2D02E"/>
    <w:rsid w:val="4DEF8347"/>
    <w:rsid w:val="4E84B94B"/>
    <w:rsid w:val="4ED7A2AE"/>
    <w:rsid w:val="4EEE380A"/>
    <w:rsid w:val="4F815A89"/>
    <w:rsid w:val="4F9A6E64"/>
    <w:rsid w:val="5002B12E"/>
    <w:rsid w:val="5014AEC0"/>
    <w:rsid w:val="5096217B"/>
    <w:rsid w:val="50A01555"/>
    <w:rsid w:val="50B8AC70"/>
    <w:rsid w:val="512A4DAE"/>
    <w:rsid w:val="52B0FE2E"/>
    <w:rsid w:val="53084DBA"/>
    <w:rsid w:val="531FAC76"/>
    <w:rsid w:val="538E0143"/>
    <w:rsid w:val="53AD6BF0"/>
    <w:rsid w:val="544B91E8"/>
    <w:rsid w:val="54F41CBD"/>
    <w:rsid w:val="5517166B"/>
    <w:rsid w:val="555500DF"/>
    <w:rsid w:val="564981CA"/>
    <w:rsid w:val="56622EEB"/>
    <w:rsid w:val="56E97F9D"/>
    <w:rsid w:val="56F4D401"/>
    <w:rsid w:val="580CF2E8"/>
    <w:rsid w:val="58F4EC0F"/>
    <w:rsid w:val="59339614"/>
    <w:rsid w:val="5943B165"/>
    <w:rsid w:val="597B3570"/>
    <w:rsid w:val="5A62E2B2"/>
    <w:rsid w:val="5A8C00C2"/>
    <w:rsid w:val="5AD5E151"/>
    <w:rsid w:val="5B4F10D4"/>
    <w:rsid w:val="5CC55A7E"/>
    <w:rsid w:val="5CD67070"/>
    <w:rsid w:val="5E346DEE"/>
    <w:rsid w:val="5EB28AAB"/>
    <w:rsid w:val="5ECAF340"/>
    <w:rsid w:val="5F0DAA0F"/>
    <w:rsid w:val="601630EE"/>
    <w:rsid w:val="6028E325"/>
    <w:rsid w:val="60574106"/>
    <w:rsid w:val="605CBC0D"/>
    <w:rsid w:val="60CF55C1"/>
    <w:rsid w:val="61717025"/>
    <w:rsid w:val="6173C487"/>
    <w:rsid w:val="61CD7C81"/>
    <w:rsid w:val="61F8C5D7"/>
    <w:rsid w:val="620F82F1"/>
    <w:rsid w:val="6230569E"/>
    <w:rsid w:val="627AEC77"/>
    <w:rsid w:val="628961F9"/>
    <w:rsid w:val="62E698FC"/>
    <w:rsid w:val="62FF3CC9"/>
    <w:rsid w:val="6342C669"/>
    <w:rsid w:val="634485DC"/>
    <w:rsid w:val="63F7D760"/>
    <w:rsid w:val="645CA5E8"/>
    <w:rsid w:val="6473D810"/>
    <w:rsid w:val="661CDFD8"/>
    <w:rsid w:val="66560682"/>
    <w:rsid w:val="667AEFD9"/>
    <w:rsid w:val="66D57CA1"/>
    <w:rsid w:val="6729CD89"/>
    <w:rsid w:val="684B7A05"/>
    <w:rsid w:val="68F3173A"/>
    <w:rsid w:val="69EA9ABB"/>
    <w:rsid w:val="69F92A56"/>
    <w:rsid w:val="69F9D426"/>
    <w:rsid w:val="6B246ED7"/>
    <w:rsid w:val="6B89A9B0"/>
    <w:rsid w:val="6C461927"/>
    <w:rsid w:val="6C750244"/>
    <w:rsid w:val="6CD7D795"/>
    <w:rsid w:val="6CE6670C"/>
    <w:rsid w:val="6D065B96"/>
    <w:rsid w:val="6D10BB41"/>
    <w:rsid w:val="6D741333"/>
    <w:rsid w:val="6E09D9AC"/>
    <w:rsid w:val="6E7382AE"/>
    <w:rsid w:val="6F9A8890"/>
    <w:rsid w:val="70B90E03"/>
    <w:rsid w:val="70E742B7"/>
    <w:rsid w:val="7106F21B"/>
    <w:rsid w:val="7157EABE"/>
    <w:rsid w:val="71E89427"/>
    <w:rsid w:val="71F97B54"/>
    <w:rsid w:val="720AE1AC"/>
    <w:rsid w:val="72F8F2D9"/>
    <w:rsid w:val="73396D33"/>
    <w:rsid w:val="737DC9BA"/>
    <w:rsid w:val="73DF8CA6"/>
    <w:rsid w:val="74288906"/>
    <w:rsid w:val="75510416"/>
    <w:rsid w:val="755E3FB6"/>
    <w:rsid w:val="75AEAF3A"/>
    <w:rsid w:val="75E003A4"/>
    <w:rsid w:val="75E7DD92"/>
    <w:rsid w:val="76551EA0"/>
    <w:rsid w:val="766BCA5D"/>
    <w:rsid w:val="76716C7B"/>
    <w:rsid w:val="76D77A8F"/>
    <w:rsid w:val="7711D42D"/>
    <w:rsid w:val="77F77E3D"/>
    <w:rsid w:val="7811FE61"/>
    <w:rsid w:val="781FDD9C"/>
    <w:rsid w:val="78247168"/>
    <w:rsid w:val="782D1620"/>
    <w:rsid w:val="7832206D"/>
    <w:rsid w:val="788B230A"/>
    <w:rsid w:val="79108CE4"/>
    <w:rsid w:val="79193DAC"/>
    <w:rsid w:val="79E89C25"/>
    <w:rsid w:val="79EAFD45"/>
    <w:rsid w:val="7AFBDDB9"/>
    <w:rsid w:val="7B5E202F"/>
    <w:rsid w:val="7B9DA5A6"/>
    <w:rsid w:val="7BD740ED"/>
    <w:rsid w:val="7BF39D1C"/>
    <w:rsid w:val="7BFF3F93"/>
    <w:rsid w:val="7C38F6F9"/>
    <w:rsid w:val="7C852A7B"/>
    <w:rsid w:val="7D33C007"/>
    <w:rsid w:val="7DB60A44"/>
    <w:rsid w:val="7DDD4939"/>
    <w:rsid w:val="7EC38C0A"/>
    <w:rsid w:val="7F097DA7"/>
    <w:rsid w:val="7FE91712"/>
    <w:rsid w:val="7FEC8B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38B5"/>
  <w15:chartTrackingRefBased/>
  <w15:docId w15:val="{352ADEF9-03DC-4099-B617-E9E19DE4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A0C5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A0C5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A0C5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A0C5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A0C5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A0C5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A0C57"/>
    <w:pPr>
      <w:keepNext/>
      <w:spacing w:after="200" w:line="240" w:lineRule="auto"/>
    </w:pPr>
    <w:rPr>
      <w:iCs/>
      <w:color w:val="002664"/>
      <w:sz w:val="18"/>
      <w:szCs w:val="18"/>
    </w:rPr>
  </w:style>
  <w:style w:type="table" w:customStyle="1" w:styleId="Tableheader">
    <w:name w:val="ŠTable header"/>
    <w:basedOn w:val="TableNormal"/>
    <w:uiPriority w:val="99"/>
    <w:rsid w:val="005A0C5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A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A0C57"/>
    <w:pPr>
      <w:numPr>
        <w:numId w:val="24"/>
      </w:numPr>
    </w:pPr>
  </w:style>
  <w:style w:type="paragraph" w:styleId="ListNumber2">
    <w:name w:val="List Number 2"/>
    <w:aliases w:val="ŠList Number 2"/>
    <w:basedOn w:val="Normal"/>
    <w:uiPriority w:val="8"/>
    <w:qFormat/>
    <w:rsid w:val="005A0C57"/>
    <w:pPr>
      <w:numPr>
        <w:numId w:val="23"/>
      </w:numPr>
    </w:pPr>
  </w:style>
  <w:style w:type="paragraph" w:styleId="ListBullet">
    <w:name w:val="List Bullet"/>
    <w:aliases w:val="ŠList Bullet"/>
    <w:basedOn w:val="Normal"/>
    <w:uiPriority w:val="9"/>
    <w:qFormat/>
    <w:rsid w:val="005A0C57"/>
    <w:pPr>
      <w:numPr>
        <w:numId w:val="21"/>
      </w:numPr>
    </w:pPr>
  </w:style>
  <w:style w:type="paragraph" w:styleId="ListBullet2">
    <w:name w:val="List Bullet 2"/>
    <w:aliases w:val="ŠList Bullet 2"/>
    <w:basedOn w:val="Normal"/>
    <w:uiPriority w:val="10"/>
    <w:qFormat/>
    <w:rsid w:val="005A0C57"/>
    <w:pPr>
      <w:numPr>
        <w:numId w:val="19"/>
      </w:numPr>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5A0C57"/>
    <w:rPr>
      <w:b/>
      <w:bCs/>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link w:val="FeatureBox2Char"/>
    <w:uiPriority w:val="12"/>
    <w:qFormat/>
    <w:rsid w:val="005A0C5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5A0C5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A0C5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0C5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A0C57"/>
    <w:rPr>
      <w:color w:val="2F5496" w:themeColor="accent1" w:themeShade="BF"/>
      <w:u w:val="single"/>
    </w:rPr>
  </w:style>
  <w:style w:type="paragraph" w:customStyle="1" w:styleId="Logo">
    <w:name w:val="ŠLogo"/>
    <w:basedOn w:val="Normal"/>
    <w:uiPriority w:val="18"/>
    <w:qFormat/>
    <w:rsid w:val="005A0C5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A0C57"/>
    <w:pPr>
      <w:tabs>
        <w:tab w:val="right" w:leader="dot" w:pos="14570"/>
      </w:tabs>
      <w:spacing w:before="0"/>
    </w:pPr>
    <w:rPr>
      <w:b/>
      <w:noProof/>
    </w:rPr>
  </w:style>
  <w:style w:type="paragraph" w:styleId="TOC2">
    <w:name w:val="toc 2"/>
    <w:aliases w:val="ŠTOC 2"/>
    <w:basedOn w:val="Normal"/>
    <w:next w:val="Normal"/>
    <w:uiPriority w:val="39"/>
    <w:unhideWhenUsed/>
    <w:rsid w:val="005A0C57"/>
    <w:pPr>
      <w:tabs>
        <w:tab w:val="right" w:leader="dot" w:pos="14570"/>
      </w:tabs>
      <w:spacing w:before="0"/>
    </w:pPr>
    <w:rPr>
      <w:noProof/>
    </w:rPr>
  </w:style>
  <w:style w:type="paragraph" w:styleId="TOC3">
    <w:name w:val="toc 3"/>
    <w:aliases w:val="ŠTOC 3"/>
    <w:basedOn w:val="Normal"/>
    <w:next w:val="Normal"/>
    <w:uiPriority w:val="39"/>
    <w:unhideWhenUsed/>
    <w:rsid w:val="005A0C57"/>
    <w:pPr>
      <w:spacing w:before="0"/>
      <w:ind w:left="244"/>
    </w:pPr>
  </w:style>
  <w:style w:type="paragraph" w:styleId="Title">
    <w:name w:val="Title"/>
    <w:aliases w:val="ŠTitle"/>
    <w:basedOn w:val="Normal"/>
    <w:next w:val="Normal"/>
    <w:link w:val="TitleChar"/>
    <w:uiPriority w:val="1"/>
    <w:rsid w:val="005A0C5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A0C5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A0C5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A0C5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A0C57"/>
    <w:pPr>
      <w:spacing w:after="240"/>
      <w:outlineLvl w:val="9"/>
    </w:pPr>
    <w:rPr>
      <w:szCs w:val="40"/>
    </w:rPr>
  </w:style>
  <w:style w:type="paragraph" w:styleId="Footer">
    <w:name w:val="footer"/>
    <w:aliases w:val="ŠFooter"/>
    <w:basedOn w:val="Normal"/>
    <w:link w:val="FooterChar"/>
    <w:uiPriority w:val="19"/>
    <w:rsid w:val="005A0C5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A0C57"/>
    <w:rPr>
      <w:rFonts w:ascii="Arial" w:hAnsi="Arial" w:cs="Arial"/>
      <w:sz w:val="18"/>
      <w:szCs w:val="18"/>
    </w:rPr>
  </w:style>
  <w:style w:type="paragraph" w:styleId="Header">
    <w:name w:val="header"/>
    <w:aliases w:val="ŠHeader"/>
    <w:basedOn w:val="Normal"/>
    <w:link w:val="HeaderChar"/>
    <w:uiPriority w:val="16"/>
    <w:rsid w:val="005A0C57"/>
    <w:rPr>
      <w:noProof/>
      <w:color w:val="002664"/>
      <w:sz w:val="28"/>
      <w:szCs w:val="28"/>
    </w:rPr>
  </w:style>
  <w:style w:type="character" w:customStyle="1" w:styleId="HeaderChar">
    <w:name w:val="Header Char"/>
    <w:aliases w:val="ŠHeader Char"/>
    <w:basedOn w:val="DefaultParagraphFont"/>
    <w:link w:val="Header"/>
    <w:uiPriority w:val="16"/>
    <w:rsid w:val="005A0C5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A0C5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A0C5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A0C57"/>
    <w:rPr>
      <w:rFonts w:ascii="Arial" w:hAnsi="Arial" w:cs="Arial"/>
      <w:b/>
      <w:szCs w:val="32"/>
    </w:rPr>
  </w:style>
  <w:style w:type="character" w:styleId="UnresolvedMention">
    <w:name w:val="Unresolved Mention"/>
    <w:basedOn w:val="DefaultParagraphFont"/>
    <w:uiPriority w:val="99"/>
    <w:semiHidden/>
    <w:unhideWhenUsed/>
    <w:rsid w:val="005A0C57"/>
    <w:rPr>
      <w:color w:val="605E5C"/>
      <w:shd w:val="clear" w:color="auto" w:fill="E1DFDD"/>
    </w:rPr>
  </w:style>
  <w:style w:type="character" w:styleId="Emphasis">
    <w:name w:val="Emphasis"/>
    <w:aliases w:val="ŠEmphasis,Italic"/>
    <w:qFormat/>
    <w:rsid w:val="005A0C57"/>
    <w:rPr>
      <w:i/>
      <w:iCs/>
    </w:rPr>
  </w:style>
  <w:style w:type="character" w:styleId="SubtleEmphasis">
    <w:name w:val="Subtle Emphasis"/>
    <w:basedOn w:val="DefaultParagraphFont"/>
    <w:uiPriority w:val="19"/>
    <w:semiHidden/>
    <w:qFormat/>
    <w:rsid w:val="005A0C57"/>
    <w:rPr>
      <w:i/>
      <w:iCs/>
      <w:color w:val="404040" w:themeColor="text1" w:themeTint="BF"/>
    </w:rPr>
  </w:style>
  <w:style w:type="paragraph" w:styleId="TOC4">
    <w:name w:val="toc 4"/>
    <w:aliases w:val="ŠTOC 4"/>
    <w:basedOn w:val="Normal"/>
    <w:next w:val="Normal"/>
    <w:autoRedefine/>
    <w:uiPriority w:val="39"/>
    <w:unhideWhenUsed/>
    <w:rsid w:val="005A0C57"/>
    <w:pPr>
      <w:spacing w:before="0"/>
      <w:ind w:left="488"/>
    </w:pPr>
  </w:style>
  <w:style w:type="character" w:styleId="CommentReference">
    <w:name w:val="annotation reference"/>
    <w:basedOn w:val="DefaultParagraphFont"/>
    <w:uiPriority w:val="99"/>
    <w:semiHidden/>
    <w:unhideWhenUsed/>
    <w:rsid w:val="005A0C57"/>
    <w:rPr>
      <w:sz w:val="16"/>
      <w:szCs w:val="16"/>
    </w:rPr>
  </w:style>
  <w:style w:type="paragraph" w:styleId="CommentText">
    <w:name w:val="annotation text"/>
    <w:basedOn w:val="Normal"/>
    <w:link w:val="CommentTextChar"/>
    <w:uiPriority w:val="99"/>
    <w:unhideWhenUsed/>
    <w:rsid w:val="00D81EAE"/>
    <w:pPr>
      <w:spacing w:line="240" w:lineRule="auto"/>
    </w:pPr>
    <w:rPr>
      <w:sz w:val="20"/>
      <w:szCs w:val="20"/>
    </w:rPr>
  </w:style>
  <w:style w:type="character" w:customStyle="1" w:styleId="CommentTextChar">
    <w:name w:val="Comment Text Char"/>
    <w:basedOn w:val="DefaultParagraphFont"/>
    <w:link w:val="CommentText"/>
    <w:uiPriority w:val="99"/>
    <w:rsid w:val="00D81EAE"/>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5A0C5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5A0C57"/>
    <w:rPr>
      <w:rFonts w:ascii="Arial" w:hAnsi="Arial" w:cs="Arial"/>
      <w:b/>
      <w:bCs/>
      <w:sz w:val="20"/>
      <w:szCs w:val="20"/>
    </w:rPr>
  </w:style>
  <w:style w:type="paragraph" w:styleId="ListParagraph">
    <w:name w:val="List Paragraph"/>
    <w:aliases w:val="ŠList Paragraph"/>
    <w:basedOn w:val="Normal"/>
    <w:uiPriority w:val="34"/>
    <w:unhideWhenUsed/>
    <w:qFormat/>
    <w:rsid w:val="005A0C57"/>
    <w:pPr>
      <w:ind w:left="567"/>
    </w:pPr>
  </w:style>
  <w:style w:type="paragraph" w:customStyle="1" w:styleId="Documentname">
    <w:name w:val="ŠDocument name"/>
    <w:basedOn w:val="Normal"/>
    <w:next w:val="Normal"/>
    <w:uiPriority w:val="17"/>
    <w:qFormat/>
    <w:rsid w:val="005A0C57"/>
    <w:pPr>
      <w:pBdr>
        <w:bottom w:val="single" w:sz="8" w:space="10" w:color="D0CECE" w:themeColor="background2" w:themeShade="E6"/>
      </w:pBdr>
      <w:spacing w:before="0" w:after="240" w:line="276" w:lineRule="auto"/>
      <w:jc w:val="right"/>
    </w:pPr>
    <w:rPr>
      <w:bCs/>
      <w:sz w:val="18"/>
      <w:szCs w:val="18"/>
    </w:rPr>
  </w:style>
  <w:style w:type="character" w:customStyle="1" w:styleId="FeatureBox2Char">
    <w:name w:val="Feature Box 2 Char"/>
    <w:aliases w:val="ŠFeature Box 2 Char"/>
    <w:basedOn w:val="DefaultParagraphFont"/>
    <w:link w:val="FeatureBox2"/>
    <w:uiPriority w:val="12"/>
    <w:rsid w:val="00797C02"/>
    <w:rPr>
      <w:rFonts w:ascii="Arial" w:hAnsi="Arial" w:cs="Arial"/>
      <w:szCs w:val="24"/>
      <w:shd w:val="clear" w:color="auto" w:fill="CCEDFC"/>
    </w:rPr>
  </w:style>
  <w:style w:type="paragraph" w:styleId="Revision">
    <w:name w:val="Revision"/>
    <w:hidden/>
    <w:uiPriority w:val="99"/>
    <w:semiHidden/>
    <w:rsid w:val="00F254D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A0C57"/>
    <w:rPr>
      <w:color w:val="954F72" w:themeColor="followedHyperlink"/>
      <w:u w:val="single"/>
    </w:rPr>
  </w:style>
  <w:style w:type="paragraph" w:styleId="ListBullet3">
    <w:name w:val="List Bullet 3"/>
    <w:aliases w:val="ŠList Bullet 3"/>
    <w:basedOn w:val="Normal"/>
    <w:uiPriority w:val="10"/>
    <w:rsid w:val="005A0C57"/>
    <w:pPr>
      <w:numPr>
        <w:numId w:val="20"/>
      </w:numPr>
    </w:pPr>
  </w:style>
  <w:style w:type="paragraph" w:styleId="ListNumber3">
    <w:name w:val="List Number 3"/>
    <w:aliases w:val="ŠList Number 3"/>
    <w:basedOn w:val="ListBullet3"/>
    <w:uiPriority w:val="8"/>
    <w:rsid w:val="005A0C57"/>
    <w:pPr>
      <w:numPr>
        <w:ilvl w:val="2"/>
        <w:numId w:val="23"/>
      </w:numPr>
    </w:pPr>
  </w:style>
  <w:style w:type="character" w:styleId="PlaceholderText">
    <w:name w:val="Placeholder Text"/>
    <w:basedOn w:val="DefaultParagraphFont"/>
    <w:uiPriority w:val="99"/>
    <w:semiHidden/>
    <w:rsid w:val="005A0C57"/>
    <w:rPr>
      <w:color w:val="808080"/>
    </w:rPr>
  </w:style>
  <w:style w:type="character" w:customStyle="1" w:styleId="BoldItalic">
    <w:name w:val="ŠBold Italic"/>
    <w:basedOn w:val="DefaultParagraphFont"/>
    <w:uiPriority w:val="1"/>
    <w:qFormat/>
    <w:rsid w:val="005A0C57"/>
    <w:rPr>
      <w:b/>
      <w:i/>
      <w:iCs/>
    </w:rPr>
  </w:style>
  <w:style w:type="paragraph" w:customStyle="1" w:styleId="FeatureBox3">
    <w:name w:val="ŠFeature Box 3"/>
    <w:basedOn w:val="Normal"/>
    <w:next w:val="Normal"/>
    <w:uiPriority w:val="13"/>
    <w:qFormat/>
    <w:rsid w:val="005A0C5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A0C5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A0C57"/>
    <w:pPr>
      <w:spacing w:after="0"/>
    </w:pPr>
    <w:rPr>
      <w:sz w:val="18"/>
      <w:szCs w:val="18"/>
    </w:rPr>
  </w:style>
  <w:style w:type="paragraph" w:customStyle="1" w:styleId="Pulloutquote">
    <w:name w:val="ŠPull out quote"/>
    <w:basedOn w:val="Normal"/>
    <w:next w:val="Normal"/>
    <w:uiPriority w:val="20"/>
    <w:qFormat/>
    <w:rsid w:val="005A0C57"/>
    <w:pPr>
      <w:keepNext/>
      <w:ind w:left="567" w:right="57"/>
    </w:pPr>
    <w:rPr>
      <w:szCs w:val="22"/>
    </w:rPr>
  </w:style>
  <w:style w:type="paragraph" w:customStyle="1" w:styleId="Subtitle0">
    <w:name w:val="ŠSubtitle"/>
    <w:basedOn w:val="Normal"/>
    <w:link w:val="SubtitleChar0"/>
    <w:uiPriority w:val="2"/>
    <w:qFormat/>
    <w:rsid w:val="005A0C57"/>
    <w:pPr>
      <w:spacing w:before="360"/>
    </w:pPr>
    <w:rPr>
      <w:color w:val="002664"/>
      <w:sz w:val="44"/>
      <w:szCs w:val="48"/>
    </w:rPr>
  </w:style>
  <w:style w:type="character" w:customStyle="1" w:styleId="SubtitleChar0">
    <w:name w:val="ŠSubtitle Char"/>
    <w:basedOn w:val="DefaultParagraphFont"/>
    <w:link w:val="Subtitle0"/>
    <w:uiPriority w:val="2"/>
    <w:rsid w:val="005A0C57"/>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6997">
      <w:bodyDiv w:val="1"/>
      <w:marLeft w:val="0"/>
      <w:marRight w:val="0"/>
      <w:marTop w:val="0"/>
      <w:marBottom w:val="0"/>
      <w:divBdr>
        <w:top w:val="none" w:sz="0" w:space="0" w:color="auto"/>
        <w:left w:val="none" w:sz="0" w:space="0" w:color="auto"/>
        <w:bottom w:val="none" w:sz="0" w:space="0" w:color="auto"/>
        <w:right w:val="none" w:sz="0" w:space="0" w:color="auto"/>
      </w:divBdr>
    </w:div>
    <w:div w:id="426073697">
      <w:bodyDiv w:val="1"/>
      <w:marLeft w:val="0"/>
      <w:marRight w:val="0"/>
      <w:marTop w:val="0"/>
      <w:marBottom w:val="0"/>
      <w:divBdr>
        <w:top w:val="none" w:sz="0" w:space="0" w:color="auto"/>
        <w:left w:val="none" w:sz="0" w:space="0" w:color="auto"/>
        <w:bottom w:val="none" w:sz="0" w:space="0" w:color="auto"/>
        <w:right w:val="none" w:sz="0" w:space="0" w:color="auto"/>
      </w:divBdr>
    </w:div>
    <w:div w:id="457341465">
      <w:bodyDiv w:val="1"/>
      <w:marLeft w:val="0"/>
      <w:marRight w:val="0"/>
      <w:marTop w:val="0"/>
      <w:marBottom w:val="0"/>
      <w:divBdr>
        <w:top w:val="none" w:sz="0" w:space="0" w:color="auto"/>
        <w:left w:val="none" w:sz="0" w:space="0" w:color="auto"/>
        <w:bottom w:val="none" w:sz="0" w:space="0" w:color="auto"/>
        <w:right w:val="none" w:sz="0" w:space="0" w:color="auto"/>
      </w:divBdr>
    </w:div>
    <w:div w:id="637565108">
      <w:bodyDiv w:val="1"/>
      <w:marLeft w:val="0"/>
      <w:marRight w:val="0"/>
      <w:marTop w:val="0"/>
      <w:marBottom w:val="0"/>
      <w:divBdr>
        <w:top w:val="none" w:sz="0" w:space="0" w:color="auto"/>
        <w:left w:val="none" w:sz="0" w:space="0" w:color="auto"/>
        <w:bottom w:val="none" w:sz="0" w:space="0" w:color="auto"/>
        <w:right w:val="none" w:sz="0" w:space="0" w:color="auto"/>
      </w:divBdr>
    </w:div>
    <w:div w:id="653685484">
      <w:bodyDiv w:val="1"/>
      <w:marLeft w:val="0"/>
      <w:marRight w:val="0"/>
      <w:marTop w:val="0"/>
      <w:marBottom w:val="0"/>
      <w:divBdr>
        <w:top w:val="none" w:sz="0" w:space="0" w:color="auto"/>
        <w:left w:val="none" w:sz="0" w:space="0" w:color="auto"/>
        <w:bottom w:val="none" w:sz="0" w:space="0" w:color="auto"/>
        <w:right w:val="none" w:sz="0" w:space="0" w:color="auto"/>
      </w:divBdr>
    </w:div>
    <w:div w:id="909267681">
      <w:bodyDiv w:val="1"/>
      <w:marLeft w:val="0"/>
      <w:marRight w:val="0"/>
      <w:marTop w:val="0"/>
      <w:marBottom w:val="0"/>
      <w:divBdr>
        <w:top w:val="none" w:sz="0" w:space="0" w:color="auto"/>
        <w:left w:val="none" w:sz="0" w:space="0" w:color="auto"/>
        <w:bottom w:val="none" w:sz="0" w:space="0" w:color="auto"/>
        <w:right w:val="none" w:sz="0" w:space="0" w:color="auto"/>
      </w:divBdr>
    </w:div>
    <w:div w:id="1150705768">
      <w:bodyDiv w:val="1"/>
      <w:marLeft w:val="0"/>
      <w:marRight w:val="0"/>
      <w:marTop w:val="0"/>
      <w:marBottom w:val="0"/>
      <w:divBdr>
        <w:top w:val="none" w:sz="0" w:space="0" w:color="auto"/>
        <w:left w:val="none" w:sz="0" w:space="0" w:color="auto"/>
        <w:bottom w:val="none" w:sz="0" w:space="0" w:color="auto"/>
        <w:right w:val="none" w:sz="0" w:space="0" w:color="auto"/>
      </w:divBdr>
    </w:div>
    <w:div w:id="1612008874">
      <w:bodyDiv w:val="1"/>
      <w:marLeft w:val="0"/>
      <w:marRight w:val="0"/>
      <w:marTop w:val="0"/>
      <w:marBottom w:val="0"/>
      <w:divBdr>
        <w:top w:val="none" w:sz="0" w:space="0" w:color="auto"/>
        <w:left w:val="none" w:sz="0" w:space="0" w:color="auto"/>
        <w:bottom w:val="none" w:sz="0" w:space="0" w:color="auto"/>
        <w:right w:val="none" w:sz="0" w:space="0" w:color="auto"/>
      </w:divBdr>
    </w:div>
    <w:div w:id="1692878006">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 w:id="183730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117" Type="http://schemas.openxmlformats.org/officeDocument/2006/relationships/hyperlink" Target="https://creativecommons.org/licenses/by/4.0/" TargetMode="External"/><Relationship Id="rId21" Type="http://schemas.openxmlformats.org/officeDocument/2006/relationships/hyperlink" Target="https://app.education.nsw.gov.au/digital-learning-selector/LearningActivity/Card/645?clearCache=1a10c20d-5954-92f8-6ada-bb2312d4627d" TargetMode="External"/><Relationship Id="rId42" Type="http://schemas.openxmlformats.org/officeDocument/2006/relationships/hyperlink" Target="https://app.education.nsw.gov.au/digital-learning-selector/LearningActivity/Card/625" TargetMode="External"/><Relationship Id="rId47" Type="http://schemas.openxmlformats.org/officeDocument/2006/relationships/hyperlink" Target="https://education.nsw.gov.au/teaching-and-learning/curriculum/explicit-teaching/explicit-teaching-strategies/sharing-success-criteria" TargetMode="External"/><Relationship Id="rId63" Type="http://schemas.openxmlformats.org/officeDocument/2006/relationships/hyperlink" Target="https://www.natsils.org.au/policy-advocacy/" TargetMode="External"/><Relationship Id="rId68" Type="http://schemas.openxmlformats.org/officeDocument/2006/relationships/hyperlink" Target="https://education.nsw.gov.au/teaching-and-learning/curriculum/explicit-teaching/explicit-teaching-strategies/sharing-success-criteria" TargetMode="External"/><Relationship Id="rId84" Type="http://schemas.openxmlformats.org/officeDocument/2006/relationships/hyperlink" Target="https://education.nsw.gov.au/teaching-and-learning/curriculum/planning-programming-and-assessing-k-12/planning-programming-and-assessing-7-12/inclusion-and-differentiation-advice-7-10" TargetMode="External"/><Relationship Id="rId89" Type="http://schemas.openxmlformats.org/officeDocument/2006/relationships/hyperlink" Target="https://education.nsw.gov.au/about-us/education-data-and-research/cese/publications/research-reports/what-works-best-2020-update/explicit-teaching-driving-learning-and-engagement" TargetMode="External"/><Relationship Id="rId112" Type="http://schemas.openxmlformats.org/officeDocument/2006/relationships/footer" Target="footer1.xml"/><Relationship Id="rId16" Type="http://schemas.openxmlformats.org/officeDocument/2006/relationships/hyperlink" Target="https://education.nsw.gov.au/policy-library/policies/pd-2005-0290-03.html" TargetMode="External"/><Relationship Id="rId107" Type="http://schemas.openxmlformats.org/officeDocument/2006/relationships/hyperlink" Target="https://eric.ed.gov/?id=EJ971753" TargetMode="External"/><Relationship Id="rId11" Type="http://schemas.openxmlformats.org/officeDocument/2006/relationships/hyperlink" Target="https://education.nsw.gov.au/policy-library/policies/pd-2005-0290-03.html" TargetMode="External"/><Relationship Id="rId32"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37" Type="http://schemas.openxmlformats.org/officeDocument/2006/relationships/hyperlink" Target="https://app.education.nsw.gov.au/digital-learning-selector/LearningActivity/Card/576?clearCache=65df7048-aca0-214a-c853-3e5773cf5c80" TargetMode="External"/><Relationship Id="rId53"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58" Type="http://schemas.openxmlformats.org/officeDocument/2006/relationships/hyperlink" Target="https://rlc.org.au/" TargetMode="External"/><Relationship Id="rId74" Type="http://schemas.openxmlformats.org/officeDocument/2006/relationships/hyperlink" Target="https://app.education.nsw.gov.au/digital-learning-selector/LearningActivity/Card/555?clearCache=65c49183-2282-e606-45da-33441d5e4bb9" TargetMode="External"/><Relationship Id="rId79" Type="http://schemas.openxmlformats.org/officeDocument/2006/relationships/hyperlink" Target="https://app.education.nsw.gov.au/digital-learning-selector/LearningActivity/Card/555?clearCache=bc7866e7-2d1c-5212-294a-586a95fc1b63" TargetMode="External"/><Relationship Id="rId102" Type="http://schemas.openxmlformats.org/officeDocument/2006/relationships/hyperlink" Target="https://education.nsw.gov.au/about-us/education-data-and-research/cese/publications/practical-guides-for-educators-/what-works-best-in-practice" TargetMode="External"/><Relationship Id="rId5" Type="http://schemas.openxmlformats.org/officeDocument/2006/relationships/webSettings" Target="webSettings.xml"/><Relationship Id="rId90" Type="http://schemas.openxmlformats.org/officeDocument/2006/relationships/hyperlink" Target="https://education.nsw.gov.au/policy-library/policies/pd-2016-0468" TargetMode="External"/><Relationship Id="rId95" Type="http://schemas.openxmlformats.org/officeDocument/2006/relationships/hyperlink" Target="https://educationstandards.nsw.edu.au" TargetMode="External"/><Relationship Id="rId22" Type="http://schemas.openxmlformats.org/officeDocument/2006/relationships/hyperlink" Target="https://education.nsw.gov.au/policy-library/policies/pd-2005-0290-03.html" TargetMode="External"/><Relationship Id="rId27"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43" Type="http://schemas.openxmlformats.org/officeDocument/2006/relationships/hyperlink" Target="https://humanrights.gov.au/our-work/aboriginal-and-torres-strait-islander-social-justice/history-aboriginal-and-torres-strait" TargetMode="External"/><Relationship Id="rId48" Type="http://schemas.openxmlformats.org/officeDocument/2006/relationships/hyperlink" Target="https://education.nsw.gov.au/policy-library/policies/pd-2005-0290-03.html" TargetMode="External"/><Relationship Id="rId64" Type="http://schemas.openxmlformats.org/officeDocument/2006/relationships/hyperlink" Target="https://app.education.nsw.gov.au/digital-learning-selector/LearningActivity/Card/555?clearCache=5a32d24b-3d4d-d030-514f-2d0e86dbda0a" TargetMode="External"/><Relationship Id="rId69" Type="http://schemas.openxmlformats.org/officeDocument/2006/relationships/hyperlink" Target="https://app.education.nsw.gov.au/digital-learning-selector/LearningActivity/Card/645?clearCache=66cb2192-dab4-bab8-96a4-1a016b44463d" TargetMode="External"/><Relationship Id="rId113" Type="http://schemas.openxmlformats.org/officeDocument/2006/relationships/footer" Target="footer2.xml"/><Relationship Id="rId118" Type="http://schemas.openxmlformats.org/officeDocument/2006/relationships/image" Target="media/image2.png"/><Relationship Id="rId80" Type="http://schemas.openxmlformats.org/officeDocument/2006/relationships/hyperlink" Target="https://app.education.nsw.gov.au/digital-learning-selector/LearningActivity/Card/625" TargetMode="External"/><Relationship Id="rId85" Type="http://schemas.openxmlformats.org/officeDocument/2006/relationships/hyperlink" Target="https://education.nsw.gov.au/teaching-and-learning/curriculum/planning-programming-and-assessing-k-12/planning-programming-and-assessing-7-12" TargetMode="External"/><Relationship Id="rId12" Type="http://schemas.openxmlformats.org/officeDocument/2006/relationships/hyperlink" Target="https://app.education.nsw.gov.au/digital-learning-selector/LearningTool/Card/89?clearCache=86e35ec-6216-e2ff-92e6-5f7b16e64657" TargetMode="External"/><Relationship Id="rId17" Type="http://schemas.openxmlformats.org/officeDocument/2006/relationships/hyperlink" Target="https://app.education.nsw.gov.au/digital-learning-selector/LearningActivity/Card/661?clearCache=54129b52-4d27-d67e-d29a-9247a7b1b857" TargetMode="External"/><Relationship Id="rId33"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38" Type="http://schemas.openxmlformats.org/officeDocument/2006/relationships/hyperlink" Target="https://app.education.nsw.gov.au/digital-learning-selector/LearningActivity/Card/645?clearCache=eb129bc9-4806-9d7d-69e6-3b7bb736ec3e" TargetMode="External"/><Relationship Id="rId59" Type="http://schemas.openxmlformats.org/officeDocument/2006/relationships/hyperlink" Target="https://www.alsnswact.org.au/" TargetMode="External"/><Relationship Id="rId103" Type="http://schemas.openxmlformats.org/officeDocument/2006/relationships/hyperlink" Target="https://educationstandards.nsw.edu.au/wps/portal/nesa/k-10/understanding-the-curriculum/programming/advice-on-units" TargetMode="External"/><Relationship Id="rId108" Type="http://schemas.openxmlformats.org/officeDocument/2006/relationships/hyperlink" Target="https://www.ruleoflaw.org.au/legal-literacy/" TargetMode="External"/><Relationship Id="rId54" Type="http://schemas.openxmlformats.org/officeDocument/2006/relationships/hyperlink" Target="https://aiatsis.gov.au/publication/35464" TargetMode="External"/><Relationship Id="rId70" Type="http://schemas.openxmlformats.org/officeDocument/2006/relationships/hyperlink" Target="https://www.aihw.gov.au/reports/australias-health/social-determinants-of-health" TargetMode="External"/><Relationship Id="rId75" Type="http://schemas.openxmlformats.org/officeDocument/2006/relationships/hyperlink" Target="https://app.education.nsw.gov.au/digital-learning-selector/LearningActivity/Card/645?clearCache=66cb2192-dab4-bab8-96a4-1a016b44463d" TargetMode="External"/><Relationship Id="rId91" Type="http://schemas.openxmlformats.org/officeDocument/2006/relationships/hyperlink" Target="https://education.nsw.gov.au/about-us/strategies-and-reports/plan-for-nsw-public-education" TargetMode="External"/><Relationship Id="rId96" Type="http://schemas.openxmlformats.org/officeDocument/2006/relationships/hyperlink" Target="https://curriculum.nsw.edu.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uleoflaw.org.au/education/australian-colonies/indigenous-early-penal-colony-and-law/" TargetMode="External"/><Relationship Id="rId28" Type="http://schemas.openxmlformats.org/officeDocument/2006/relationships/hyperlink" Target="https://creativecommons.org/licenses/by-nc-nd/3.0/" TargetMode="External"/><Relationship Id="rId49" Type="http://schemas.openxmlformats.org/officeDocument/2006/relationships/hyperlink" Target="https://app.education.nsw.gov.au/digital-learning-selector/LearningActivity/Card/553?clearCache=27972c70-7a8d-8e9d-230f-c1e4f431d6ed" TargetMode="External"/><Relationship Id="rId114" Type="http://schemas.openxmlformats.org/officeDocument/2006/relationships/header" Target="header2.xml"/><Relationship Id="rId119" Type="http://schemas.openxmlformats.org/officeDocument/2006/relationships/header" Target="header3.xml"/><Relationship Id="rId44" Type="http://schemas.openxmlformats.org/officeDocument/2006/relationships/hyperlink" Target="https://humanrights.gov.au/our-work/aboriginal-and-torres-strait-islander-social-justice/history-aboriginal-and-torres-strait" TargetMode="External"/><Relationship Id="rId60" Type="http://schemas.openxmlformats.org/officeDocument/2006/relationships/hyperlink" Target="https://www.wirringabaiya.org.au/" TargetMode="External"/><Relationship Id="rId65" Type="http://schemas.openxmlformats.org/officeDocument/2006/relationships/hyperlink" Target="https://app.education.nsw.gov.au/digital-learning-selector/LearningActivity/Card/625" TargetMode="External"/><Relationship Id="rId81" Type="http://schemas.openxmlformats.org/officeDocument/2006/relationships/hyperlink" Target="https://app.education.nsw.gov.au/digital-learning-selector/LearningActivity/Card/625" TargetMode="External"/><Relationship Id="rId86" Type="http://schemas.openxmlformats.org/officeDocument/2006/relationships/hyperlink" Target="https://education.nsw.gov.au/teaching-and-learning/curriculum/planning-programming-and-assessing-k-12/planning-programming-and-assessing-7-12/classroom-assessment-advice-7-10-" TargetMode="External"/><Relationship Id="rId4" Type="http://schemas.openxmlformats.org/officeDocument/2006/relationships/settings" Target="settings.xml"/><Relationship Id="rId9" Type="http://schemas.openxmlformats.org/officeDocument/2006/relationships/hyperlink" Target="https://education.nsw.gov.au/policy-library/policies/pd-2005-0290-03.html" TargetMode="External"/><Relationship Id="rId13" Type="http://schemas.openxmlformats.org/officeDocument/2006/relationships/hyperlink" Target="https://app.education.nsw.gov.au/digital-learning-selector/LearningActivity/Card/560?clearCache=80db9f7b-c317-7b55-4e9a-a2352f79a110" TargetMode="External"/><Relationship Id="rId18" Type="http://schemas.openxmlformats.org/officeDocument/2006/relationships/hyperlink" Target="https://app.education.nsw.gov.au/digital-learning-selector/LearningActivity/Card/577?clearCache=2300fb3c-3747-96cc-38f1-5a71aa3af3db" TargetMode="External"/><Relationship Id="rId39"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109" Type="http://schemas.openxmlformats.org/officeDocument/2006/relationships/hyperlink" Target="https://www.ruleoflaw.org.au/" TargetMode="External"/><Relationship Id="rId34"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50" Type="http://schemas.openxmlformats.org/officeDocument/2006/relationships/image" Target="media/image1.png"/><Relationship Id="rId55" Type="http://schemas.openxmlformats.org/officeDocument/2006/relationships/hyperlink" Target="https://aiatsis.gov.au/ntpd-resource/742" TargetMode="External"/><Relationship Id="rId76" Type="http://schemas.openxmlformats.org/officeDocument/2006/relationships/hyperlink" Target="https://app.education.nsw.gov.au/digital-learning-selector/LearningActivity/Card/645?clearCache=21ed81a4-8548-ef55-b0af-adf1e26ebba9" TargetMode="External"/><Relationship Id="rId97" Type="http://schemas.openxmlformats.org/officeDocument/2006/relationships/hyperlink" Target="https://educationstandards.nsw.edu.au/wps/portal/nesa/11-12/stage-6-learning-areas/hsie/legal-studies" TargetMode="External"/><Relationship Id="rId104" Type="http://schemas.openxmlformats.org/officeDocument/2006/relationships/hyperlink" Target="https://educationstandards.nsw.edu.au/wps/portal/nesa/teacher-accreditation/meeting-requirements/the-standards/proficient-teacher" TargetMode="External"/><Relationship Id="rId120"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s://education.nsw.gov.au/policy-library/policies/pd-2005-0290-03.html" TargetMode="External"/><Relationship Id="rId92" Type="http://schemas.openxmlformats.org/officeDocument/2006/relationships/hyperlink" Target="https://education.nsw.gov.au/inside-the-department/school-excellence/school-excellence-framework" TargetMode="Externa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546?clearCache=ba3ef41d-ec75-d65d-462b-b50d535fbb5" TargetMode="External"/><Relationship Id="rId24" Type="http://schemas.openxmlformats.org/officeDocument/2006/relationships/hyperlink" Target="https://app.education.nsw.gov.au/digital-learning-selector/LearningActivity/Card/661?clearCache=54129b52-4d27-d67e-d29a-9247a7b1b857" TargetMode="External"/><Relationship Id="rId40" Type="http://schemas.openxmlformats.org/officeDocument/2006/relationships/hyperlink" Target="https://creativecommons.org/licenses/by-nc-nd/3.0/" TargetMode="External"/><Relationship Id="rId45" Type="http://schemas.openxmlformats.org/officeDocument/2006/relationships/hyperlink" Target="https://app.education.nsw.gov.au/digital-learning-selector/LearningActivity/Card/661?clearCache=bf69ad7-c5e2-d27-d65a-74502cfa5ec8" TargetMode="External"/><Relationship Id="rId66" Type="http://schemas.openxmlformats.org/officeDocument/2006/relationships/hyperlink" Target="https://education.nsw.gov.au/policy-library/policies/pd-2005-0290-03.html" TargetMode="External"/><Relationship Id="rId87" Type="http://schemas.openxmlformats.org/officeDocument/2006/relationships/hyperlink" Target="https://education.nsw.gov.au/teaching-and-learning/curriculum/planning-programming-and-assessing-k-12/planning-programming-and-assessing-7-12/assessment-task-advice-7-10" TargetMode="External"/><Relationship Id="rId110" Type="http://schemas.openxmlformats.org/officeDocument/2006/relationships/hyperlink" Target="https://www.researchgate.net/publication/258423377_Assessment_The_bridge_between_teaching_and_learning" TargetMode="External"/><Relationship Id="rId115" Type="http://schemas.openxmlformats.org/officeDocument/2006/relationships/footer" Target="footer3.xml"/><Relationship Id="rId61" Type="http://schemas.openxmlformats.org/officeDocument/2006/relationships/hyperlink" Target="https://www.legalaid.nsw.gov.au/my-problem-is-about/my-right-as-a/aboriginal-or-torres-strait-islander/civil-law-service-for-aboriginal-communities" TargetMode="External"/><Relationship Id="rId82" Type="http://schemas.openxmlformats.org/officeDocument/2006/relationships/hyperlink" Target="mailto:hsie@det.nsw.edu.au" TargetMode="External"/><Relationship Id="rId19" Type="http://schemas.openxmlformats.org/officeDocument/2006/relationships/hyperlink" Target="https://app.education.nsw.gov.au/digital-learning-selector/LearningActivity/Card/576?clearCache=d184f0ed-949a-d0ac-39c4-aa2e22331570" TargetMode="External"/><Relationship Id="rId14" Type="http://schemas.openxmlformats.org/officeDocument/2006/relationships/hyperlink" Target="https://app.education.nsw.gov.au/digital-learning-selector/LearningActivity/Card/645?clearCache=1a10c20d-5954-92f8-6ada-bb2312d4627d" TargetMode="External"/><Relationship Id="rId30"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35"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56" Type="http://schemas.openxmlformats.org/officeDocument/2006/relationships/hyperlink" Target="https://aiatsis.gov.au/about-native-title" TargetMode="External"/><Relationship Id="rId77" Type="http://schemas.openxmlformats.org/officeDocument/2006/relationships/hyperlink" Target="https://app.education.nsw.gov.au/digital-learning-selector/LearningActivity/Card/553?clearCache=caff1c36-3ad6-5159-6973-bd51b25c4027" TargetMode="External"/><Relationship Id="rId100" Type="http://schemas.openxmlformats.org/officeDocument/2006/relationships/hyperlink" Target="https://www.cdpp.gov.au/victims-and-witnesses/commonly-used-terms" TargetMode="External"/><Relationship Id="rId105" Type="http://schemas.openxmlformats.org/officeDocument/2006/relationships/hyperlink" Target="https://educationstandards.nsw.edu.au/wps/portal/nesa/k-10/understanding-the-curriculum/programming" TargetMode="External"/><Relationship Id="rId8" Type="http://schemas.openxmlformats.org/officeDocument/2006/relationships/hyperlink" Target="https://educationstandards.nsw.edu.au/wps/portal/nesa/11-12/stage-6-learning-areas/hsie/legal-studies" TargetMode="External"/><Relationship Id="rId51" Type="http://schemas.openxmlformats.org/officeDocument/2006/relationships/hyperlink" Target="https://app.education.nsw.gov.au/digital-learning-selector/LearningActivity/Card/599?clearCache=78d938b7-67d4-e186-2f37-42899b489236" TargetMode="External"/><Relationship Id="rId72" Type="http://schemas.openxmlformats.org/officeDocument/2006/relationships/hyperlink" Target="https://app.education.nsw.gov.au/digital-learning-selector/LearningActivity/Card/577?clearCache=6e231c84-6c3f-5d2c-3c15-bbd94f4fd426" TargetMode="External"/><Relationship Id="rId93" Type="http://schemas.openxmlformats.org/officeDocument/2006/relationships/hyperlink" Target="https://educationstandards.nsw.edu.au/wps/portal/nesa/teacher-accreditation/meeting-requirements/the-standards/proficient-teacher" TargetMode="External"/><Relationship Id="rId98" Type="http://schemas.openxmlformats.org/officeDocument/2006/relationships/hyperlink" Target="https://www.aitsl.edu.au/docs/default-source/feedback/aitsl-learning-intentions-and-success-criteria-strategy.pdf?sfvrsn=382dec3c_2"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ruleoflaw.org.au/education/australian-colonies/indigenous-early-penal-colony-and-law/" TargetMode="External"/><Relationship Id="rId46" Type="http://schemas.openxmlformats.org/officeDocument/2006/relationships/hyperlink" Target="https://app.education.nsw.gov.au/digital-learning-selector/LearningActivity/Card/577?clearCache=2dfd3a6b-1559-af75-fdd7-ec9796db3e9a" TargetMode="External"/><Relationship Id="rId67" Type="http://schemas.openxmlformats.org/officeDocument/2006/relationships/hyperlink" Target="https://education.nsw.gov.au/policy-library/policies/pd-2005-0290-03.html" TargetMode="External"/><Relationship Id="rId116" Type="http://schemas.openxmlformats.org/officeDocument/2006/relationships/hyperlink" Target="https://doi.org/10.3389/fpsyg.2019.03087" TargetMode="External"/><Relationship Id="rId20" Type="http://schemas.openxmlformats.org/officeDocument/2006/relationships/hyperlink" Target="https://app.education.nsw.gov.au/digital-learning-selector/LearningActivity/Card/555?clearCache=b04b66b9-3a84-f913-b346-91892204e7c8" TargetMode="External"/><Relationship Id="rId41" Type="http://schemas.openxmlformats.org/officeDocument/2006/relationships/hyperlink" Target="https://app.education.nsw.gov.au/digital-learning-selector/LearningActivity/Card/625" TargetMode="External"/><Relationship Id="rId62" Type="http://schemas.openxmlformats.org/officeDocument/2006/relationships/hyperlink" Target="https://www.legalaid.nsw.gov.au/my-problem-is-about/my-right-as-a/aboriginal-or-torres-strait-islander/family-law-service-for-aboriginal-communities" TargetMode="External"/><Relationship Id="rId83" Type="http://schemas.openxmlformats.org/officeDocument/2006/relationships/hyperlink" Target="https://education.nsw.gov.au/teaching-and-learning/curriculum/planning-programming-and-assessing-k-12/planning-programming-and-assessing-7-12" TargetMode="External"/><Relationship Id="rId88" Type="http://schemas.openxmlformats.org/officeDocument/2006/relationships/hyperlink" Target="https://education.nsw.gov.au/teaching-and-learning/curriculum/explicit-teaching" TargetMode="External"/><Relationship Id="rId111" Type="http://schemas.openxmlformats.org/officeDocument/2006/relationships/header" Target="header1.xml"/><Relationship Id="rId15" Type="http://schemas.openxmlformats.org/officeDocument/2006/relationships/hyperlink" Target="https://www.aihw.gov.au/reports/australias-health/social-determinants-of-health" TargetMode="External"/><Relationship Id="rId36"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57" Type="http://schemas.openxmlformats.org/officeDocument/2006/relationships/hyperlink" Target="https://aiatsis.gov.au/publication/35303" TargetMode="External"/><Relationship Id="rId106" Type="http://schemas.openxmlformats.org/officeDocument/2006/relationships/hyperlink" Target="https://app.education.nsw.gov.au/digital-learning-selector/LearningActivity/Card/559" TargetMode="External"/><Relationship Id="rId10" Type="http://schemas.openxmlformats.org/officeDocument/2006/relationships/hyperlink" Target="https://education.nsw.gov.au/teaching-and-learning/curriculum/explicit-teaching/explicit-teaching-strategies/sharing-success-criteria" TargetMode="External"/><Relationship Id="rId31" Type="http://schemas.openxmlformats.org/officeDocument/2006/relationships/hyperlink" Target="https://www.alrc.gov.au/publication/recognition-of-aboriginal-customary-laws-alrc-report-31/4-aboriginal-customary-laws-and-anglo-australian-law-after-1788/australian-law-as-applied-to-aborigines/" TargetMode="External"/><Relationship Id="rId52" Type="http://schemas.openxmlformats.org/officeDocument/2006/relationships/hyperlink" Target="https://aiatsis.gov.au/explore/1967-referendum" TargetMode="External"/><Relationship Id="rId73" Type="http://schemas.openxmlformats.org/officeDocument/2006/relationships/hyperlink" Target="https://app.education.nsw.gov.au/digital-learning-selector/LearningActivity/Card/576?clearCache=80d39c70-53b9-b994-804a-5592b68288b5" TargetMode="External"/><Relationship Id="rId78" Type="http://schemas.openxmlformats.org/officeDocument/2006/relationships/hyperlink" Target="https://app.education.nsw.gov.au/digital-learning-selector/LearningActivity/Card/599?clearCache=74adc1c4-1051-121f-aacc-5f55b7b4e2cf" TargetMode="External"/><Relationship Id="rId94" Type="http://schemas.openxmlformats.org/officeDocument/2006/relationships/hyperlink" Target="https://educationstandards.nsw.edu.au/wps/portal/nesa/mini-footer/copyright" TargetMode="External"/><Relationship Id="rId99" Type="http://schemas.openxmlformats.org/officeDocument/2006/relationships/hyperlink" Target="https://www.aitsl.edu.au/teach/improve-practice/feedback" TargetMode="External"/><Relationship Id="rId101" Type="http://schemas.openxmlformats.org/officeDocument/2006/relationships/hyperlink" Target="https://education.nsw.gov.au/about-us/education-data-and-research/cese/publications/research-reports/what-works-best-2020-update" TargetMode="External"/><Relationship Id="rId1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E320-AA33-4123-A7D0-EA1C284F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42</Pages>
  <Words>10756</Words>
  <Characters>61313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Preliminary legal studies – Core Part 3: Law in practice</vt:lpstr>
    </vt:vector>
  </TitlesOfParts>
  <Company/>
  <LinksUpToDate>false</LinksUpToDate>
  <CharactersWithSpaces>71926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legal studies – Core Part 3: Law in practice</dc:title>
  <dc:subject/>
  <dc:creator>NSW Department of Education</dc:creator>
  <cp:keywords/>
  <dc:description/>
  <dcterms:created xsi:type="dcterms:W3CDTF">2025-04-30T05:44:00Z</dcterms:created>
  <dcterms:modified xsi:type="dcterms:W3CDTF">2025-05-12T02:23:00Z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2024-05-13T22:37:15Z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93eaba11-1db6-4146-ad5d-2714e2d7d8f1</vt:lpwstr>
  </property>
  <property fmtid="{D5CDD505-2E9C-101B-9397-08002B2CF9AE}" pid="10" name="MSIP_Label_b603dfd7-d93a-4381-a340-2995d8282205_ContentBits">
    <vt:lpwstr>0</vt:lpwstr>
  </property>
</Properties>
</file>