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415E" w14:textId="1BD9383B" w:rsidR="002B3553" w:rsidRDefault="00922FC0" w:rsidP="00922FC0">
      <w:pPr>
        <w:pStyle w:val="Heading1"/>
      </w:pPr>
      <w:bookmarkStart w:id="0" w:name="_Toc104382530"/>
      <w:bookmarkStart w:id="1" w:name="_Toc113619558"/>
      <w:r>
        <w:t>Critical thinking – Core 1 assessment task: Building a strong argument</w:t>
      </w:r>
    </w:p>
    <w:p w14:paraId="774EE5D4" w14:textId="31E8E034" w:rsidR="002B3553" w:rsidRPr="002B3553" w:rsidRDefault="002B3553" w:rsidP="002B3553">
      <w:r>
        <w:rPr>
          <w:noProof/>
        </w:rPr>
        <w:drawing>
          <wp:inline distT="0" distB="0" distL="0" distR="0" wp14:anchorId="32AEF0AD" wp14:editId="052119E9">
            <wp:extent cx="5160645" cy="5637858"/>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3015" cy="5640447"/>
                    </a:xfrm>
                    <a:prstGeom prst="rect">
                      <a:avLst/>
                    </a:prstGeom>
                    <a:noFill/>
                  </pic:spPr>
                </pic:pic>
              </a:graphicData>
            </a:graphic>
          </wp:inline>
        </w:drawing>
      </w:r>
    </w:p>
    <w:p w14:paraId="4D37D024" w14:textId="77777777" w:rsidR="002B3553" w:rsidRPr="000B1A5F" w:rsidRDefault="002B3553" w:rsidP="00BB10CE">
      <w:r w:rsidRPr="002B3553">
        <w:br w:type="page"/>
      </w:r>
    </w:p>
    <w:p w14:paraId="7C0AFD0B" w14:textId="788B181A" w:rsidR="002B3553" w:rsidRDefault="002B3553" w:rsidP="002B3553">
      <w:pPr>
        <w:pStyle w:val="TOCHeading"/>
      </w:pPr>
      <w:r>
        <w:lastRenderedPageBreak/>
        <w:t>Contents</w:t>
      </w:r>
    </w:p>
    <w:p w14:paraId="446DCD14" w14:textId="6BE58284" w:rsidR="00AC0E30" w:rsidRDefault="002B3553">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18967132" w:history="1">
        <w:r w:rsidR="00AC0E30" w:rsidRPr="00E41258">
          <w:rPr>
            <w:rStyle w:val="Hyperlink"/>
          </w:rPr>
          <w:t>Advice to teachers</w:t>
        </w:r>
        <w:r w:rsidR="00AC0E30">
          <w:rPr>
            <w:webHidden/>
          </w:rPr>
          <w:tab/>
        </w:r>
        <w:r w:rsidR="00AC0E30">
          <w:rPr>
            <w:webHidden/>
          </w:rPr>
          <w:fldChar w:fldCharType="begin"/>
        </w:r>
        <w:r w:rsidR="00AC0E30">
          <w:rPr>
            <w:webHidden/>
          </w:rPr>
          <w:instrText xml:space="preserve"> PAGEREF _Toc118967132 \h </w:instrText>
        </w:r>
        <w:r w:rsidR="00AC0E30">
          <w:rPr>
            <w:webHidden/>
          </w:rPr>
        </w:r>
        <w:r w:rsidR="00AC0E30">
          <w:rPr>
            <w:webHidden/>
          </w:rPr>
          <w:fldChar w:fldCharType="separate"/>
        </w:r>
        <w:r w:rsidR="00AC0E30">
          <w:rPr>
            <w:webHidden/>
          </w:rPr>
          <w:t>2</w:t>
        </w:r>
        <w:r w:rsidR="00AC0E30">
          <w:rPr>
            <w:webHidden/>
          </w:rPr>
          <w:fldChar w:fldCharType="end"/>
        </w:r>
      </w:hyperlink>
    </w:p>
    <w:p w14:paraId="43614A2A" w14:textId="49416C2C"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33" w:history="1">
        <w:r w:rsidR="00AC0E30" w:rsidRPr="00E41258">
          <w:rPr>
            <w:rStyle w:val="Hyperlink"/>
            <w:noProof/>
          </w:rPr>
          <w:t>Outcomes</w:t>
        </w:r>
        <w:r w:rsidR="00AC0E30">
          <w:rPr>
            <w:noProof/>
            <w:webHidden/>
          </w:rPr>
          <w:tab/>
        </w:r>
        <w:r w:rsidR="00AC0E30">
          <w:rPr>
            <w:noProof/>
            <w:webHidden/>
          </w:rPr>
          <w:fldChar w:fldCharType="begin"/>
        </w:r>
        <w:r w:rsidR="00AC0E30">
          <w:rPr>
            <w:noProof/>
            <w:webHidden/>
          </w:rPr>
          <w:instrText xml:space="preserve"> PAGEREF _Toc118967133 \h </w:instrText>
        </w:r>
        <w:r w:rsidR="00AC0E30">
          <w:rPr>
            <w:noProof/>
            <w:webHidden/>
          </w:rPr>
        </w:r>
        <w:r w:rsidR="00AC0E30">
          <w:rPr>
            <w:noProof/>
            <w:webHidden/>
          </w:rPr>
          <w:fldChar w:fldCharType="separate"/>
        </w:r>
        <w:r w:rsidR="00AC0E30">
          <w:rPr>
            <w:noProof/>
            <w:webHidden/>
          </w:rPr>
          <w:t>2</w:t>
        </w:r>
        <w:r w:rsidR="00AC0E30">
          <w:rPr>
            <w:noProof/>
            <w:webHidden/>
          </w:rPr>
          <w:fldChar w:fldCharType="end"/>
        </w:r>
      </w:hyperlink>
    </w:p>
    <w:p w14:paraId="0666F531" w14:textId="5B6D6A6F"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34" w:history="1">
        <w:r w:rsidR="00AC0E30" w:rsidRPr="00E41258">
          <w:rPr>
            <w:rStyle w:val="Hyperlink"/>
            <w:noProof/>
          </w:rPr>
          <w:t>Task instructions</w:t>
        </w:r>
        <w:r w:rsidR="00AC0E30">
          <w:rPr>
            <w:noProof/>
            <w:webHidden/>
          </w:rPr>
          <w:tab/>
        </w:r>
        <w:r w:rsidR="00AC0E30">
          <w:rPr>
            <w:noProof/>
            <w:webHidden/>
          </w:rPr>
          <w:fldChar w:fldCharType="begin"/>
        </w:r>
        <w:r w:rsidR="00AC0E30">
          <w:rPr>
            <w:noProof/>
            <w:webHidden/>
          </w:rPr>
          <w:instrText xml:space="preserve"> PAGEREF _Toc118967134 \h </w:instrText>
        </w:r>
        <w:r w:rsidR="00AC0E30">
          <w:rPr>
            <w:noProof/>
            <w:webHidden/>
          </w:rPr>
        </w:r>
        <w:r w:rsidR="00AC0E30">
          <w:rPr>
            <w:noProof/>
            <w:webHidden/>
          </w:rPr>
          <w:fldChar w:fldCharType="separate"/>
        </w:r>
        <w:r w:rsidR="00AC0E30">
          <w:rPr>
            <w:noProof/>
            <w:webHidden/>
          </w:rPr>
          <w:t>3</w:t>
        </w:r>
        <w:r w:rsidR="00AC0E30">
          <w:rPr>
            <w:noProof/>
            <w:webHidden/>
          </w:rPr>
          <w:fldChar w:fldCharType="end"/>
        </w:r>
      </w:hyperlink>
    </w:p>
    <w:p w14:paraId="36D91AAA" w14:textId="41927832"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35" w:history="1">
        <w:r w:rsidR="00AC0E30" w:rsidRPr="00E41258">
          <w:rPr>
            <w:rStyle w:val="Hyperlink"/>
            <w:noProof/>
          </w:rPr>
          <w:t>Task steps</w:t>
        </w:r>
        <w:r w:rsidR="00AC0E30">
          <w:rPr>
            <w:noProof/>
            <w:webHidden/>
          </w:rPr>
          <w:tab/>
        </w:r>
        <w:r w:rsidR="00AC0E30">
          <w:rPr>
            <w:noProof/>
            <w:webHidden/>
          </w:rPr>
          <w:fldChar w:fldCharType="begin"/>
        </w:r>
        <w:r w:rsidR="00AC0E30">
          <w:rPr>
            <w:noProof/>
            <w:webHidden/>
          </w:rPr>
          <w:instrText xml:space="preserve"> PAGEREF _Toc118967135 \h </w:instrText>
        </w:r>
        <w:r w:rsidR="00AC0E30">
          <w:rPr>
            <w:noProof/>
            <w:webHidden/>
          </w:rPr>
        </w:r>
        <w:r w:rsidR="00AC0E30">
          <w:rPr>
            <w:noProof/>
            <w:webHidden/>
          </w:rPr>
          <w:fldChar w:fldCharType="separate"/>
        </w:r>
        <w:r w:rsidR="00AC0E30">
          <w:rPr>
            <w:noProof/>
            <w:webHidden/>
          </w:rPr>
          <w:t>3</w:t>
        </w:r>
        <w:r w:rsidR="00AC0E30">
          <w:rPr>
            <w:noProof/>
            <w:webHidden/>
          </w:rPr>
          <w:fldChar w:fldCharType="end"/>
        </w:r>
      </w:hyperlink>
    </w:p>
    <w:p w14:paraId="41E0B8A2" w14:textId="2B0964B7" w:rsidR="00AC0E30" w:rsidRDefault="00000000">
      <w:pPr>
        <w:pStyle w:val="TOC2"/>
        <w:rPr>
          <w:rFonts w:asciiTheme="minorHAnsi" w:eastAsiaTheme="minorEastAsia" w:hAnsiTheme="minorHAnsi" w:cstheme="minorBidi"/>
          <w:sz w:val="22"/>
          <w:szCs w:val="22"/>
          <w:lang w:eastAsia="en-AU"/>
        </w:rPr>
      </w:pPr>
      <w:hyperlink w:anchor="_Toc118967136" w:history="1">
        <w:r w:rsidR="00AC0E30" w:rsidRPr="00E41258">
          <w:rPr>
            <w:rStyle w:val="Hyperlink"/>
          </w:rPr>
          <w:t>‘Would you rather’</w:t>
        </w:r>
        <w:r w:rsidR="00AC0E30">
          <w:rPr>
            <w:webHidden/>
          </w:rPr>
          <w:tab/>
        </w:r>
        <w:r w:rsidR="00AC0E30">
          <w:rPr>
            <w:webHidden/>
          </w:rPr>
          <w:fldChar w:fldCharType="begin"/>
        </w:r>
        <w:r w:rsidR="00AC0E30">
          <w:rPr>
            <w:webHidden/>
          </w:rPr>
          <w:instrText xml:space="preserve"> PAGEREF _Toc118967136 \h </w:instrText>
        </w:r>
        <w:r w:rsidR="00AC0E30">
          <w:rPr>
            <w:webHidden/>
          </w:rPr>
        </w:r>
        <w:r w:rsidR="00AC0E30">
          <w:rPr>
            <w:webHidden/>
          </w:rPr>
          <w:fldChar w:fldCharType="separate"/>
        </w:r>
        <w:r w:rsidR="00AC0E30">
          <w:rPr>
            <w:webHidden/>
          </w:rPr>
          <w:t>4</w:t>
        </w:r>
        <w:r w:rsidR="00AC0E30">
          <w:rPr>
            <w:webHidden/>
          </w:rPr>
          <w:fldChar w:fldCharType="end"/>
        </w:r>
      </w:hyperlink>
    </w:p>
    <w:p w14:paraId="651806A0" w14:textId="265C5E15"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37" w:history="1">
        <w:r w:rsidR="00AC0E30" w:rsidRPr="00E41258">
          <w:rPr>
            <w:rStyle w:val="Hyperlink"/>
            <w:noProof/>
          </w:rPr>
          <w:t>Consider all options</w:t>
        </w:r>
        <w:r w:rsidR="00AC0E30">
          <w:rPr>
            <w:noProof/>
            <w:webHidden/>
          </w:rPr>
          <w:tab/>
        </w:r>
        <w:r w:rsidR="00AC0E30">
          <w:rPr>
            <w:noProof/>
            <w:webHidden/>
          </w:rPr>
          <w:fldChar w:fldCharType="begin"/>
        </w:r>
        <w:r w:rsidR="00AC0E30">
          <w:rPr>
            <w:noProof/>
            <w:webHidden/>
          </w:rPr>
          <w:instrText xml:space="preserve"> PAGEREF _Toc118967137 \h </w:instrText>
        </w:r>
        <w:r w:rsidR="00AC0E30">
          <w:rPr>
            <w:noProof/>
            <w:webHidden/>
          </w:rPr>
        </w:r>
        <w:r w:rsidR="00AC0E30">
          <w:rPr>
            <w:noProof/>
            <w:webHidden/>
          </w:rPr>
          <w:fldChar w:fldCharType="separate"/>
        </w:r>
        <w:r w:rsidR="00AC0E30">
          <w:rPr>
            <w:noProof/>
            <w:webHidden/>
          </w:rPr>
          <w:t>5</w:t>
        </w:r>
        <w:r w:rsidR="00AC0E30">
          <w:rPr>
            <w:noProof/>
            <w:webHidden/>
          </w:rPr>
          <w:fldChar w:fldCharType="end"/>
        </w:r>
      </w:hyperlink>
    </w:p>
    <w:p w14:paraId="65C317EB" w14:textId="3534D032"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38" w:history="1">
        <w:r w:rsidR="00AC0E30" w:rsidRPr="00E41258">
          <w:rPr>
            <w:rStyle w:val="Hyperlink"/>
            <w:noProof/>
          </w:rPr>
          <w:t>Build your argument</w:t>
        </w:r>
        <w:r w:rsidR="00AC0E30">
          <w:rPr>
            <w:noProof/>
            <w:webHidden/>
          </w:rPr>
          <w:tab/>
        </w:r>
        <w:r w:rsidR="00AC0E30">
          <w:rPr>
            <w:noProof/>
            <w:webHidden/>
          </w:rPr>
          <w:fldChar w:fldCharType="begin"/>
        </w:r>
        <w:r w:rsidR="00AC0E30">
          <w:rPr>
            <w:noProof/>
            <w:webHidden/>
          </w:rPr>
          <w:instrText xml:space="preserve"> PAGEREF _Toc118967138 \h </w:instrText>
        </w:r>
        <w:r w:rsidR="00AC0E30">
          <w:rPr>
            <w:noProof/>
            <w:webHidden/>
          </w:rPr>
        </w:r>
        <w:r w:rsidR="00AC0E30">
          <w:rPr>
            <w:noProof/>
            <w:webHidden/>
          </w:rPr>
          <w:fldChar w:fldCharType="separate"/>
        </w:r>
        <w:r w:rsidR="00AC0E30">
          <w:rPr>
            <w:noProof/>
            <w:webHidden/>
          </w:rPr>
          <w:t>7</w:t>
        </w:r>
        <w:r w:rsidR="00AC0E30">
          <w:rPr>
            <w:noProof/>
            <w:webHidden/>
          </w:rPr>
          <w:fldChar w:fldCharType="end"/>
        </w:r>
      </w:hyperlink>
    </w:p>
    <w:p w14:paraId="08796C83" w14:textId="4D54F4A6"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39" w:history="1">
        <w:r w:rsidR="00AC0E30" w:rsidRPr="00E41258">
          <w:rPr>
            <w:rStyle w:val="Hyperlink"/>
            <w:noProof/>
            <w:lang w:val="en-US"/>
          </w:rPr>
          <w:t>Toulmin argument model scaffold</w:t>
        </w:r>
        <w:r w:rsidR="00AC0E30">
          <w:rPr>
            <w:noProof/>
            <w:webHidden/>
          </w:rPr>
          <w:tab/>
        </w:r>
        <w:r w:rsidR="00AC0E30">
          <w:rPr>
            <w:noProof/>
            <w:webHidden/>
          </w:rPr>
          <w:fldChar w:fldCharType="begin"/>
        </w:r>
        <w:r w:rsidR="00AC0E30">
          <w:rPr>
            <w:noProof/>
            <w:webHidden/>
          </w:rPr>
          <w:instrText xml:space="preserve"> PAGEREF _Toc118967139 \h </w:instrText>
        </w:r>
        <w:r w:rsidR="00AC0E30">
          <w:rPr>
            <w:noProof/>
            <w:webHidden/>
          </w:rPr>
        </w:r>
        <w:r w:rsidR="00AC0E30">
          <w:rPr>
            <w:noProof/>
            <w:webHidden/>
          </w:rPr>
          <w:fldChar w:fldCharType="separate"/>
        </w:r>
        <w:r w:rsidR="00AC0E30">
          <w:rPr>
            <w:noProof/>
            <w:webHidden/>
          </w:rPr>
          <w:t>8</w:t>
        </w:r>
        <w:r w:rsidR="00AC0E30">
          <w:rPr>
            <w:noProof/>
            <w:webHidden/>
          </w:rPr>
          <w:fldChar w:fldCharType="end"/>
        </w:r>
      </w:hyperlink>
    </w:p>
    <w:p w14:paraId="3544A4C6" w14:textId="7C3A3F40"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0" w:history="1">
        <w:r w:rsidR="00AC0E30" w:rsidRPr="00E41258">
          <w:rPr>
            <w:rStyle w:val="Hyperlink"/>
            <w:noProof/>
          </w:rPr>
          <w:t>Refine your argument</w:t>
        </w:r>
        <w:r w:rsidR="00AC0E30">
          <w:rPr>
            <w:noProof/>
            <w:webHidden/>
          </w:rPr>
          <w:tab/>
        </w:r>
        <w:r w:rsidR="00AC0E30">
          <w:rPr>
            <w:noProof/>
            <w:webHidden/>
          </w:rPr>
          <w:fldChar w:fldCharType="begin"/>
        </w:r>
        <w:r w:rsidR="00AC0E30">
          <w:rPr>
            <w:noProof/>
            <w:webHidden/>
          </w:rPr>
          <w:instrText xml:space="preserve"> PAGEREF _Toc118967140 \h </w:instrText>
        </w:r>
        <w:r w:rsidR="00AC0E30">
          <w:rPr>
            <w:noProof/>
            <w:webHidden/>
          </w:rPr>
        </w:r>
        <w:r w:rsidR="00AC0E30">
          <w:rPr>
            <w:noProof/>
            <w:webHidden/>
          </w:rPr>
          <w:fldChar w:fldCharType="separate"/>
        </w:r>
        <w:r w:rsidR="00AC0E30">
          <w:rPr>
            <w:noProof/>
            <w:webHidden/>
          </w:rPr>
          <w:t>9</w:t>
        </w:r>
        <w:r w:rsidR="00AC0E30">
          <w:rPr>
            <w:noProof/>
            <w:webHidden/>
          </w:rPr>
          <w:fldChar w:fldCharType="end"/>
        </w:r>
      </w:hyperlink>
    </w:p>
    <w:p w14:paraId="257208D6" w14:textId="6CA5140D" w:rsidR="00AC0E30" w:rsidRDefault="00000000">
      <w:pPr>
        <w:pStyle w:val="TOC2"/>
        <w:rPr>
          <w:rFonts w:asciiTheme="minorHAnsi" w:eastAsiaTheme="minorEastAsia" w:hAnsiTheme="minorHAnsi" w:cstheme="minorBidi"/>
          <w:sz w:val="22"/>
          <w:szCs w:val="22"/>
          <w:lang w:eastAsia="en-AU"/>
        </w:rPr>
      </w:pPr>
      <w:hyperlink w:anchor="_Toc118967141" w:history="1">
        <w:r w:rsidR="00AC0E30" w:rsidRPr="00E41258">
          <w:rPr>
            <w:rStyle w:val="Hyperlink"/>
          </w:rPr>
          <w:t>Options for marking</w:t>
        </w:r>
        <w:r w:rsidR="00AC0E30">
          <w:rPr>
            <w:webHidden/>
          </w:rPr>
          <w:tab/>
        </w:r>
        <w:r w:rsidR="00AC0E30">
          <w:rPr>
            <w:webHidden/>
          </w:rPr>
          <w:fldChar w:fldCharType="begin"/>
        </w:r>
        <w:r w:rsidR="00AC0E30">
          <w:rPr>
            <w:webHidden/>
          </w:rPr>
          <w:instrText xml:space="preserve"> PAGEREF _Toc118967141 \h </w:instrText>
        </w:r>
        <w:r w:rsidR="00AC0E30">
          <w:rPr>
            <w:webHidden/>
          </w:rPr>
        </w:r>
        <w:r w:rsidR="00AC0E30">
          <w:rPr>
            <w:webHidden/>
          </w:rPr>
          <w:fldChar w:fldCharType="separate"/>
        </w:r>
        <w:r w:rsidR="00AC0E30">
          <w:rPr>
            <w:webHidden/>
          </w:rPr>
          <w:t>11</w:t>
        </w:r>
        <w:r w:rsidR="00AC0E30">
          <w:rPr>
            <w:webHidden/>
          </w:rPr>
          <w:fldChar w:fldCharType="end"/>
        </w:r>
      </w:hyperlink>
    </w:p>
    <w:p w14:paraId="22C9C978" w14:textId="16D0DD1D"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2" w:history="1">
        <w:r w:rsidR="00AC0E30" w:rsidRPr="00E41258">
          <w:rPr>
            <w:rStyle w:val="Hyperlink"/>
            <w:noProof/>
          </w:rPr>
          <w:t>Marking guidelines</w:t>
        </w:r>
        <w:r w:rsidR="00AC0E30">
          <w:rPr>
            <w:noProof/>
            <w:webHidden/>
          </w:rPr>
          <w:tab/>
        </w:r>
        <w:r w:rsidR="00AC0E30">
          <w:rPr>
            <w:noProof/>
            <w:webHidden/>
          </w:rPr>
          <w:fldChar w:fldCharType="begin"/>
        </w:r>
        <w:r w:rsidR="00AC0E30">
          <w:rPr>
            <w:noProof/>
            <w:webHidden/>
          </w:rPr>
          <w:instrText xml:space="preserve"> PAGEREF _Toc118967142 \h </w:instrText>
        </w:r>
        <w:r w:rsidR="00AC0E30">
          <w:rPr>
            <w:noProof/>
            <w:webHidden/>
          </w:rPr>
        </w:r>
        <w:r w:rsidR="00AC0E30">
          <w:rPr>
            <w:noProof/>
            <w:webHidden/>
          </w:rPr>
          <w:fldChar w:fldCharType="separate"/>
        </w:r>
        <w:r w:rsidR="00AC0E30">
          <w:rPr>
            <w:noProof/>
            <w:webHidden/>
          </w:rPr>
          <w:t>11</w:t>
        </w:r>
        <w:r w:rsidR="00AC0E30">
          <w:rPr>
            <w:noProof/>
            <w:webHidden/>
          </w:rPr>
          <w:fldChar w:fldCharType="end"/>
        </w:r>
      </w:hyperlink>
    </w:p>
    <w:p w14:paraId="3242BE43" w14:textId="169FCB18"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3" w:history="1">
        <w:r w:rsidR="00AC0E30" w:rsidRPr="00E41258">
          <w:rPr>
            <w:rStyle w:val="Hyperlink"/>
            <w:noProof/>
          </w:rPr>
          <w:t>Grade descriptors</w:t>
        </w:r>
        <w:r w:rsidR="00AC0E30">
          <w:rPr>
            <w:noProof/>
            <w:webHidden/>
          </w:rPr>
          <w:tab/>
        </w:r>
        <w:r w:rsidR="00AC0E30">
          <w:rPr>
            <w:noProof/>
            <w:webHidden/>
          </w:rPr>
          <w:fldChar w:fldCharType="begin"/>
        </w:r>
        <w:r w:rsidR="00AC0E30">
          <w:rPr>
            <w:noProof/>
            <w:webHidden/>
          </w:rPr>
          <w:instrText xml:space="preserve"> PAGEREF _Toc118967143 \h </w:instrText>
        </w:r>
        <w:r w:rsidR="00AC0E30">
          <w:rPr>
            <w:noProof/>
            <w:webHidden/>
          </w:rPr>
        </w:r>
        <w:r w:rsidR="00AC0E30">
          <w:rPr>
            <w:noProof/>
            <w:webHidden/>
          </w:rPr>
          <w:fldChar w:fldCharType="separate"/>
        </w:r>
        <w:r w:rsidR="00AC0E30">
          <w:rPr>
            <w:noProof/>
            <w:webHidden/>
          </w:rPr>
          <w:t>13</w:t>
        </w:r>
        <w:r w:rsidR="00AC0E30">
          <w:rPr>
            <w:noProof/>
            <w:webHidden/>
          </w:rPr>
          <w:fldChar w:fldCharType="end"/>
        </w:r>
      </w:hyperlink>
    </w:p>
    <w:p w14:paraId="4589D69F" w14:textId="4364D073"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4" w:history="1">
        <w:r w:rsidR="00AC0E30" w:rsidRPr="00E41258">
          <w:rPr>
            <w:rStyle w:val="Hyperlink"/>
            <w:noProof/>
          </w:rPr>
          <w:t>Rubric – Toulmin argument model</w:t>
        </w:r>
        <w:r w:rsidR="00AC0E30">
          <w:rPr>
            <w:noProof/>
            <w:webHidden/>
          </w:rPr>
          <w:tab/>
        </w:r>
        <w:r w:rsidR="00AC0E30">
          <w:rPr>
            <w:noProof/>
            <w:webHidden/>
          </w:rPr>
          <w:fldChar w:fldCharType="begin"/>
        </w:r>
        <w:r w:rsidR="00AC0E30">
          <w:rPr>
            <w:noProof/>
            <w:webHidden/>
          </w:rPr>
          <w:instrText xml:space="preserve"> PAGEREF _Toc118967144 \h </w:instrText>
        </w:r>
        <w:r w:rsidR="00AC0E30">
          <w:rPr>
            <w:noProof/>
            <w:webHidden/>
          </w:rPr>
        </w:r>
        <w:r w:rsidR="00AC0E30">
          <w:rPr>
            <w:noProof/>
            <w:webHidden/>
          </w:rPr>
          <w:fldChar w:fldCharType="separate"/>
        </w:r>
        <w:r w:rsidR="00AC0E30">
          <w:rPr>
            <w:noProof/>
            <w:webHidden/>
          </w:rPr>
          <w:t>15</w:t>
        </w:r>
        <w:r w:rsidR="00AC0E30">
          <w:rPr>
            <w:noProof/>
            <w:webHidden/>
          </w:rPr>
          <w:fldChar w:fldCharType="end"/>
        </w:r>
      </w:hyperlink>
    </w:p>
    <w:p w14:paraId="53FB7A23" w14:textId="74FC999F" w:rsidR="00AC0E30" w:rsidRDefault="00000000">
      <w:pPr>
        <w:pStyle w:val="TOC2"/>
        <w:rPr>
          <w:rFonts w:asciiTheme="minorHAnsi" w:eastAsiaTheme="minorEastAsia" w:hAnsiTheme="minorHAnsi" w:cstheme="minorBidi"/>
          <w:sz w:val="22"/>
          <w:szCs w:val="22"/>
          <w:lang w:eastAsia="en-AU"/>
        </w:rPr>
      </w:pPr>
      <w:hyperlink w:anchor="_Toc118967145" w:history="1">
        <w:r w:rsidR="00AC0E30" w:rsidRPr="00E41258">
          <w:rPr>
            <w:rStyle w:val="Hyperlink"/>
          </w:rPr>
          <w:t>Additional information</w:t>
        </w:r>
        <w:r w:rsidR="00AC0E30">
          <w:rPr>
            <w:webHidden/>
          </w:rPr>
          <w:tab/>
        </w:r>
        <w:r w:rsidR="00AC0E30">
          <w:rPr>
            <w:webHidden/>
          </w:rPr>
          <w:fldChar w:fldCharType="begin"/>
        </w:r>
        <w:r w:rsidR="00AC0E30">
          <w:rPr>
            <w:webHidden/>
          </w:rPr>
          <w:instrText xml:space="preserve"> PAGEREF _Toc118967145 \h </w:instrText>
        </w:r>
        <w:r w:rsidR="00AC0E30">
          <w:rPr>
            <w:webHidden/>
          </w:rPr>
        </w:r>
        <w:r w:rsidR="00AC0E30">
          <w:rPr>
            <w:webHidden/>
          </w:rPr>
          <w:fldChar w:fldCharType="separate"/>
        </w:r>
        <w:r w:rsidR="00AC0E30">
          <w:rPr>
            <w:webHidden/>
          </w:rPr>
          <w:t>18</w:t>
        </w:r>
        <w:r w:rsidR="00AC0E30">
          <w:rPr>
            <w:webHidden/>
          </w:rPr>
          <w:fldChar w:fldCharType="end"/>
        </w:r>
      </w:hyperlink>
    </w:p>
    <w:p w14:paraId="71896B86" w14:textId="4DE06E73"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6" w:history="1">
        <w:r w:rsidR="00AC0E30" w:rsidRPr="00E41258">
          <w:rPr>
            <w:rStyle w:val="Hyperlink"/>
            <w:noProof/>
          </w:rPr>
          <w:t>Rationale</w:t>
        </w:r>
        <w:r w:rsidR="00AC0E30">
          <w:rPr>
            <w:noProof/>
            <w:webHidden/>
          </w:rPr>
          <w:tab/>
        </w:r>
        <w:r w:rsidR="00AC0E30">
          <w:rPr>
            <w:noProof/>
            <w:webHidden/>
          </w:rPr>
          <w:fldChar w:fldCharType="begin"/>
        </w:r>
        <w:r w:rsidR="00AC0E30">
          <w:rPr>
            <w:noProof/>
            <w:webHidden/>
          </w:rPr>
          <w:instrText xml:space="preserve"> PAGEREF _Toc118967146 \h </w:instrText>
        </w:r>
        <w:r w:rsidR="00AC0E30">
          <w:rPr>
            <w:noProof/>
            <w:webHidden/>
          </w:rPr>
        </w:r>
        <w:r w:rsidR="00AC0E30">
          <w:rPr>
            <w:noProof/>
            <w:webHidden/>
          </w:rPr>
          <w:fldChar w:fldCharType="separate"/>
        </w:r>
        <w:r w:rsidR="00AC0E30">
          <w:rPr>
            <w:noProof/>
            <w:webHidden/>
          </w:rPr>
          <w:t>18</w:t>
        </w:r>
        <w:r w:rsidR="00AC0E30">
          <w:rPr>
            <w:noProof/>
            <w:webHidden/>
          </w:rPr>
          <w:fldChar w:fldCharType="end"/>
        </w:r>
      </w:hyperlink>
    </w:p>
    <w:p w14:paraId="3FEEF994" w14:textId="1B4990CC"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7" w:history="1">
        <w:r w:rsidR="00AC0E30" w:rsidRPr="00E41258">
          <w:rPr>
            <w:rStyle w:val="Hyperlink"/>
            <w:noProof/>
          </w:rPr>
          <w:t>Aim</w:t>
        </w:r>
        <w:r w:rsidR="00AC0E30">
          <w:rPr>
            <w:noProof/>
            <w:webHidden/>
          </w:rPr>
          <w:tab/>
        </w:r>
        <w:r w:rsidR="00AC0E30">
          <w:rPr>
            <w:noProof/>
            <w:webHidden/>
          </w:rPr>
          <w:fldChar w:fldCharType="begin"/>
        </w:r>
        <w:r w:rsidR="00AC0E30">
          <w:rPr>
            <w:noProof/>
            <w:webHidden/>
          </w:rPr>
          <w:instrText xml:space="preserve"> PAGEREF _Toc118967147 \h </w:instrText>
        </w:r>
        <w:r w:rsidR="00AC0E30">
          <w:rPr>
            <w:noProof/>
            <w:webHidden/>
          </w:rPr>
        </w:r>
        <w:r w:rsidR="00AC0E30">
          <w:rPr>
            <w:noProof/>
            <w:webHidden/>
          </w:rPr>
          <w:fldChar w:fldCharType="separate"/>
        </w:r>
        <w:r w:rsidR="00AC0E30">
          <w:rPr>
            <w:noProof/>
            <w:webHidden/>
          </w:rPr>
          <w:t>19</w:t>
        </w:r>
        <w:r w:rsidR="00AC0E30">
          <w:rPr>
            <w:noProof/>
            <w:webHidden/>
          </w:rPr>
          <w:fldChar w:fldCharType="end"/>
        </w:r>
      </w:hyperlink>
    </w:p>
    <w:p w14:paraId="4DE96D05" w14:textId="0CB1433E"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8" w:history="1">
        <w:r w:rsidR="00AC0E30" w:rsidRPr="00E41258">
          <w:rPr>
            <w:rStyle w:val="Hyperlink"/>
            <w:noProof/>
          </w:rPr>
          <w:t>Purpose and audience</w:t>
        </w:r>
        <w:r w:rsidR="00AC0E30">
          <w:rPr>
            <w:noProof/>
            <w:webHidden/>
          </w:rPr>
          <w:tab/>
        </w:r>
        <w:r w:rsidR="00AC0E30">
          <w:rPr>
            <w:noProof/>
            <w:webHidden/>
          </w:rPr>
          <w:fldChar w:fldCharType="begin"/>
        </w:r>
        <w:r w:rsidR="00AC0E30">
          <w:rPr>
            <w:noProof/>
            <w:webHidden/>
          </w:rPr>
          <w:instrText xml:space="preserve"> PAGEREF _Toc118967148 \h </w:instrText>
        </w:r>
        <w:r w:rsidR="00AC0E30">
          <w:rPr>
            <w:noProof/>
            <w:webHidden/>
          </w:rPr>
        </w:r>
        <w:r w:rsidR="00AC0E30">
          <w:rPr>
            <w:noProof/>
            <w:webHidden/>
          </w:rPr>
          <w:fldChar w:fldCharType="separate"/>
        </w:r>
        <w:r w:rsidR="00AC0E30">
          <w:rPr>
            <w:noProof/>
            <w:webHidden/>
          </w:rPr>
          <w:t>19</w:t>
        </w:r>
        <w:r w:rsidR="00AC0E30">
          <w:rPr>
            <w:noProof/>
            <w:webHidden/>
          </w:rPr>
          <w:fldChar w:fldCharType="end"/>
        </w:r>
      </w:hyperlink>
    </w:p>
    <w:p w14:paraId="0F0832E2" w14:textId="25BCA5A9"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49" w:history="1">
        <w:r w:rsidR="00AC0E30" w:rsidRPr="00E41258">
          <w:rPr>
            <w:rStyle w:val="Hyperlink"/>
            <w:noProof/>
          </w:rPr>
          <w:t>When and how to use this document</w:t>
        </w:r>
        <w:r w:rsidR="00AC0E30">
          <w:rPr>
            <w:noProof/>
            <w:webHidden/>
          </w:rPr>
          <w:tab/>
        </w:r>
        <w:r w:rsidR="00AC0E30">
          <w:rPr>
            <w:noProof/>
            <w:webHidden/>
          </w:rPr>
          <w:fldChar w:fldCharType="begin"/>
        </w:r>
        <w:r w:rsidR="00AC0E30">
          <w:rPr>
            <w:noProof/>
            <w:webHidden/>
          </w:rPr>
          <w:instrText xml:space="preserve"> PAGEREF _Toc118967149 \h </w:instrText>
        </w:r>
        <w:r w:rsidR="00AC0E30">
          <w:rPr>
            <w:noProof/>
            <w:webHidden/>
          </w:rPr>
        </w:r>
        <w:r w:rsidR="00AC0E30">
          <w:rPr>
            <w:noProof/>
            <w:webHidden/>
          </w:rPr>
          <w:fldChar w:fldCharType="separate"/>
        </w:r>
        <w:r w:rsidR="00AC0E30">
          <w:rPr>
            <w:noProof/>
            <w:webHidden/>
          </w:rPr>
          <w:t>19</w:t>
        </w:r>
        <w:r w:rsidR="00AC0E30">
          <w:rPr>
            <w:noProof/>
            <w:webHidden/>
          </w:rPr>
          <w:fldChar w:fldCharType="end"/>
        </w:r>
      </w:hyperlink>
    </w:p>
    <w:p w14:paraId="4894C851" w14:textId="40F5ABC7"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50" w:history="1">
        <w:r w:rsidR="00AC0E30" w:rsidRPr="00E41258">
          <w:rPr>
            <w:rStyle w:val="Hyperlink"/>
            <w:noProof/>
          </w:rPr>
          <w:t>Assessment for learning</w:t>
        </w:r>
        <w:r w:rsidR="00AC0E30">
          <w:rPr>
            <w:noProof/>
            <w:webHidden/>
          </w:rPr>
          <w:tab/>
        </w:r>
        <w:r w:rsidR="00AC0E30">
          <w:rPr>
            <w:noProof/>
            <w:webHidden/>
          </w:rPr>
          <w:fldChar w:fldCharType="begin"/>
        </w:r>
        <w:r w:rsidR="00AC0E30">
          <w:rPr>
            <w:noProof/>
            <w:webHidden/>
          </w:rPr>
          <w:instrText xml:space="preserve"> PAGEREF _Toc118967150 \h </w:instrText>
        </w:r>
        <w:r w:rsidR="00AC0E30">
          <w:rPr>
            <w:noProof/>
            <w:webHidden/>
          </w:rPr>
        </w:r>
        <w:r w:rsidR="00AC0E30">
          <w:rPr>
            <w:noProof/>
            <w:webHidden/>
          </w:rPr>
          <w:fldChar w:fldCharType="separate"/>
        </w:r>
        <w:r w:rsidR="00AC0E30">
          <w:rPr>
            <w:noProof/>
            <w:webHidden/>
          </w:rPr>
          <w:t>19</w:t>
        </w:r>
        <w:r w:rsidR="00AC0E30">
          <w:rPr>
            <w:noProof/>
            <w:webHidden/>
          </w:rPr>
          <w:fldChar w:fldCharType="end"/>
        </w:r>
      </w:hyperlink>
    </w:p>
    <w:p w14:paraId="0ED59875" w14:textId="1A73F05E"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51" w:history="1">
        <w:r w:rsidR="00AC0E30" w:rsidRPr="00E41258">
          <w:rPr>
            <w:rStyle w:val="Hyperlink"/>
            <w:noProof/>
          </w:rPr>
          <w:t>Differentiation</w:t>
        </w:r>
        <w:r w:rsidR="00AC0E30">
          <w:rPr>
            <w:noProof/>
            <w:webHidden/>
          </w:rPr>
          <w:tab/>
        </w:r>
        <w:r w:rsidR="00AC0E30">
          <w:rPr>
            <w:noProof/>
            <w:webHidden/>
          </w:rPr>
          <w:fldChar w:fldCharType="begin"/>
        </w:r>
        <w:r w:rsidR="00AC0E30">
          <w:rPr>
            <w:noProof/>
            <w:webHidden/>
          </w:rPr>
          <w:instrText xml:space="preserve"> PAGEREF _Toc118967151 \h </w:instrText>
        </w:r>
        <w:r w:rsidR="00AC0E30">
          <w:rPr>
            <w:noProof/>
            <w:webHidden/>
          </w:rPr>
        </w:r>
        <w:r w:rsidR="00AC0E30">
          <w:rPr>
            <w:noProof/>
            <w:webHidden/>
          </w:rPr>
          <w:fldChar w:fldCharType="separate"/>
        </w:r>
        <w:r w:rsidR="00AC0E30">
          <w:rPr>
            <w:noProof/>
            <w:webHidden/>
          </w:rPr>
          <w:t>21</w:t>
        </w:r>
        <w:r w:rsidR="00AC0E30">
          <w:rPr>
            <w:noProof/>
            <w:webHidden/>
          </w:rPr>
          <w:fldChar w:fldCharType="end"/>
        </w:r>
      </w:hyperlink>
    </w:p>
    <w:p w14:paraId="3346697E" w14:textId="4C2D435F" w:rsidR="00AC0E30" w:rsidRDefault="00000000">
      <w:pPr>
        <w:pStyle w:val="TOC3"/>
        <w:tabs>
          <w:tab w:val="right" w:leader="dot" w:pos="9628"/>
        </w:tabs>
        <w:rPr>
          <w:rFonts w:asciiTheme="minorHAnsi" w:eastAsiaTheme="minorEastAsia" w:hAnsiTheme="minorHAnsi" w:cstheme="minorBidi"/>
          <w:noProof/>
          <w:sz w:val="22"/>
          <w:szCs w:val="22"/>
          <w:lang w:eastAsia="en-AU"/>
        </w:rPr>
      </w:pPr>
      <w:hyperlink w:anchor="_Toc118967152" w:history="1">
        <w:r w:rsidR="00AC0E30" w:rsidRPr="00E41258">
          <w:rPr>
            <w:rStyle w:val="Hyperlink"/>
            <w:noProof/>
          </w:rPr>
          <w:t>About this resource</w:t>
        </w:r>
        <w:r w:rsidR="00AC0E30">
          <w:rPr>
            <w:noProof/>
            <w:webHidden/>
          </w:rPr>
          <w:tab/>
        </w:r>
        <w:r w:rsidR="00AC0E30">
          <w:rPr>
            <w:noProof/>
            <w:webHidden/>
          </w:rPr>
          <w:fldChar w:fldCharType="begin"/>
        </w:r>
        <w:r w:rsidR="00AC0E30">
          <w:rPr>
            <w:noProof/>
            <w:webHidden/>
          </w:rPr>
          <w:instrText xml:space="preserve"> PAGEREF _Toc118967152 \h </w:instrText>
        </w:r>
        <w:r w:rsidR="00AC0E30">
          <w:rPr>
            <w:noProof/>
            <w:webHidden/>
          </w:rPr>
        </w:r>
        <w:r w:rsidR="00AC0E30">
          <w:rPr>
            <w:noProof/>
            <w:webHidden/>
          </w:rPr>
          <w:fldChar w:fldCharType="separate"/>
        </w:r>
        <w:r w:rsidR="00AC0E30">
          <w:rPr>
            <w:noProof/>
            <w:webHidden/>
          </w:rPr>
          <w:t>22</w:t>
        </w:r>
        <w:r w:rsidR="00AC0E30">
          <w:rPr>
            <w:noProof/>
            <w:webHidden/>
          </w:rPr>
          <w:fldChar w:fldCharType="end"/>
        </w:r>
      </w:hyperlink>
    </w:p>
    <w:p w14:paraId="2F49C7F6" w14:textId="3CBCB488" w:rsidR="00AC0E30" w:rsidRDefault="00000000">
      <w:pPr>
        <w:pStyle w:val="TOC2"/>
        <w:rPr>
          <w:rFonts w:asciiTheme="minorHAnsi" w:eastAsiaTheme="minorEastAsia" w:hAnsiTheme="minorHAnsi" w:cstheme="minorBidi"/>
          <w:sz w:val="22"/>
          <w:szCs w:val="22"/>
          <w:lang w:eastAsia="en-AU"/>
        </w:rPr>
      </w:pPr>
      <w:hyperlink w:anchor="_Toc118967153" w:history="1">
        <w:r w:rsidR="00AC0E30" w:rsidRPr="00E41258">
          <w:rPr>
            <w:rStyle w:val="Hyperlink"/>
          </w:rPr>
          <w:t>References</w:t>
        </w:r>
        <w:r w:rsidR="00AC0E30">
          <w:rPr>
            <w:webHidden/>
          </w:rPr>
          <w:tab/>
        </w:r>
        <w:r w:rsidR="00AC0E30">
          <w:rPr>
            <w:webHidden/>
          </w:rPr>
          <w:fldChar w:fldCharType="begin"/>
        </w:r>
        <w:r w:rsidR="00AC0E30">
          <w:rPr>
            <w:webHidden/>
          </w:rPr>
          <w:instrText xml:space="preserve"> PAGEREF _Toc118967153 \h </w:instrText>
        </w:r>
        <w:r w:rsidR="00AC0E30">
          <w:rPr>
            <w:webHidden/>
          </w:rPr>
        </w:r>
        <w:r w:rsidR="00AC0E30">
          <w:rPr>
            <w:webHidden/>
          </w:rPr>
          <w:fldChar w:fldCharType="separate"/>
        </w:r>
        <w:r w:rsidR="00AC0E30">
          <w:rPr>
            <w:webHidden/>
          </w:rPr>
          <w:t>25</w:t>
        </w:r>
        <w:r w:rsidR="00AC0E30">
          <w:rPr>
            <w:webHidden/>
          </w:rPr>
          <w:fldChar w:fldCharType="end"/>
        </w:r>
      </w:hyperlink>
    </w:p>
    <w:p w14:paraId="135415E9" w14:textId="3C890341" w:rsidR="002B3553" w:rsidRDefault="002B3553">
      <w:pPr>
        <w:spacing w:before="0" w:after="160" w:line="259" w:lineRule="auto"/>
      </w:pPr>
      <w:r>
        <w:fldChar w:fldCharType="end"/>
      </w:r>
      <w:r>
        <w:br w:type="page"/>
      </w:r>
    </w:p>
    <w:p w14:paraId="596235C2" w14:textId="78EB067F" w:rsidR="00BF2E98" w:rsidRPr="00BF2E98" w:rsidRDefault="00BF2E98" w:rsidP="00BF2E98">
      <w:pPr>
        <w:pStyle w:val="Heading2"/>
      </w:pPr>
      <w:bookmarkStart w:id="2" w:name="_Toc118967132"/>
      <w:r w:rsidRPr="00BF2E98">
        <w:lastRenderedPageBreak/>
        <w:t>Advice to teachers</w:t>
      </w:r>
      <w:bookmarkEnd w:id="2"/>
    </w:p>
    <w:p w14:paraId="76AD4FED" w14:textId="0CC5FF8F" w:rsidR="001E1A01" w:rsidRPr="004F06FE" w:rsidRDefault="00113764" w:rsidP="004F06FE">
      <w:pPr>
        <w:pStyle w:val="FeatureBox2"/>
      </w:pPr>
      <w:r>
        <w:rPr>
          <w:rStyle w:val="Strong"/>
        </w:rPr>
        <w:t>Note</w:t>
      </w:r>
      <w:r w:rsidR="001E1A01" w:rsidRPr="004F06FE">
        <w:rPr>
          <w:rStyle w:val="Strong"/>
        </w:rPr>
        <w:t>:</w:t>
      </w:r>
      <w:r w:rsidR="001E1A01" w:rsidRPr="004F06FE">
        <w:t xml:space="preserve"> The assessment task is designed as a culmination of learning where students have examined the Toulmin argument model and used the model to assess arguments and build their own. Example ‘</w:t>
      </w:r>
      <w:r w:rsidR="00DB02CA">
        <w:t>W</w:t>
      </w:r>
      <w:r w:rsidR="00DB02CA" w:rsidRPr="004F06FE">
        <w:t xml:space="preserve">ould </w:t>
      </w:r>
      <w:r w:rsidR="001E1A01" w:rsidRPr="004F06FE">
        <w:t>you rather</w:t>
      </w:r>
      <w:r w:rsidR="00F55DE0">
        <w:t>’</w:t>
      </w:r>
      <w:r w:rsidR="001E1A01" w:rsidRPr="004F06FE">
        <w:t xml:space="preserve"> cards are provided. Alternatives may be sourced online or a class may develop their own set of cards to use. Teachers may use the first part of this task to prepare students for the assessment. Familiarity with the Toulmin argument model may be achieved by its early introduction and practis</w:t>
      </w:r>
      <w:r w:rsidR="00F55DE0">
        <w:t>ing</w:t>
      </w:r>
      <w:r w:rsidR="001E1A01" w:rsidRPr="004F06FE">
        <w:t xml:space="preserve"> sequencing and using the model.</w:t>
      </w:r>
    </w:p>
    <w:p w14:paraId="74A30F2E" w14:textId="77777777" w:rsidR="001E1A01" w:rsidRPr="004F06FE" w:rsidRDefault="001E1A01" w:rsidP="004F06FE">
      <w:pPr>
        <w:pStyle w:val="FeatureBox2"/>
      </w:pPr>
      <w:r w:rsidRPr="004F06FE">
        <w:t xml:space="preserve">Teachers can include their details of due date, </w:t>
      </w:r>
      <w:proofErr w:type="gramStart"/>
      <w:r w:rsidRPr="004F06FE">
        <w:t>weighting</w:t>
      </w:r>
      <w:proofErr w:type="gramEnd"/>
      <w:r w:rsidRPr="004F06FE">
        <w:t xml:space="preserve"> and submission guidelines as per their school practice.</w:t>
      </w:r>
    </w:p>
    <w:p w14:paraId="7D2081FE" w14:textId="1BEFE0F3" w:rsidR="00AE789E" w:rsidRDefault="002E292A" w:rsidP="006F6135">
      <w:pPr>
        <w:pStyle w:val="Heading3"/>
      </w:pPr>
      <w:bookmarkStart w:id="3" w:name="_Toc118967133"/>
      <w:r>
        <w:t>Outcomes</w:t>
      </w:r>
      <w:bookmarkEnd w:id="3"/>
    </w:p>
    <w:p w14:paraId="79752C67" w14:textId="69C48946" w:rsidR="00F55DE0" w:rsidRPr="00F55DE0" w:rsidRDefault="00F55DE0" w:rsidP="00F55DE0">
      <w:pPr>
        <w:rPr>
          <w:rStyle w:val="Strong"/>
          <w:b w:val="0"/>
        </w:rPr>
      </w:pPr>
      <w:r>
        <w:rPr>
          <w:rStyle w:val="Strong"/>
          <w:b w:val="0"/>
        </w:rPr>
        <w:t>A student:</w:t>
      </w:r>
    </w:p>
    <w:p w14:paraId="6327DB57" w14:textId="4AD8C7C8" w:rsidR="00AE789E" w:rsidRPr="003C10A9" w:rsidRDefault="00AE789E" w:rsidP="003C10A9">
      <w:pPr>
        <w:pStyle w:val="ListBullet"/>
      </w:pPr>
      <w:r w:rsidRPr="003C10A9">
        <w:rPr>
          <w:rStyle w:val="Strong"/>
        </w:rPr>
        <w:t>CT5-3</w:t>
      </w:r>
      <w:r w:rsidRPr="003C10A9">
        <w:t xml:space="preserve"> constructs and builds stronger arguments with evidence-based decision making by discerning fact from fiction</w:t>
      </w:r>
    </w:p>
    <w:p w14:paraId="080A977D" w14:textId="360D1F93" w:rsidR="004241A9" w:rsidRDefault="00AE789E" w:rsidP="003C10A9">
      <w:pPr>
        <w:pStyle w:val="ListBullet"/>
      </w:pPr>
      <w:r w:rsidRPr="003C10A9">
        <w:rPr>
          <w:rStyle w:val="Strong"/>
        </w:rPr>
        <w:t>CT5-5</w:t>
      </w:r>
      <w:r w:rsidRPr="003C10A9">
        <w:t xml:space="preserve"> communicates arguments logically in a range of modes.</w:t>
      </w:r>
    </w:p>
    <w:p w14:paraId="30811628" w14:textId="3B3A7751" w:rsidR="00432F52" w:rsidRPr="00432F52" w:rsidRDefault="00432F52" w:rsidP="00432F52">
      <w:pPr>
        <w:pStyle w:val="FeatureBox2"/>
      </w:pPr>
      <w:r w:rsidRPr="002A4181">
        <w:t xml:space="preserve">Outcomes referred to in this document are from the </w:t>
      </w:r>
      <w:hyperlink r:id="rId12" w:anchor="/asset2" w:history="1">
        <w:r w:rsidRPr="00747A3A">
          <w:rPr>
            <w:rStyle w:val="Hyperlink"/>
          </w:rPr>
          <w:t>Critical thinking Course Document</w:t>
        </w:r>
      </w:hyperlink>
      <w:r>
        <w:rPr>
          <w:color w:val="2E5395"/>
        </w:rPr>
        <w:t xml:space="preserve"> </w:t>
      </w:r>
      <w:r>
        <w:t>© 2021 NSW Department of Education for and on behalf of the Crown in the State of New South Wales.</w:t>
      </w:r>
    </w:p>
    <w:p w14:paraId="4D0044A1" w14:textId="4796157C" w:rsidR="00AE188C" w:rsidRPr="00AE188C" w:rsidRDefault="00AE188C" w:rsidP="00AE188C">
      <w:pPr>
        <w:rPr>
          <w:b/>
          <w:bCs/>
        </w:rPr>
      </w:pPr>
      <w:r w:rsidRPr="00AE188C">
        <w:rPr>
          <w:b/>
          <w:bCs/>
        </w:rPr>
        <w:t>Learning intention</w:t>
      </w:r>
    </w:p>
    <w:p w14:paraId="63C30A57" w14:textId="5084633D" w:rsidR="00AE188C" w:rsidRDefault="00AE188C" w:rsidP="00AE188C">
      <w:r>
        <w:t>Students are learning to develop, construct and present arguments with evidence and reasoning.</w:t>
      </w:r>
    </w:p>
    <w:p w14:paraId="3CD56D39" w14:textId="5D7E60A1" w:rsidR="00AE188C" w:rsidRPr="00AE188C" w:rsidRDefault="00AE188C" w:rsidP="00AE188C">
      <w:pPr>
        <w:rPr>
          <w:b/>
          <w:bCs/>
        </w:rPr>
      </w:pPr>
      <w:r w:rsidRPr="00AE188C">
        <w:rPr>
          <w:b/>
          <w:bCs/>
        </w:rPr>
        <w:t>Success criteria</w:t>
      </w:r>
    </w:p>
    <w:p w14:paraId="486CDA20" w14:textId="77777777" w:rsidR="00AE188C" w:rsidRDefault="00AE188C" w:rsidP="00AE188C">
      <w:r>
        <w:t>Students can:</w:t>
      </w:r>
    </w:p>
    <w:p w14:paraId="12F8D1D9" w14:textId="01634AC5" w:rsidR="00AE188C" w:rsidRDefault="00AE188C" w:rsidP="00AE188C">
      <w:pPr>
        <w:pStyle w:val="ListBullet"/>
        <w:numPr>
          <w:ilvl w:val="0"/>
          <w:numId w:val="2"/>
        </w:numPr>
      </w:pPr>
      <w:r>
        <w:t>consider both sides of an argument</w:t>
      </w:r>
    </w:p>
    <w:p w14:paraId="7EBEFF17" w14:textId="4ACDA65F" w:rsidR="00AE188C" w:rsidRPr="00D43897" w:rsidRDefault="00AE188C" w:rsidP="00D43897">
      <w:pPr>
        <w:pStyle w:val="ListBullet"/>
        <w:numPr>
          <w:ilvl w:val="0"/>
          <w:numId w:val="2"/>
        </w:numPr>
      </w:pPr>
      <w:r>
        <w:t>use the Toulmin model to construct an argument</w:t>
      </w:r>
      <w:r w:rsidR="00D43897">
        <w:br w:type="page"/>
      </w:r>
    </w:p>
    <w:p w14:paraId="4F9B8BE7" w14:textId="78CAFE03" w:rsidR="00011706" w:rsidRDefault="00011706" w:rsidP="00D43897">
      <w:pPr>
        <w:pStyle w:val="FeatureBox"/>
      </w:pPr>
      <w:r w:rsidRPr="00011706">
        <w:rPr>
          <w:rStyle w:val="Strong"/>
        </w:rPr>
        <w:lastRenderedPageBreak/>
        <w:t>Type of task:</w:t>
      </w:r>
      <w:r>
        <w:t xml:space="preserve"> Presentation</w:t>
      </w:r>
    </w:p>
    <w:p w14:paraId="5D9B2BFD" w14:textId="2450526E" w:rsidR="00C778F1" w:rsidRDefault="00011706" w:rsidP="00D43897">
      <w:pPr>
        <w:pStyle w:val="FeatureBox"/>
      </w:pPr>
      <w:r w:rsidRPr="00011706">
        <w:rPr>
          <w:rStyle w:val="Strong"/>
        </w:rPr>
        <w:t>Focus question:</w:t>
      </w:r>
      <w:r>
        <w:t xml:space="preserve"> How can we build stronger arguments?</w:t>
      </w:r>
    </w:p>
    <w:p w14:paraId="7EF1DFA9" w14:textId="77777777" w:rsidR="00C778F1" w:rsidRDefault="00C778F1" w:rsidP="006F6135">
      <w:pPr>
        <w:pStyle w:val="Heading3"/>
      </w:pPr>
      <w:bookmarkStart w:id="4" w:name="_Toc118967134"/>
      <w:r>
        <w:t>Task instructions</w:t>
      </w:r>
      <w:bookmarkEnd w:id="4"/>
    </w:p>
    <w:p w14:paraId="201E64C3" w14:textId="6510BCAE" w:rsidR="00C778F1" w:rsidRDefault="00C778F1" w:rsidP="00C778F1">
      <w:r>
        <w:t xml:space="preserve">In this task you will assess and construct arguments. You will select one ‘Would you rather’ scenario card from the class deck of cards to suit your interests. This card will be used for the duration of the assessment task. Use the Toulmin argument model </w:t>
      </w:r>
      <w:r w:rsidR="00F604CA">
        <w:t xml:space="preserve">scaffold </w:t>
      </w:r>
      <w:r>
        <w:t>to explore and build a strong argument for the selected card.</w:t>
      </w:r>
    </w:p>
    <w:p w14:paraId="490C44D0" w14:textId="77777777" w:rsidR="00C778F1" w:rsidRDefault="00C778F1" w:rsidP="006F6135">
      <w:pPr>
        <w:pStyle w:val="Heading3"/>
      </w:pPr>
      <w:bookmarkStart w:id="5" w:name="_Toc118967135"/>
      <w:r>
        <w:t>Task steps</w:t>
      </w:r>
      <w:bookmarkEnd w:id="5"/>
    </w:p>
    <w:p w14:paraId="76B8AD56" w14:textId="1E7FA164" w:rsidR="00C778F1" w:rsidRDefault="00C778F1" w:rsidP="00C778F1">
      <w:pPr>
        <w:pStyle w:val="ListNumber"/>
      </w:pPr>
      <w:r>
        <w:t>Choose a range of ‘Would you rather’ cards that relate to your interests.</w:t>
      </w:r>
    </w:p>
    <w:p w14:paraId="25DEAAEA" w14:textId="3349C6BF" w:rsidR="00C778F1" w:rsidRDefault="00C778F1" w:rsidP="00C778F1">
      <w:pPr>
        <w:pStyle w:val="ListNumber"/>
      </w:pPr>
      <w:r>
        <w:t>Choose your best 2 or 3 cards and practi</w:t>
      </w:r>
      <w:r w:rsidR="00F55DE0">
        <w:t>s</w:t>
      </w:r>
      <w:r>
        <w:t>e on a whiteboard in the classroom.</w:t>
      </w:r>
    </w:p>
    <w:p w14:paraId="6A4F916C" w14:textId="0273E828" w:rsidR="00C778F1" w:rsidRDefault="00C778F1" w:rsidP="00C778F1">
      <w:pPr>
        <w:pStyle w:val="ListNumber"/>
      </w:pPr>
      <w:r>
        <w:t>Consider which card you could use to make a strong argument and communicate with a peer your reasons for selecting this card.</w:t>
      </w:r>
    </w:p>
    <w:p w14:paraId="098AC1D7" w14:textId="6C9B5A55" w:rsidR="00C778F1" w:rsidRDefault="00C778F1" w:rsidP="00C778F1">
      <w:pPr>
        <w:pStyle w:val="ListNumber"/>
      </w:pPr>
      <w:r>
        <w:t>Observe the Toulmin argument model examples in class and use the graphic organiser to construct an argument.</w:t>
      </w:r>
    </w:p>
    <w:p w14:paraId="2B3B1446" w14:textId="602074A3" w:rsidR="00C778F1" w:rsidRDefault="00C778F1" w:rsidP="00C778F1">
      <w:pPr>
        <w:pStyle w:val="ListNumber"/>
      </w:pPr>
      <w:r>
        <w:t>Research your argument in more detail to obtain stronger evidence.</w:t>
      </w:r>
    </w:p>
    <w:p w14:paraId="148579A1" w14:textId="58278162" w:rsidR="00C778F1" w:rsidRDefault="00C778F1" w:rsidP="00C778F1">
      <w:pPr>
        <w:pStyle w:val="ListNumber"/>
      </w:pPr>
      <w:r>
        <w:t>Select your presentation method and discuss your idea with your teacher.</w:t>
      </w:r>
    </w:p>
    <w:p w14:paraId="38187BAA" w14:textId="77777777" w:rsidR="00C778F1" w:rsidRDefault="00C778F1" w:rsidP="00C778F1">
      <w:pPr>
        <w:pStyle w:val="ListNumber"/>
      </w:pPr>
      <w:r>
        <w:t>Use the graphic organiser to assist you in creating your presentation.</w:t>
      </w:r>
    </w:p>
    <w:p w14:paraId="74243BB4" w14:textId="77777777" w:rsidR="00C778F1" w:rsidRDefault="00C778F1" w:rsidP="00C778F1">
      <w:pPr>
        <w:pStyle w:val="ListNumber"/>
        <w:numPr>
          <w:ilvl w:val="0"/>
          <w:numId w:val="0"/>
        </w:numPr>
      </w:pPr>
      <w:r>
        <w:br w:type="page"/>
      </w:r>
    </w:p>
    <w:p w14:paraId="266A5DFA" w14:textId="20DB693E" w:rsidR="00AF4A3E" w:rsidRPr="004F06FE" w:rsidRDefault="00AF4A3E" w:rsidP="009F5EA0">
      <w:pPr>
        <w:pStyle w:val="Heading2"/>
        <w:spacing w:after="0" w:line="240" w:lineRule="auto"/>
      </w:pPr>
      <w:bookmarkStart w:id="6" w:name="_Toc118967136"/>
      <w:r w:rsidRPr="004F06FE">
        <w:lastRenderedPageBreak/>
        <w:t>‘Would you rather’</w:t>
      </w:r>
      <w:bookmarkEnd w:id="6"/>
    </w:p>
    <w:p w14:paraId="5BE00DC1" w14:textId="40082781" w:rsidR="00AF4A3E" w:rsidRDefault="00504DBE" w:rsidP="00AF4A3E">
      <w:pPr>
        <w:pStyle w:val="FeatureBox2"/>
      </w:pPr>
      <w:r>
        <w:rPr>
          <w:rStyle w:val="Strong"/>
        </w:rPr>
        <w:t>Note</w:t>
      </w:r>
      <w:r w:rsidR="00AF4A3E" w:rsidRPr="00AF4A3E">
        <w:rPr>
          <w:rStyle w:val="Strong"/>
        </w:rPr>
        <w:t>:</w:t>
      </w:r>
      <w:r w:rsidR="00AF4A3E" w:rsidRPr="00AF4A3E">
        <w:t xml:space="preserve"> Below are some ‘</w:t>
      </w:r>
      <w:r w:rsidR="00DB02CA">
        <w:t>W</w:t>
      </w:r>
      <w:r w:rsidR="00DB02CA" w:rsidRPr="00AF4A3E">
        <w:t xml:space="preserve">ould </w:t>
      </w:r>
      <w:r w:rsidR="00AF4A3E" w:rsidRPr="00AF4A3E">
        <w:t>you rather’ cards that could be used as a prompt for a student’s argument or used as exemplars for students to develop their own cards. Visuals can be used to support student understanding.</w:t>
      </w:r>
    </w:p>
    <w:p w14:paraId="249BC82F" w14:textId="04A85752" w:rsidR="008422A7" w:rsidRDefault="008422A7" w:rsidP="008422A7">
      <w:pPr>
        <w:pStyle w:val="Caption"/>
      </w:pPr>
      <w:r>
        <w:t xml:space="preserve">Table </w:t>
      </w:r>
      <w:fldSimple w:instr=" SEQ Table \* ARABIC ">
        <w:r w:rsidR="002C3D4F">
          <w:rPr>
            <w:noProof/>
          </w:rPr>
          <w:t>1</w:t>
        </w:r>
      </w:fldSimple>
      <w:r>
        <w:t xml:space="preserve"> </w:t>
      </w:r>
      <w:r w:rsidR="00060438">
        <w:t>–</w:t>
      </w:r>
      <w:r>
        <w:t xml:space="preserve"> Example 'Would you rather' cards</w:t>
      </w:r>
    </w:p>
    <w:tbl>
      <w:tblPr>
        <w:tblStyle w:val="Tableheader"/>
        <w:tblW w:w="5000" w:type="pct"/>
        <w:tblLayout w:type="fixed"/>
        <w:tblLook w:val="0420" w:firstRow="1" w:lastRow="0" w:firstColumn="0" w:lastColumn="0" w:noHBand="0" w:noVBand="1"/>
        <w:tblDescription w:val="Table listing examples of options to choose between."/>
      </w:tblPr>
      <w:tblGrid>
        <w:gridCol w:w="4814"/>
        <w:gridCol w:w="4814"/>
      </w:tblGrid>
      <w:tr w:rsidR="008422A7" w14:paraId="332FDADC" w14:textId="77777777" w:rsidTr="00D760AE">
        <w:trPr>
          <w:cnfStyle w:val="100000000000" w:firstRow="1" w:lastRow="0" w:firstColumn="0" w:lastColumn="0" w:oddVBand="0" w:evenVBand="0" w:oddHBand="0" w:evenHBand="0" w:firstRowFirstColumn="0" w:firstRowLastColumn="0" w:lastRowFirstColumn="0" w:lastRowLastColumn="0"/>
        </w:trPr>
        <w:tc>
          <w:tcPr>
            <w:tcW w:w="2500" w:type="pct"/>
          </w:tcPr>
          <w:p w14:paraId="348789AB" w14:textId="43E02551" w:rsidR="008422A7" w:rsidRDefault="008422A7" w:rsidP="008422A7">
            <w:r w:rsidRPr="00575726">
              <w:rPr>
                <w:szCs w:val="22"/>
              </w:rPr>
              <w:t>Examples</w:t>
            </w:r>
          </w:p>
        </w:tc>
        <w:tc>
          <w:tcPr>
            <w:tcW w:w="2500" w:type="pct"/>
          </w:tcPr>
          <w:p w14:paraId="4EB93B96" w14:textId="0904711E" w:rsidR="008422A7" w:rsidRDefault="008422A7" w:rsidP="008422A7">
            <w:r w:rsidRPr="00575726">
              <w:rPr>
                <w:szCs w:val="22"/>
              </w:rPr>
              <w:t>Examples</w:t>
            </w:r>
          </w:p>
        </w:tc>
      </w:tr>
      <w:tr w:rsidR="008422A7" w14:paraId="2D5FD3EE" w14:textId="77777777" w:rsidTr="00924318">
        <w:trPr>
          <w:cnfStyle w:val="000000100000" w:firstRow="0" w:lastRow="0" w:firstColumn="0" w:lastColumn="0" w:oddVBand="0" w:evenVBand="0" w:oddHBand="1" w:evenHBand="0" w:firstRowFirstColumn="0" w:firstRowLastColumn="0" w:lastRowFirstColumn="0" w:lastRowLastColumn="0"/>
          <w:trHeight w:val="1806"/>
        </w:trPr>
        <w:tc>
          <w:tcPr>
            <w:tcW w:w="2500" w:type="pct"/>
          </w:tcPr>
          <w:p w14:paraId="4DEBFCF1" w14:textId="0A743377" w:rsidR="008422A7" w:rsidRDefault="008422A7" w:rsidP="008422A7">
            <w:r w:rsidRPr="00575726">
              <w:rPr>
                <w:szCs w:val="22"/>
              </w:rPr>
              <w:t>Would you rather have Latrell Mitchell or James Tedesco in your football team?</w:t>
            </w:r>
          </w:p>
        </w:tc>
        <w:tc>
          <w:tcPr>
            <w:tcW w:w="2500" w:type="pct"/>
          </w:tcPr>
          <w:p w14:paraId="71538D47" w14:textId="75BA1E85" w:rsidR="008422A7" w:rsidRDefault="008422A7" w:rsidP="008422A7">
            <w:r w:rsidRPr="00575726">
              <w:rPr>
                <w:szCs w:val="22"/>
              </w:rPr>
              <w:t xml:space="preserve">Would you rather listen to songs by </w:t>
            </w:r>
            <w:proofErr w:type="spellStart"/>
            <w:r w:rsidRPr="00575726">
              <w:rPr>
                <w:szCs w:val="22"/>
              </w:rPr>
              <w:t>Budjerah</w:t>
            </w:r>
            <w:proofErr w:type="spellEnd"/>
            <w:r w:rsidRPr="00575726">
              <w:rPr>
                <w:szCs w:val="22"/>
              </w:rPr>
              <w:t xml:space="preserve"> or Matt Co</w:t>
            </w:r>
            <w:r w:rsidR="00924318">
              <w:rPr>
                <w:szCs w:val="22"/>
              </w:rPr>
              <w:t>r</w:t>
            </w:r>
            <w:r w:rsidRPr="00575726">
              <w:rPr>
                <w:szCs w:val="22"/>
              </w:rPr>
              <w:t>by?</w:t>
            </w:r>
          </w:p>
        </w:tc>
      </w:tr>
      <w:tr w:rsidR="008422A7" w14:paraId="055BAFD5" w14:textId="77777777" w:rsidTr="00D760AE">
        <w:trPr>
          <w:cnfStyle w:val="000000010000" w:firstRow="0" w:lastRow="0" w:firstColumn="0" w:lastColumn="0" w:oddVBand="0" w:evenVBand="0" w:oddHBand="0" w:evenHBand="1" w:firstRowFirstColumn="0" w:firstRowLastColumn="0" w:lastRowFirstColumn="0" w:lastRowLastColumn="0"/>
        </w:trPr>
        <w:tc>
          <w:tcPr>
            <w:tcW w:w="2500" w:type="pct"/>
          </w:tcPr>
          <w:p w14:paraId="0BAFA83D" w14:textId="41048413" w:rsidR="008422A7" w:rsidRPr="00924318" w:rsidRDefault="00924318" w:rsidP="00924318">
            <w:r w:rsidRPr="00924318">
              <w:t>Would you rather keep speed zones or remove them?</w:t>
            </w:r>
          </w:p>
          <w:p w14:paraId="5052241B" w14:textId="5F54AAA0" w:rsidR="008422A7" w:rsidRPr="00924318" w:rsidRDefault="002828FE" w:rsidP="00924318">
            <w:pPr>
              <w:pStyle w:val="CommentText"/>
              <w:rPr>
                <w:sz w:val="22"/>
                <w:szCs w:val="22"/>
              </w:rPr>
            </w:pPr>
            <w:r>
              <w:rPr>
                <w:noProof/>
                <w:sz w:val="22"/>
                <w:szCs w:val="22"/>
              </w:rPr>
              <w:drawing>
                <wp:inline distT="0" distB="0" distL="0" distR="0" wp14:anchorId="786C4A3E" wp14:editId="0C9A2C5E">
                  <wp:extent cx="2914650" cy="1638300"/>
                  <wp:effectExtent l="0" t="0" r="0" b="0"/>
                  <wp:docPr id="15" name="Picture 15" descr="30km speed limit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30km speed limit sig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1638300"/>
                          </a:xfrm>
                          <a:prstGeom prst="rect">
                            <a:avLst/>
                          </a:prstGeom>
                          <a:noFill/>
                          <a:ln>
                            <a:noFill/>
                          </a:ln>
                        </pic:spPr>
                      </pic:pic>
                    </a:graphicData>
                  </a:graphic>
                </wp:inline>
              </w:drawing>
            </w:r>
          </w:p>
        </w:tc>
        <w:tc>
          <w:tcPr>
            <w:tcW w:w="2500" w:type="pct"/>
          </w:tcPr>
          <w:p w14:paraId="0B934FD7" w14:textId="4182ADE1" w:rsidR="008422A7" w:rsidRPr="00924318" w:rsidRDefault="00924318" w:rsidP="00924318">
            <w:r w:rsidRPr="00924318">
              <w:t>Would you rather have a driverless car or drive yourself?</w:t>
            </w:r>
          </w:p>
          <w:p w14:paraId="7A40070E" w14:textId="04506764" w:rsidR="008422A7" w:rsidRPr="00924318" w:rsidRDefault="002828FE" w:rsidP="00924318">
            <w:pPr>
              <w:pStyle w:val="CommentText"/>
              <w:rPr>
                <w:sz w:val="22"/>
                <w:szCs w:val="22"/>
              </w:rPr>
            </w:pPr>
            <w:r>
              <w:rPr>
                <w:noProof/>
                <w:sz w:val="22"/>
                <w:szCs w:val="22"/>
              </w:rPr>
              <w:drawing>
                <wp:inline distT="0" distB="0" distL="0" distR="0" wp14:anchorId="64FB31BF" wp14:editId="77DE1DD0">
                  <wp:extent cx="2769722" cy="1638300"/>
                  <wp:effectExtent l="0" t="0" r="0" b="0"/>
                  <wp:docPr id="16" name="Picture 16" descr="Person driving a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erson driving a ca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8760" cy="1643646"/>
                          </a:xfrm>
                          <a:prstGeom prst="rect">
                            <a:avLst/>
                          </a:prstGeom>
                          <a:noFill/>
                          <a:ln>
                            <a:noFill/>
                          </a:ln>
                        </pic:spPr>
                      </pic:pic>
                    </a:graphicData>
                  </a:graphic>
                </wp:inline>
              </w:drawing>
            </w:r>
          </w:p>
        </w:tc>
      </w:tr>
      <w:tr w:rsidR="008422A7" w14:paraId="547DEA29" w14:textId="77777777" w:rsidTr="00D760AE">
        <w:trPr>
          <w:cnfStyle w:val="000000100000" w:firstRow="0" w:lastRow="0" w:firstColumn="0" w:lastColumn="0" w:oddVBand="0" w:evenVBand="0" w:oddHBand="1" w:evenHBand="0" w:firstRowFirstColumn="0" w:firstRowLastColumn="0" w:lastRowFirstColumn="0" w:lastRowLastColumn="0"/>
        </w:trPr>
        <w:tc>
          <w:tcPr>
            <w:tcW w:w="2500" w:type="pct"/>
          </w:tcPr>
          <w:p w14:paraId="1F202F8E" w14:textId="51EF1D4C" w:rsidR="008422A7" w:rsidRPr="00575726" w:rsidRDefault="00924318" w:rsidP="006A2BD2">
            <w:pPr>
              <w:rPr>
                <w:szCs w:val="22"/>
              </w:rPr>
            </w:pPr>
            <w:r w:rsidRPr="00575726">
              <w:rPr>
                <w:szCs w:val="22"/>
              </w:rPr>
              <w:t>Would you rather have a common world currency or keep it as individual currencies?</w:t>
            </w:r>
          </w:p>
          <w:p w14:paraId="297528B7" w14:textId="6A0D095F" w:rsidR="008422A7" w:rsidRPr="00924318" w:rsidRDefault="00C72FBE" w:rsidP="008422A7">
            <w:pPr>
              <w:rPr>
                <w:szCs w:val="22"/>
              </w:rPr>
            </w:pPr>
            <w:r>
              <w:rPr>
                <w:noProof/>
                <w:szCs w:val="22"/>
              </w:rPr>
              <w:drawing>
                <wp:inline distT="0" distB="0" distL="0" distR="0" wp14:anchorId="71C8CDD1" wp14:editId="2D88CB20">
                  <wp:extent cx="2743200" cy="1828800"/>
                  <wp:effectExtent l="0" t="0" r="0" b="0"/>
                  <wp:docPr id="1" name="Picture 1" descr="A pile of coins in different curr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le of coins in different currienc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p>
        </w:tc>
        <w:tc>
          <w:tcPr>
            <w:tcW w:w="2500" w:type="pct"/>
          </w:tcPr>
          <w:p w14:paraId="3BE85769" w14:textId="194DB7F9" w:rsidR="008422A7" w:rsidRPr="00575726" w:rsidRDefault="00924318" w:rsidP="00924318">
            <w:pPr>
              <w:spacing w:after="480"/>
              <w:rPr>
                <w:szCs w:val="22"/>
              </w:rPr>
            </w:pPr>
            <w:r w:rsidRPr="00575726">
              <w:rPr>
                <w:szCs w:val="22"/>
              </w:rPr>
              <w:t xml:space="preserve">Would you rather have an electric car or a </w:t>
            </w:r>
            <w:proofErr w:type="spellStart"/>
            <w:r w:rsidRPr="00575726">
              <w:rPr>
                <w:szCs w:val="22"/>
              </w:rPr>
              <w:t>petrol</w:t>
            </w:r>
            <w:proofErr w:type="spellEnd"/>
            <w:r w:rsidRPr="00575726">
              <w:rPr>
                <w:szCs w:val="22"/>
              </w:rPr>
              <w:t xml:space="preserve"> car?</w:t>
            </w:r>
          </w:p>
          <w:p w14:paraId="0EA7C003" w14:textId="384BE60F" w:rsidR="008422A7" w:rsidRPr="00924318" w:rsidRDefault="00C72FBE" w:rsidP="00924318">
            <w:pPr>
              <w:spacing w:after="720"/>
              <w:rPr>
                <w:szCs w:val="22"/>
              </w:rPr>
            </w:pPr>
            <w:r>
              <w:rPr>
                <w:noProof/>
                <w:szCs w:val="22"/>
              </w:rPr>
              <w:drawing>
                <wp:inline distT="0" distB="0" distL="0" distR="0" wp14:anchorId="1A1B0CD8" wp14:editId="38FBF8F6">
                  <wp:extent cx="2742357" cy="1819275"/>
                  <wp:effectExtent l="0" t="0" r="1270" b="0"/>
                  <wp:docPr id="7" name="Picture 7" descr="An electric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 electric c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4421" cy="1833913"/>
                          </a:xfrm>
                          <a:prstGeom prst="rect">
                            <a:avLst/>
                          </a:prstGeom>
                          <a:noFill/>
                          <a:ln>
                            <a:noFill/>
                          </a:ln>
                        </pic:spPr>
                      </pic:pic>
                    </a:graphicData>
                  </a:graphic>
                </wp:inline>
              </w:drawing>
            </w:r>
          </w:p>
        </w:tc>
      </w:tr>
      <w:tr w:rsidR="008422A7" w14:paraId="4C960E3D" w14:textId="77777777" w:rsidTr="00D760AE">
        <w:trPr>
          <w:cnfStyle w:val="000000010000" w:firstRow="0" w:lastRow="0" w:firstColumn="0" w:lastColumn="0" w:oddVBand="0" w:evenVBand="0" w:oddHBand="0" w:evenHBand="1" w:firstRowFirstColumn="0" w:firstRowLastColumn="0" w:lastRowFirstColumn="0" w:lastRowLastColumn="0"/>
        </w:trPr>
        <w:tc>
          <w:tcPr>
            <w:tcW w:w="2500" w:type="pct"/>
          </w:tcPr>
          <w:p w14:paraId="2BEED2DB" w14:textId="77777777" w:rsidR="008422A7" w:rsidRDefault="008422A7" w:rsidP="00924318">
            <w:pPr>
              <w:spacing w:after="480"/>
              <w:rPr>
                <w:szCs w:val="22"/>
              </w:rPr>
            </w:pPr>
            <w:r w:rsidRPr="00575726">
              <w:rPr>
                <w:szCs w:val="22"/>
              </w:rPr>
              <w:lastRenderedPageBreak/>
              <w:t>Would you rather have schooling by age or by ability?</w:t>
            </w:r>
          </w:p>
          <w:p w14:paraId="7D8D1423" w14:textId="30816904" w:rsidR="008422A7" w:rsidRDefault="00BE0A30" w:rsidP="008422A7">
            <w:r>
              <w:rPr>
                <w:noProof/>
              </w:rPr>
              <w:drawing>
                <wp:inline distT="0" distB="0" distL="0" distR="0" wp14:anchorId="6FA694B1" wp14:editId="06C462DE">
                  <wp:extent cx="2552700" cy="1910354"/>
                  <wp:effectExtent l="0" t="0" r="0" b="0"/>
                  <wp:docPr id="18" name="Picture 18" descr="An empty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n empty classroo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56155" cy="1912939"/>
                          </a:xfrm>
                          <a:prstGeom prst="rect">
                            <a:avLst/>
                          </a:prstGeom>
                          <a:noFill/>
                          <a:ln>
                            <a:noFill/>
                          </a:ln>
                        </pic:spPr>
                      </pic:pic>
                    </a:graphicData>
                  </a:graphic>
                </wp:inline>
              </w:drawing>
            </w:r>
          </w:p>
        </w:tc>
        <w:tc>
          <w:tcPr>
            <w:tcW w:w="2500" w:type="pct"/>
          </w:tcPr>
          <w:p w14:paraId="785E554A" w14:textId="7292FD1D" w:rsidR="008422A7" w:rsidRPr="00575726" w:rsidRDefault="00924318" w:rsidP="006A2BD2">
            <w:pPr>
              <w:rPr>
                <w:szCs w:val="22"/>
              </w:rPr>
            </w:pPr>
            <w:r w:rsidRPr="00575726">
              <w:rPr>
                <w:szCs w:val="22"/>
              </w:rPr>
              <w:t xml:space="preserve">Would you rather spend money and time </w:t>
            </w:r>
            <w:r>
              <w:rPr>
                <w:szCs w:val="22"/>
              </w:rPr>
              <w:t>on</w:t>
            </w:r>
            <w:r w:rsidRPr="00575726">
              <w:rPr>
                <w:szCs w:val="22"/>
              </w:rPr>
              <w:t xml:space="preserve"> space research or keep it focussed on earth?</w:t>
            </w:r>
          </w:p>
          <w:p w14:paraId="284A7C7A" w14:textId="6BA9878F" w:rsidR="008422A7" w:rsidRPr="00924318" w:rsidRDefault="00C72FBE" w:rsidP="008422A7">
            <w:pPr>
              <w:rPr>
                <w:szCs w:val="22"/>
              </w:rPr>
            </w:pPr>
            <w:r>
              <w:rPr>
                <w:noProof/>
                <w:szCs w:val="22"/>
              </w:rPr>
              <w:drawing>
                <wp:inline distT="0" distB="0" distL="0" distR="0" wp14:anchorId="7AB6CF86" wp14:editId="3D44CCB5">
                  <wp:extent cx="2857217" cy="1895475"/>
                  <wp:effectExtent l="0" t="0" r="635" b="0"/>
                  <wp:docPr id="9" name="Picture 9" descr="A satellite in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atellite in spa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6531" cy="1908288"/>
                          </a:xfrm>
                          <a:prstGeom prst="rect">
                            <a:avLst/>
                          </a:prstGeom>
                          <a:noFill/>
                          <a:ln>
                            <a:noFill/>
                          </a:ln>
                        </pic:spPr>
                      </pic:pic>
                    </a:graphicData>
                  </a:graphic>
                </wp:inline>
              </w:drawing>
            </w:r>
          </w:p>
        </w:tc>
      </w:tr>
      <w:tr w:rsidR="008422A7" w14:paraId="23F9B406" w14:textId="77777777" w:rsidTr="00D760AE">
        <w:trPr>
          <w:cnfStyle w:val="000000100000" w:firstRow="0" w:lastRow="0" w:firstColumn="0" w:lastColumn="0" w:oddVBand="0" w:evenVBand="0" w:oddHBand="1" w:evenHBand="0" w:firstRowFirstColumn="0" w:firstRowLastColumn="0" w:lastRowFirstColumn="0" w:lastRowLastColumn="0"/>
        </w:trPr>
        <w:tc>
          <w:tcPr>
            <w:tcW w:w="2500" w:type="pct"/>
          </w:tcPr>
          <w:p w14:paraId="6339787B" w14:textId="77777777" w:rsidR="008422A7" w:rsidRDefault="008422A7" w:rsidP="008422A7">
            <w:pPr>
              <w:rPr>
                <w:szCs w:val="22"/>
              </w:rPr>
            </w:pPr>
            <w:r w:rsidRPr="00575726">
              <w:rPr>
                <w:szCs w:val="22"/>
              </w:rPr>
              <w:t>Would you rather grow crops for food or crops for fuel (ethanol)?</w:t>
            </w:r>
          </w:p>
          <w:p w14:paraId="33AD23A9" w14:textId="21563FD9" w:rsidR="008422A7" w:rsidRDefault="00BE0A30" w:rsidP="008422A7">
            <w:r>
              <w:rPr>
                <w:noProof/>
              </w:rPr>
              <w:drawing>
                <wp:inline distT="0" distB="0" distL="0" distR="0" wp14:anchorId="0C17203B" wp14:editId="1C125802">
                  <wp:extent cx="2914650" cy="1943100"/>
                  <wp:effectExtent l="0" t="0" r="0" b="0"/>
                  <wp:docPr id="17" name="Picture 17" descr="Corn 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orn crop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4650" cy="1943100"/>
                          </a:xfrm>
                          <a:prstGeom prst="rect">
                            <a:avLst/>
                          </a:prstGeom>
                          <a:noFill/>
                          <a:ln>
                            <a:noFill/>
                          </a:ln>
                        </pic:spPr>
                      </pic:pic>
                    </a:graphicData>
                  </a:graphic>
                </wp:inline>
              </w:drawing>
            </w:r>
          </w:p>
        </w:tc>
        <w:tc>
          <w:tcPr>
            <w:tcW w:w="2500" w:type="pct"/>
          </w:tcPr>
          <w:p w14:paraId="48CE98B8" w14:textId="3955714D" w:rsidR="008422A7" w:rsidRPr="00575726" w:rsidRDefault="00924318" w:rsidP="006A2BD2">
            <w:pPr>
              <w:rPr>
                <w:szCs w:val="22"/>
              </w:rPr>
            </w:pPr>
            <w:r w:rsidRPr="00575726">
              <w:rPr>
                <w:szCs w:val="22"/>
              </w:rPr>
              <w:t>Would you rather run junior contact sports by age or by weight?</w:t>
            </w:r>
          </w:p>
          <w:p w14:paraId="143DDAA5" w14:textId="5F1F563B" w:rsidR="008422A7" w:rsidRPr="00924318" w:rsidRDefault="00C72FBE" w:rsidP="008422A7">
            <w:pPr>
              <w:rPr>
                <w:szCs w:val="22"/>
              </w:rPr>
            </w:pPr>
            <w:r>
              <w:rPr>
                <w:noProof/>
                <w:szCs w:val="22"/>
              </w:rPr>
              <w:drawing>
                <wp:inline distT="0" distB="0" distL="0" distR="0" wp14:anchorId="51831BB6" wp14:editId="6DDE63A7">
                  <wp:extent cx="2929008" cy="1943100"/>
                  <wp:effectExtent l="0" t="0" r="5080" b="0"/>
                  <wp:docPr id="10" name="Picture 10" descr="Children playing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ildren playing footba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44447" cy="1953342"/>
                          </a:xfrm>
                          <a:prstGeom prst="rect">
                            <a:avLst/>
                          </a:prstGeom>
                          <a:noFill/>
                          <a:ln>
                            <a:noFill/>
                          </a:ln>
                        </pic:spPr>
                      </pic:pic>
                    </a:graphicData>
                  </a:graphic>
                </wp:inline>
              </w:drawing>
            </w:r>
          </w:p>
        </w:tc>
      </w:tr>
    </w:tbl>
    <w:p w14:paraId="291FA4A3" w14:textId="14E5ABC4" w:rsidR="00E817D8" w:rsidRPr="00E817D8" w:rsidRDefault="00E817D8" w:rsidP="00E817D8">
      <w:pPr>
        <w:rPr>
          <w:sz w:val="22"/>
          <w:szCs w:val="22"/>
        </w:rPr>
      </w:pPr>
      <w:r w:rsidRPr="00E817D8">
        <w:rPr>
          <w:sz w:val="22"/>
          <w:szCs w:val="22"/>
        </w:rPr>
        <w:t xml:space="preserve">All images are from </w:t>
      </w:r>
      <w:hyperlink r:id="rId21" w:history="1">
        <w:r w:rsidRPr="00E817D8">
          <w:rPr>
            <w:rStyle w:val="Hyperlink"/>
            <w:sz w:val="22"/>
            <w:szCs w:val="22"/>
          </w:rPr>
          <w:t>Pixabay</w:t>
        </w:r>
      </w:hyperlink>
      <w:r w:rsidRPr="00E817D8">
        <w:rPr>
          <w:sz w:val="22"/>
          <w:szCs w:val="22"/>
        </w:rPr>
        <w:t xml:space="preserve"> and licensed in accordance with the </w:t>
      </w:r>
      <w:hyperlink r:id="rId22" w:history="1">
        <w:r w:rsidRPr="00E817D8">
          <w:rPr>
            <w:rStyle w:val="Hyperlink"/>
            <w:sz w:val="22"/>
            <w:szCs w:val="22"/>
          </w:rPr>
          <w:t>Pixabay License</w:t>
        </w:r>
      </w:hyperlink>
      <w:r w:rsidRPr="00E817D8">
        <w:rPr>
          <w:sz w:val="22"/>
          <w:szCs w:val="22"/>
        </w:rPr>
        <w:t>.</w:t>
      </w:r>
    </w:p>
    <w:p w14:paraId="3B5676F4" w14:textId="5EA633D7" w:rsidR="003825CC" w:rsidRDefault="003825CC" w:rsidP="006F6135">
      <w:pPr>
        <w:pStyle w:val="Heading3"/>
      </w:pPr>
      <w:bookmarkStart w:id="7" w:name="_Toc118967137"/>
      <w:r>
        <w:t>Consider all options</w:t>
      </w:r>
      <w:bookmarkEnd w:id="7"/>
    </w:p>
    <w:p w14:paraId="7F1E49AD" w14:textId="36D575B1" w:rsidR="003825CC" w:rsidRDefault="00504DBE" w:rsidP="003825CC">
      <w:pPr>
        <w:pStyle w:val="FeatureBox2"/>
      </w:pPr>
      <w:r>
        <w:rPr>
          <w:rStyle w:val="Strong"/>
        </w:rPr>
        <w:t>Note</w:t>
      </w:r>
      <w:r w:rsidR="003825CC">
        <w:t xml:space="preserve">: Further resources can be found </w:t>
      </w:r>
      <w:r w:rsidR="002C52BB">
        <w:t xml:space="preserve">at </w:t>
      </w:r>
      <w:hyperlink r:id="rId23" w:history="1">
        <w:r w:rsidR="003825CC" w:rsidRPr="0075398C">
          <w:rPr>
            <w:rStyle w:val="Hyperlink"/>
          </w:rPr>
          <w:t>Toulmin Argument Model</w:t>
        </w:r>
      </w:hyperlink>
      <w:r w:rsidR="003825CC">
        <w:t xml:space="preserve"> (</w:t>
      </w:r>
      <w:r w:rsidR="00D43897">
        <w:t>Nesbitt 2022</w:t>
      </w:r>
      <w:r w:rsidR="003825CC">
        <w:t>) to provide exemplars and further explanation of the different components in the model. Students may benefit from familiarising themselves with the model by practising to sequence its components.</w:t>
      </w:r>
    </w:p>
    <w:p w14:paraId="47FD6649" w14:textId="31238FBE" w:rsidR="003825CC" w:rsidRDefault="003825CC" w:rsidP="003825CC">
      <w:r>
        <w:t>Choose a ‘</w:t>
      </w:r>
      <w:r w:rsidR="00DB02CA">
        <w:t xml:space="preserve">Would </w:t>
      </w:r>
      <w:r>
        <w:t>you rather’ statement of your choice from the class deck of cards.</w:t>
      </w:r>
    </w:p>
    <w:p w14:paraId="61B9D534" w14:textId="580D47E6" w:rsidR="0072655F" w:rsidRDefault="003825CC" w:rsidP="003825CC">
      <w:r>
        <w:lastRenderedPageBreak/>
        <w:t xml:space="preserve">Consider the </w:t>
      </w:r>
      <w:r w:rsidR="00A566B2">
        <w:t>2</w:t>
      </w:r>
      <w:r>
        <w:t xml:space="preserve"> options available. Show your thinking and assessment of each option available below.</w:t>
      </w:r>
    </w:p>
    <w:p w14:paraId="108C1534" w14:textId="554DF4E5" w:rsidR="007E00B1" w:rsidRPr="007E00B1" w:rsidRDefault="007E00B1" w:rsidP="00AE6734">
      <w:pPr>
        <w:pStyle w:val="FeatureBox2"/>
      </w:pPr>
      <w:r w:rsidRPr="00AE6734">
        <w:rPr>
          <w:b/>
          <w:bCs/>
        </w:rPr>
        <w:t>Example</w:t>
      </w:r>
      <w:r w:rsidRPr="007E00B1">
        <w:t>: Would you rather have a common world currency or keep it as individual currencies?</w:t>
      </w:r>
    </w:p>
    <w:p w14:paraId="09BDFE3C" w14:textId="733FE10A" w:rsidR="007E00B1" w:rsidRDefault="007E00B1" w:rsidP="007E00B1">
      <w:pPr>
        <w:pStyle w:val="Caption"/>
      </w:pPr>
      <w:r>
        <w:t xml:space="preserve">Table </w:t>
      </w:r>
      <w:fldSimple w:instr=" SEQ Table \* ARABIC ">
        <w:r w:rsidR="002C3D4F">
          <w:rPr>
            <w:noProof/>
          </w:rPr>
          <w:t>2</w:t>
        </w:r>
      </w:fldSimple>
      <w:r>
        <w:t xml:space="preserve"> – </w:t>
      </w:r>
      <w:r w:rsidR="00D43897">
        <w:t>Assessment of currency options. Indicate the supporting reasons for both options.</w:t>
      </w:r>
    </w:p>
    <w:tbl>
      <w:tblPr>
        <w:tblStyle w:val="Tableheader"/>
        <w:tblW w:w="0" w:type="auto"/>
        <w:tblLook w:val="0420" w:firstRow="1" w:lastRow="0" w:firstColumn="0" w:lastColumn="0" w:noHBand="0" w:noVBand="1"/>
        <w:tblDescription w:val="Students outline their thinking and assessment of the two choices they have been presented with."/>
      </w:tblPr>
      <w:tblGrid>
        <w:gridCol w:w="4814"/>
        <w:gridCol w:w="4814"/>
      </w:tblGrid>
      <w:tr w:rsidR="007E00B1" w14:paraId="425A83CC" w14:textId="77777777" w:rsidTr="00231C2F">
        <w:trPr>
          <w:cnfStyle w:val="100000000000" w:firstRow="1" w:lastRow="0" w:firstColumn="0" w:lastColumn="0" w:oddVBand="0" w:evenVBand="0" w:oddHBand="0" w:evenHBand="0" w:firstRowFirstColumn="0" w:firstRowLastColumn="0" w:lastRowFirstColumn="0" w:lastRowLastColumn="0"/>
        </w:trPr>
        <w:tc>
          <w:tcPr>
            <w:tcW w:w="4814" w:type="dxa"/>
          </w:tcPr>
          <w:p w14:paraId="58CEE789" w14:textId="0EA68E2E" w:rsidR="007E00B1" w:rsidRDefault="00AF5766" w:rsidP="00231C2F">
            <w:r>
              <w:t>Individual</w:t>
            </w:r>
            <w:r w:rsidR="007E00B1">
              <w:t xml:space="preserve"> currenc</w:t>
            </w:r>
            <w:r>
              <w:t>ies</w:t>
            </w:r>
          </w:p>
        </w:tc>
        <w:tc>
          <w:tcPr>
            <w:tcW w:w="4814" w:type="dxa"/>
          </w:tcPr>
          <w:p w14:paraId="14956543" w14:textId="77777777" w:rsidR="007E00B1" w:rsidRDefault="007E00B1" w:rsidP="00231C2F">
            <w:r>
              <w:t>World currency</w:t>
            </w:r>
          </w:p>
        </w:tc>
      </w:tr>
      <w:tr w:rsidR="007E00B1" w14:paraId="063F6676" w14:textId="77777777" w:rsidTr="005635EC">
        <w:trPr>
          <w:cnfStyle w:val="000000100000" w:firstRow="0" w:lastRow="0" w:firstColumn="0" w:lastColumn="0" w:oddVBand="0" w:evenVBand="0" w:oddHBand="1" w:evenHBand="0" w:firstRowFirstColumn="0" w:firstRowLastColumn="0" w:lastRowFirstColumn="0" w:lastRowLastColumn="0"/>
          <w:trHeight w:val="4923"/>
        </w:trPr>
        <w:tc>
          <w:tcPr>
            <w:tcW w:w="4814" w:type="dxa"/>
          </w:tcPr>
          <w:p w14:paraId="257EF563" w14:textId="77777777" w:rsidR="007E00B1" w:rsidRDefault="007E00B1" w:rsidP="00231C2F"/>
        </w:tc>
        <w:tc>
          <w:tcPr>
            <w:tcW w:w="4814" w:type="dxa"/>
          </w:tcPr>
          <w:p w14:paraId="1298AD5C" w14:textId="77777777" w:rsidR="007E00B1" w:rsidRDefault="007E00B1" w:rsidP="00231C2F"/>
        </w:tc>
      </w:tr>
    </w:tbl>
    <w:p w14:paraId="2BBE6E62" w14:textId="6EB4DCC9" w:rsidR="00922FC0" w:rsidRPr="00AF4A3E" w:rsidRDefault="00922FC0" w:rsidP="003825CC">
      <w:r w:rsidRPr="00AF4A3E">
        <w:br w:type="page"/>
      </w:r>
    </w:p>
    <w:p w14:paraId="21CBCB3B" w14:textId="77777777" w:rsidR="008D4133" w:rsidRDefault="008D4133" w:rsidP="006F6135">
      <w:pPr>
        <w:pStyle w:val="Heading3"/>
      </w:pPr>
      <w:bookmarkStart w:id="8" w:name="_Toc118967138"/>
      <w:bookmarkStart w:id="9" w:name="_Toc117252992"/>
      <w:bookmarkStart w:id="10" w:name="_Toc117253171"/>
      <w:r>
        <w:lastRenderedPageBreak/>
        <w:t>Build your argument</w:t>
      </w:r>
      <w:bookmarkEnd w:id="8"/>
    </w:p>
    <w:p w14:paraId="59ABDF81" w14:textId="38939D33" w:rsidR="008D4133" w:rsidRDefault="008D4133" w:rsidP="008D4133">
      <w:r>
        <w:t>Select an option from the ‘</w:t>
      </w:r>
      <w:r w:rsidR="00DB02CA">
        <w:t xml:space="preserve">Would </w:t>
      </w:r>
      <w:r>
        <w:t>you rather’ statement</w:t>
      </w:r>
      <w:r w:rsidR="00AE6734">
        <w:t xml:space="preserve"> –</w:t>
      </w:r>
      <w:r>
        <w:t xml:space="preserve"> this will be your claim. Use the Toulmin argument model to construct your argument. You must include:</w:t>
      </w:r>
    </w:p>
    <w:p w14:paraId="78510C1A" w14:textId="087589DF" w:rsidR="00C02DF9" w:rsidRPr="00F06883" w:rsidRDefault="00000000" w:rsidP="00C02DF9">
      <w:sdt>
        <w:sdtPr>
          <w:alias w:val="Mark complete"/>
          <w:tag w:val="Mark complete"/>
          <w:id w:val="-378705779"/>
          <w14:checkbox>
            <w14:checked w14:val="0"/>
            <w14:checkedState w14:val="0053" w14:font="Wingdings 2"/>
            <w14:uncheckedState w14:val="2610" w14:font="MS Gothic"/>
          </w14:checkbox>
        </w:sdtPr>
        <w:sdtContent>
          <w:r w:rsidR="00AB2E83">
            <w:rPr>
              <w:rFonts w:ascii="MS Gothic" w:eastAsia="MS Gothic" w:hAnsi="MS Gothic" w:hint="eastAsia"/>
            </w:rPr>
            <w:t>☐</w:t>
          </w:r>
        </w:sdtContent>
      </w:sdt>
      <w:r w:rsidR="00A51C73">
        <w:tab/>
      </w:r>
      <w:r w:rsidR="00C02DF9" w:rsidRPr="00F06883">
        <w:t>Claim</w:t>
      </w:r>
    </w:p>
    <w:p w14:paraId="584A3EE0" w14:textId="757A4B51" w:rsidR="00C02DF9" w:rsidRDefault="00000000" w:rsidP="00C02DF9">
      <w:sdt>
        <w:sdtPr>
          <w:alias w:val="Mark complete"/>
          <w:tag w:val="Mark complete"/>
          <w:id w:val="-632180494"/>
          <w14:checkbox>
            <w14:checked w14:val="0"/>
            <w14:checkedState w14:val="0053" w14:font="Wingdings 2"/>
            <w14:uncheckedState w14:val="2610" w14:font="MS Gothic"/>
          </w14:checkbox>
        </w:sdtPr>
        <w:sdtContent>
          <w:r w:rsidR="00403989">
            <w:rPr>
              <w:rFonts w:ascii="MS Gothic" w:eastAsia="MS Gothic" w:hAnsi="MS Gothic" w:hint="eastAsia"/>
            </w:rPr>
            <w:t>☐</w:t>
          </w:r>
        </w:sdtContent>
      </w:sdt>
      <w:r w:rsidR="00A51C73">
        <w:tab/>
      </w:r>
      <w:r w:rsidR="00C02DF9">
        <w:t>Grounds (</w:t>
      </w:r>
      <w:r w:rsidR="0050234B">
        <w:t xml:space="preserve">evidence </w:t>
      </w:r>
      <w:r w:rsidR="00C02DF9">
        <w:t>or data that supports the claim)</w:t>
      </w:r>
    </w:p>
    <w:p w14:paraId="5C58C94F" w14:textId="45CCBD41" w:rsidR="0050234B" w:rsidRPr="00F06883" w:rsidRDefault="00000000" w:rsidP="00C02DF9">
      <w:sdt>
        <w:sdtPr>
          <w:alias w:val="Mark complete"/>
          <w:tag w:val="Mark complete"/>
          <w:id w:val="-1160615949"/>
          <w14:checkbox>
            <w14:checked w14:val="0"/>
            <w14:checkedState w14:val="0053" w14:font="Wingdings 2"/>
            <w14:uncheckedState w14:val="2610" w14:font="MS Gothic"/>
          </w14:checkbox>
        </w:sdtPr>
        <w:sdtContent>
          <w:r w:rsidR="0050234B">
            <w:rPr>
              <w:rFonts w:ascii="MS Gothic" w:eastAsia="MS Gothic" w:hAnsi="MS Gothic" w:hint="eastAsia"/>
            </w:rPr>
            <w:t>☐</w:t>
          </w:r>
        </w:sdtContent>
      </w:sdt>
      <w:r w:rsidR="00A51C73">
        <w:tab/>
      </w:r>
      <w:r w:rsidR="0050234B" w:rsidRPr="0050234B">
        <w:t>Warrant (explains why the grounds/evidence/data supports the claim)</w:t>
      </w:r>
    </w:p>
    <w:p w14:paraId="434C17FF" w14:textId="3F25C1BB" w:rsidR="00C02DF9" w:rsidRDefault="00000000" w:rsidP="00C02DF9">
      <w:sdt>
        <w:sdtPr>
          <w:alias w:val="Mark complete"/>
          <w:tag w:val="Mark complete"/>
          <w:id w:val="-106422083"/>
          <w14:checkbox>
            <w14:checked w14:val="0"/>
            <w14:checkedState w14:val="0053" w14:font="Wingdings 2"/>
            <w14:uncheckedState w14:val="2610" w14:font="MS Gothic"/>
          </w14:checkbox>
        </w:sdtPr>
        <w:sdtContent>
          <w:r w:rsidR="00403989">
            <w:rPr>
              <w:rFonts w:ascii="MS Gothic" w:eastAsia="MS Gothic" w:hAnsi="MS Gothic" w:hint="eastAsia"/>
            </w:rPr>
            <w:t>☐</w:t>
          </w:r>
        </w:sdtContent>
      </w:sdt>
      <w:r w:rsidR="00A51C73">
        <w:tab/>
      </w:r>
      <w:r w:rsidR="00C02DF9" w:rsidRPr="00F06883">
        <w:t>Backing</w:t>
      </w:r>
      <w:r w:rsidR="00C02DF9">
        <w:t xml:space="preserve"> (further unpacking of evidence)</w:t>
      </w:r>
    </w:p>
    <w:p w14:paraId="62C14717" w14:textId="364E31EF" w:rsidR="0050234B" w:rsidRPr="00F06883" w:rsidRDefault="00000000" w:rsidP="00C02DF9">
      <w:sdt>
        <w:sdtPr>
          <w:alias w:val="Mark complete"/>
          <w:tag w:val="Mark complete"/>
          <w:id w:val="666065293"/>
          <w14:checkbox>
            <w14:checked w14:val="0"/>
            <w14:checkedState w14:val="0053" w14:font="Wingdings 2"/>
            <w14:uncheckedState w14:val="2610" w14:font="MS Gothic"/>
          </w14:checkbox>
        </w:sdtPr>
        <w:sdtContent>
          <w:r w:rsidR="0050234B">
            <w:rPr>
              <w:rFonts w:ascii="MS Gothic" w:eastAsia="MS Gothic" w:hAnsi="MS Gothic" w:hint="eastAsia"/>
            </w:rPr>
            <w:t>☐</w:t>
          </w:r>
        </w:sdtContent>
      </w:sdt>
      <w:r w:rsidR="00A51C73">
        <w:tab/>
      </w:r>
      <w:r w:rsidR="0050234B" w:rsidRPr="0050234B">
        <w:t>Qualifier (</w:t>
      </w:r>
      <w:r w:rsidR="0050234B">
        <w:t>a</w:t>
      </w:r>
      <w:r w:rsidR="0050234B" w:rsidRPr="0050234B">
        <w:t xml:space="preserve"> </w:t>
      </w:r>
      <w:r w:rsidR="0050234B" w:rsidRPr="0050234B">
        <w:rPr>
          <w:rStyle w:val="Strong"/>
        </w:rPr>
        <w:t>qualifier</w:t>
      </w:r>
      <w:r w:rsidR="0050234B" w:rsidRPr="0050234B">
        <w:t xml:space="preserve"> is a statement about how strong the claim is)</w:t>
      </w:r>
    </w:p>
    <w:p w14:paraId="3E7730F9" w14:textId="31C5DAD1" w:rsidR="00C02DF9" w:rsidRDefault="00000000" w:rsidP="00A566B2">
      <w:pPr>
        <w:shd w:val="clear" w:color="auto" w:fill="FFFFFF"/>
        <w:tabs>
          <w:tab w:val="left" w:pos="9781"/>
        </w:tabs>
        <w:ind w:left="709" w:right="566" w:hanging="709"/>
      </w:pPr>
      <w:sdt>
        <w:sdtPr>
          <w:alias w:val="Mark complete"/>
          <w:tag w:val="Mark complete"/>
          <w:id w:val="-3823593"/>
          <w14:checkbox>
            <w14:checked w14:val="0"/>
            <w14:checkedState w14:val="0053" w14:font="Wingdings 2"/>
            <w14:uncheckedState w14:val="2610" w14:font="MS Gothic"/>
          </w14:checkbox>
        </w:sdtPr>
        <w:sdtContent>
          <w:r w:rsidR="00403989">
            <w:rPr>
              <w:rFonts w:ascii="MS Gothic" w:eastAsia="MS Gothic" w:hAnsi="MS Gothic" w:hint="eastAsia"/>
            </w:rPr>
            <w:t>☐</w:t>
          </w:r>
        </w:sdtContent>
      </w:sdt>
      <w:r w:rsidR="001A4313">
        <w:tab/>
      </w:r>
      <w:r w:rsidR="00C02DF9" w:rsidRPr="00F06883">
        <w:t>Rebuttal</w:t>
      </w:r>
      <w:r w:rsidR="00C02DF9">
        <w:t xml:space="preserve"> (</w:t>
      </w:r>
      <w:r w:rsidR="0050234B">
        <w:t xml:space="preserve">this </w:t>
      </w:r>
      <w:r w:rsidR="00C02DF9">
        <w:t xml:space="preserve">includes an argument </w:t>
      </w:r>
      <w:r w:rsidR="00C02DF9" w:rsidRPr="00D22866">
        <w:rPr>
          <w:b/>
          <w:bCs/>
        </w:rPr>
        <w:t>against your claim</w:t>
      </w:r>
      <w:r w:rsidR="00C02DF9">
        <w:t xml:space="preserve">, or a </w:t>
      </w:r>
      <w:r w:rsidR="00C02DF9" w:rsidRPr="00D22866">
        <w:rPr>
          <w:b/>
          <w:bCs/>
        </w:rPr>
        <w:t>counter argument</w:t>
      </w:r>
      <w:r w:rsidR="00C02DF9" w:rsidRPr="00D22866">
        <w:t>:</w:t>
      </w:r>
      <w:r w:rsidR="00C02DF9">
        <w:t xml:space="preserve"> an argument to go against someone’s rebuttal to you)</w:t>
      </w:r>
    </w:p>
    <w:p w14:paraId="54FF5139" w14:textId="77777777" w:rsidR="00C02DF9" w:rsidRDefault="00C02DF9" w:rsidP="008D4133">
      <w:r>
        <w:br w:type="page"/>
      </w:r>
    </w:p>
    <w:p w14:paraId="216AC40A" w14:textId="18412A4B" w:rsidR="00D43897" w:rsidRDefault="008B479B" w:rsidP="00D43897">
      <w:pPr>
        <w:pStyle w:val="Heading3"/>
        <w:rPr>
          <w:lang w:val="en-US"/>
        </w:rPr>
      </w:pPr>
      <w:bookmarkStart w:id="11" w:name="_Toc118967139"/>
      <w:r w:rsidRPr="006666A2">
        <w:rPr>
          <w:lang w:val="en-US"/>
        </w:rPr>
        <w:lastRenderedPageBreak/>
        <w:t>Toulmi</w:t>
      </w:r>
      <w:r>
        <w:rPr>
          <w:lang w:val="en-US"/>
        </w:rPr>
        <w:t xml:space="preserve">n argument </w:t>
      </w:r>
      <w:r w:rsidRPr="006666A2">
        <w:rPr>
          <w:lang w:val="en-US"/>
        </w:rPr>
        <w:t>model scaffold</w:t>
      </w:r>
      <w:bookmarkEnd w:id="11"/>
    </w:p>
    <w:p w14:paraId="0D4F93AA" w14:textId="4399B7CE" w:rsidR="00D43897" w:rsidRDefault="00D43897" w:rsidP="00D43897">
      <w:pPr>
        <w:pStyle w:val="Caption"/>
      </w:pPr>
      <w:r>
        <w:t xml:space="preserve">Figure </w:t>
      </w:r>
      <w:fldSimple w:instr=" SEQ Figure \* ARABIC ">
        <w:r>
          <w:rPr>
            <w:noProof/>
          </w:rPr>
          <w:t>1</w:t>
        </w:r>
      </w:fldSimple>
      <w:r>
        <w:t xml:space="preserve"> – Toulmin argument model</w:t>
      </w:r>
      <w:r w:rsidR="00844635">
        <w:t xml:space="preserve"> scaffold</w:t>
      </w:r>
    </w:p>
    <w:p w14:paraId="5C9F6539" w14:textId="5B27D031" w:rsidR="00D43897" w:rsidRPr="00D43897" w:rsidRDefault="00D43897" w:rsidP="00D43897">
      <w:pPr>
        <w:rPr>
          <w:lang w:val="en-US"/>
        </w:rPr>
      </w:pPr>
      <w:r>
        <w:rPr>
          <w:noProof/>
          <w:lang w:val="en-US"/>
        </w:rPr>
        <w:drawing>
          <wp:inline distT="0" distB="0" distL="0" distR="0" wp14:anchorId="64633E7C" wp14:editId="5AB65E47">
            <wp:extent cx="6113461" cy="6092456"/>
            <wp:effectExtent l="0" t="0" r="1905" b="3810"/>
            <wp:docPr id="3" name="Picture 3" descr="A scaffolded diagram of Toulmin's model of argumentation. This shows how the claim is supported by the grounds. The next line down is space to fill how the qualifier measures the strength of the warrant. The final line is a place to fill how the argument is reinforced by backing and possible rebut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affolded diagram of Toulmin's model of argumentation. This shows how the claim is supported by the grounds. The next line down is space to fill how the qualifier measures the strength of the warrant. The final line is a place to fill how the argument is reinforced by backing and possible rebuttal."/>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6113780" cy="6092774"/>
                    </a:xfrm>
                    <a:prstGeom prst="rect">
                      <a:avLst/>
                    </a:prstGeom>
                    <a:noFill/>
                    <a:ln>
                      <a:noFill/>
                    </a:ln>
                    <a:extLst>
                      <a:ext uri="{53640926-AAD7-44D8-BBD7-CCE9431645EC}">
                        <a14:shadowObscured xmlns:a14="http://schemas.microsoft.com/office/drawing/2010/main"/>
                      </a:ext>
                    </a:extLst>
                  </pic:spPr>
                </pic:pic>
              </a:graphicData>
            </a:graphic>
          </wp:inline>
        </w:drawing>
      </w:r>
    </w:p>
    <w:p w14:paraId="47199166" w14:textId="214BC1C1" w:rsidR="008D4133" w:rsidRDefault="008D4133" w:rsidP="008D4133">
      <w:r>
        <w:br w:type="page"/>
      </w:r>
    </w:p>
    <w:p w14:paraId="5EDC3A6D" w14:textId="77777777" w:rsidR="00826949" w:rsidRDefault="00826949" w:rsidP="006F6135">
      <w:pPr>
        <w:pStyle w:val="Heading3"/>
      </w:pPr>
      <w:bookmarkStart w:id="12" w:name="_Toc118967140"/>
      <w:r>
        <w:lastRenderedPageBreak/>
        <w:t>Refine your argument</w:t>
      </w:r>
      <w:bookmarkEnd w:id="12"/>
    </w:p>
    <w:p w14:paraId="41BA531F" w14:textId="601D5F55" w:rsidR="00826949" w:rsidRDefault="00826949" w:rsidP="00826949">
      <w:r>
        <w:t xml:space="preserve">In this section, you will need to give reasons why your choice is valid (accurate). It’s important to have </w:t>
      </w:r>
      <w:r w:rsidRPr="00E53B0E">
        <w:rPr>
          <w:rStyle w:val="Strong"/>
        </w:rPr>
        <w:t>strong evidence</w:t>
      </w:r>
      <w:r>
        <w:t xml:space="preserve"> and </w:t>
      </w:r>
      <w:r w:rsidRPr="00E53B0E">
        <w:rPr>
          <w:rStyle w:val="Strong"/>
        </w:rPr>
        <w:t>reasoning</w:t>
      </w:r>
      <w:r w:rsidR="004F06FE">
        <w:t>.</w:t>
      </w:r>
    </w:p>
    <w:p w14:paraId="241398D7" w14:textId="76CC715E" w:rsidR="00826949" w:rsidRPr="00E53B0E" w:rsidRDefault="00826949" w:rsidP="00826949">
      <w:pPr>
        <w:rPr>
          <w:rStyle w:val="Strong"/>
        </w:rPr>
      </w:pPr>
      <w:r w:rsidRPr="00E53B0E">
        <w:rPr>
          <w:rStyle w:val="Strong"/>
        </w:rPr>
        <w:t>You will need to:</w:t>
      </w:r>
    </w:p>
    <w:p w14:paraId="1EDB3C03" w14:textId="720825E3" w:rsidR="00826949" w:rsidRDefault="00000000" w:rsidP="00826949">
      <w:sdt>
        <w:sdtPr>
          <w:alias w:val="Mark complete"/>
          <w:tag w:val="Mark complete"/>
          <w:id w:val="1825006021"/>
          <w14:checkbox>
            <w14:checked w14:val="0"/>
            <w14:checkedState w14:val="0053" w14:font="Wingdings 2"/>
            <w14:uncheckedState w14:val="2610" w14:font="MS Gothic"/>
          </w14:checkbox>
        </w:sdtPr>
        <w:sdtContent>
          <w:r w:rsidR="00826949">
            <w:rPr>
              <w:rFonts w:ascii="MS Gothic" w:eastAsia="MS Gothic" w:hAnsi="MS Gothic" w:hint="eastAsia"/>
            </w:rPr>
            <w:t>☐</w:t>
          </w:r>
        </w:sdtContent>
      </w:sdt>
      <w:r w:rsidR="000D3795">
        <w:tab/>
      </w:r>
      <w:r w:rsidR="00826949">
        <w:t>explicitly state your claim</w:t>
      </w:r>
    </w:p>
    <w:p w14:paraId="5B99F2A4" w14:textId="51A0E980" w:rsidR="00826949" w:rsidRDefault="00000000" w:rsidP="00826949">
      <w:sdt>
        <w:sdtPr>
          <w:alias w:val="Mark complete"/>
          <w:tag w:val="Mark complete"/>
          <w:id w:val="-976373014"/>
          <w14:checkbox>
            <w14:checked w14:val="0"/>
            <w14:checkedState w14:val="0053" w14:font="Wingdings 2"/>
            <w14:uncheckedState w14:val="2610" w14:font="MS Gothic"/>
          </w14:checkbox>
        </w:sdtPr>
        <w:sdtContent>
          <w:r w:rsidR="00826949">
            <w:rPr>
              <w:rFonts w:ascii="MS Gothic" w:eastAsia="MS Gothic" w:hAnsi="MS Gothic" w:hint="eastAsia"/>
            </w:rPr>
            <w:t>☐</w:t>
          </w:r>
        </w:sdtContent>
      </w:sdt>
      <w:r w:rsidR="000D3795">
        <w:tab/>
      </w:r>
      <w:r w:rsidR="00826949">
        <w:t>share evidence used to support your argument</w:t>
      </w:r>
    </w:p>
    <w:p w14:paraId="3BFE5638" w14:textId="2A130B73" w:rsidR="00826949" w:rsidRDefault="00000000" w:rsidP="00826949">
      <w:sdt>
        <w:sdtPr>
          <w:alias w:val="Mark complete"/>
          <w:tag w:val="Mark complete"/>
          <w:id w:val="-461035116"/>
          <w14:checkbox>
            <w14:checked w14:val="0"/>
            <w14:checkedState w14:val="0053" w14:font="Wingdings 2"/>
            <w14:uncheckedState w14:val="2610" w14:font="MS Gothic"/>
          </w14:checkbox>
        </w:sdtPr>
        <w:sdtContent>
          <w:r w:rsidR="00826949">
            <w:rPr>
              <w:rFonts w:ascii="MS Gothic" w:eastAsia="MS Gothic" w:hAnsi="MS Gothic" w:hint="eastAsia"/>
            </w:rPr>
            <w:t>☐</w:t>
          </w:r>
        </w:sdtContent>
      </w:sdt>
      <w:r w:rsidR="000D3795">
        <w:tab/>
      </w:r>
      <w:r w:rsidR="00826949">
        <w:t>provide your reasoning that links the evidence to your claim</w:t>
      </w:r>
    </w:p>
    <w:p w14:paraId="174A5948" w14:textId="67FAC493" w:rsidR="00D7399E" w:rsidRDefault="00000000" w:rsidP="00826949">
      <w:sdt>
        <w:sdtPr>
          <w:alias w:val="Mark complete"/>
          <w:tag w:val="Mark complete"/>
          <w:id w:val="896164901"/>
          <w14:checkbox>
            <w14:checked w14:val="0"/>
            <w14:checkedState w14:val="0053" w14:font="Wingdings 2"/>
            <w14:uncheckedState w14:val="2610" w14:font="MS Gothic"/>
          </w14:checkbox>
        </w:sdtPr>
        <w:sdtContent>
          <w:r w:rsidR="00826949">
            <w:rPr>
              <w:rFonts w:ascii="MS Gothic" w:eastAsia="MS Gothic" w:hAnsi="MS Gothic" w:hint="eastAsia"/>
            </w:rPr>
            <w:t>☐</w:t>
          </w:r>
        </w:sdtContent>
      </w:sdt>
      <w:r w:rsidR="000D3795">
        <w:tab/>
      </w:r>
      <w:r w:rsidR="00826949">
        <w:t>consider rebuttals to your claim and counteract this with stronger evidence</w:t>
      </w:r>
      <w:r w:rsidR="004F06FE">
        <w:t>.</w:t>
      </w:r>
    </w:p>
    <w:p w14:paraId="46E6D023" w14:textId="3F5849A4" w:rsidR="00D7399E" w:rsidRDefault="00DF0F8C" w:rsidP="00D7399E">
      <w:pPr>
        <w:pStyle w:val="FeatureBox2"/>
      </w:pPr>
      <w:r>
        <w:rPr>
          <w:rStyle w:val="Strong"/>
        </w:rPr>
        <w:t>Note</w:t>
      </w:r>
      <w:r w:rsidR="00D7399E" w:rsidRPr="00D7399E">
        <w:rPr>
          <w:rStyle w:val="Strong"/>
        </w:rPr>
        <w:t>:</w:t>
      </w:r>
      <w:r w:rsidR="00D7399E">
        <w:t xml:space="preserve"> </w:t>
      </w:r>
      <w:r>
        <w:t>B</w:t>
      </w:r>
      <w:r w:rsidR="00D7399E">
        <w:t xml:space="preserve">elow is an example </w:t>
      </w:r>
      <w:r>
        <w:t xml:space="preserve">using </w:t>
      </w:r>
      <w:r w:rsidR="00D7399E">
        <w:t>language that can be unpacked with students.</w:t>
      </w:r>
    </w:p>
    <w:p w14:paraId="1FCBB226" w14:textId="77777777" w:rsidR="00D7399E" w:rsidRPr="00D7399E" w:rsidRDefault="00D7399E" w:rsidP="00D7399E">
      <w:pPr>
        <w:rPr>
          <w:rStyle w:val="Strong"/>
        </w:rPr>
      </w:pPr>
      <w:r w:rsidRPr="00D7399E">
        <w:rPr>
          <w:rStyle w:val="Strong"/>
        </w:rPr>
        <w:t>Explicitly state your claim</w:t>
      </w:r>
    </w:p>
    <w:p w14:paraId="647E10B4" w14:textId="7AD192BB" w:rsidR="00D7399E" w:rsidRDefault="00D7399E" w:rsidP="00D7399E">
      <w:r>
        <w:t>I would rather keep it as individual currencies rather than have a common world currency</w:t>
      </w:r>
      <w:r w:rsidR="004F06FE">
        <w:t>.</w:t>
      </w:r>
    </w:p>
    <w:p w14:paraId="5353AC5F" w14:textId="2C65C6D5" w:rsidR="00D7399E" w:rsidRPr="00D7399E" w:rsidRDefault="00D7399E" w:rsidP="00D7399E">
      <w:pPr>
        <w:rPr>
          <w:rStyle w:val="Strong"/>
        </w:rPr>
      </w:pPr>
      <w:r w:rsidRPr="00D7399E">
        <w:rPr>
          <w:rStyle w:val="Strong"/>
        </w:rPr>
        <w:t>Share evidence used to support your argument</w:t>
      </w:r>
    </w:p>
    <w:p w14:paraId="4C089054" w14:textId="77777777" w:rsidR="00D7399E" w:rsidRDefault="00D7399E" w:rsidP="00D7399E">
      <w:r>
        <w:t>There are many different exchange rates around the world because each country is in a different financial position and their economy has different worth when compared to other countries. Each country has greater control over their own currency which can be an important instrument in regulating their economy. The physical currency can be an important reflection of each country’s history and cultural identity.</w:t>
      </w:r>
    </w:p>
    <w:p w14:paraId="7F95BBDB" w14:textId="77777777" w:rsidR="00D7399E" w:rsidRPr="00D7399E" w:rsidRDefault="00D7399E" w:rsidP="00D7399E">
      <w:pPr>
        <w:rPr>
          <w:rStyle w:val="Strong"/>
        </w:rPr>
      </w:pPr>
      <w:r w:rsidRPr="00D7399E">
        <w:rPr>
          <w:rStyle w:val="Strong"/>
        </w:rPr>
        <w:t>Provide your reasoning that links the evidence to your claim</w:t>
      </w:r>
    </w:p>
    <w:p w14:paraId="2E54BC7E" w14:textId="77777777" w:rsidR="00D7399E" w:rsidRDefault="00D7399E" w:rsidP="00D7399E">
      <w:r>
        <w:t>Having centralised control of all the world’s money means loss of control by individual countries. Greater central control means a concentration of power by entities that don’t have our own country’s best interests in mind when making decisions.</w:t>
      </w:r>
    </w:p>
    <w:p w14:paraId="03CFF20A" w14:textId="5789B1CB" w:rsidR="00D7399E" w:rsidRPr="00D7399E" w:rsidRDefault="00D7399E" w:rsidP="00D7399E">
      <w:pPr>
        <w:rPr>
          <w:rStyle w:val="Strong"/>
        </w:rPr>
      </w:pPr>
      <w:r w:rsidRPr="00D7399E">
        <w:rPr>
          <w:rStyle w:val="Strong"/>
        </w:rPr>
        <w:t>Consider rebuttals to your claim and counteract this with stronger evidence</w:t>
      </w:r>
    </w:p>
    <w:p w14:paraId="5B8508F4" w14:textId="3807E2DD" w:rsidR="00D7399E" w:rsidRDefault="00D7399E" w:rsidP="00D7399E">
      <w:r>
        <w:t>Although we wouldn’t pay exchange rates we would potentially pay just as much, if not more</w:t>
      </w:r>
      <w:r w:rsidR="00DF0F8C">
        <w:t>,</w:t>
      </w:r>
      <w:r>
        <w:t xml:space="preserve"> to central banks to administer the world currency. There is also the potential for a loss of control over your own country’s economy.</w:t>
      </w:r>
    </w:p>
    <w:p w14:paraId="19B54FA3" w14:textId="0526F6B0" w:rsidR="00D7399E" w:rsidRPr="00C3660A" w:rsidRDefault="00D7399E" w:rsidP="00D7399E">
      <w:pPr>
        <w:rPr>
          <w:rStyle w:val="Strong"/>
        </w:rPr>
      </w:pPr>
      <w:r w:rsidRPr="00C3660A">
        <w:rPr>
          <w:rStyle w:val="Strong"/>
        </w:rPr>
        <w:t>Present your justification in your own chosen method</w:t>
      </w:r>
    </w:p>
    <w:p w14:paraId="5BBCCF45" w14:textId="59D0BFEB" w:rsidR="00D7399E" w:rsidRDefault="00D7399E" w:rsidP="00D7399E">
      <w:r>
        <w:t>This may include:</w:t>
      </w:r>
    </w:p>
    <w:p w14:paraId="7568669A" w14:textId="385F87D8" w:rsidR="00D7399E" w:rsidRDefault="00D7399E" w:rsidP="00D7399E">
      <w:pPr>
        <w:pStyle w:val="ListBullet"/>
      </w:pPr>
      <w:r>
        <w:t>filming your response</w:t>
      </w:r>
    </w:p>
    <w:p w14:paraId="4135084C" w14:textId="43EB2B68" w:rsidR="00D7399E" w:rsidRDefault="00D7399E" w:rsidP="00D7399E">
      <w:pPr>
        <w:pStyle w:val="ListBullet"/>
      </w:pPr>
      <w:r>
        <w:lastRenderedPageBreak/>
        <w:t>writing your response</w:t>
      </w:r>
    </w:p>
    <w:p w14:paraId="2A8C2A3F" w14:textId="2FED08A1" w:rsidR="00D7399E" w:rsidRDefault="00D7399E" w:rsidP="00D7399E">
      <w:pPr>
        <w:pStyle w:val="ListBullet"/>
      </w:pPr>
      <w:r>
        <w:t>creating a PowerPoint</w:t>
      </w:r>
    </w:p>
    <w:p w14:paraId="5E3D762C" w14:textId="3370C5C8" w:rsidR="00D7399E" w:rsidRDefault="00D7399E" w:rsidP="00D7399E">
      <w:pPr>
        <w:pStyle w:val="ListBullet"/>
      </w:pPr>
      <w:r>
        <w:t>making a speech to the class</w:t>
      </w:r>
    </w:p>
    <w:p w14:paraId="76EB542B" w14:textId="081221D1" w:rsidR="00D7399E" w:rsidRDefault="00D7399E" w:rsidP="00D7399E">
      <w:pPr>
        <w:pStyle w:val="ListBullet"/>
      </w:pPr>
      <w:r>
        <w:t>recording an audio file</w:t>
      </w:r>
    </w:p>
    <w:p w14:paraId="44D8B684" w14:textId="77777777" w:rsidR="0063078F" w:rsidRDefault="00D7399E" w:rsidP="00D7399E">
      <w:pPr>
        <w:pStyle w:val="ListBullet"/>
      </w:pPr>
      <w:r>
        <w:t>discussing your communication method with your teacher.</w:t>
      </w:r>
      <w:r w:rsidR="0063078F">
        <w:br w:type="page"/>
      </w:r>
    </w:p>
    <w:p w14:paraId="28FBC376" w14:textId="737FC782" w:rsidR="00AE6734" w:rsidRPr="00AE6734" w:rsidRDefault="00D43897" w:rsidP="00AE6734">
      <w:pPr>
        <w:pStyle w:val="Heading2"/>
      </w:pPr>
      <w:bookmarkStart w:id="13" w:name="_Toc118967141"/>
      <w:r>
        <w:lastRenderedPageBreak/>
        <w:t>Options for marking</w:t>
      </w:r>
      <w:bookmarkEnd w:id="13"/>
    </w:p>
    <w:p w14:paraId="6CD15F61" w14:textId="7F933C47" w:rsidR="00AE6734" w:rsidRDefault="00AE6734" w:rsidP="00AE6734">
      <w:pPr>
        <w:pStyle w:val="FeatureBox2"/>
      </w:pPr>
      <w:r>
        <w:rPr>
          <w:rStyle w:val="Strong"/>
        </w:rPr>
        <w:t>Note</w:t>
      </w:r>
      <w:r w:rsidRPr="00913FAA">
        <w:rPr>
          <w:rStyle w:val="Strong"/>
        </w:rPr>
        <w:t>:</w:t>
      </w:r>
      <w:r>
        <w:t xml:space="preserve"> Three types of criteria are available for use and teachers will need to decide which one, or combination, best serves their students. Marking guidelines may be useful for teachers to holistically mark a student’s evidence of learning while the grade descriptors may be useful in reporting progress to parents. The rubric on the aspects of the Toulmin argument model may be useful for students to self-assess or peer assess and could be used formatively.</w:t>
      </w:r>
    </w:p>
    <w:p w14:paraId="0A795003" w14:textId="1A542428" w:rsidR="00567402" w:rsidRDefault="00567402" w:rsidP="006F6135">
      <w:pPr>
        <w:pStyle w:val="Heading3"/>
      </w:pPr>
      <w:bookmarkStart w:id="14" w:name="_Toc118967142"/>
      <w:r>
        <w:t>Marking guidelines</w:t>
      </w:r>
      <w:bookmarkEnd w:id="14"/>
    </w:p>
    <w:p w14:paraId="79BC4320" w14:textId="7560F22D" w:rsidR="001967FD" w:rsidRPr="001967FD" w:rsidRDefault="00CC41EF" w:rsidP="00CC41EF">
      <w:pPr>
        <w:pStyle w:val="Caption"/>
      </w:pPr>
      <w:r>
        <w:t xml:space="preserve">Table </w:t>
      </w:r>
      <w:fldSimple w:instr=" SEQ Table \* ARABIC ">
        <w:r w:rsidR="002C3D4F">
          <w:rPr>
            <w:noProof/>
          </w:rPr>
          <w:t>3</w:t>
        </w:r>
      </w:fldSimple>
      <w:r w:rsidR="0037218D">
        <w:t xml:space="preserve"> – </w:t>
      </w:r>
      <w:r w:rsidR="00AE6734">
        <w:t>Marking guidelines</w:t>
      </w:r>
    </w:p>
    <w:tbl>
      <w:tblPr>
        <w:tblStyle w:val="Tableheader"/>
        <w:tblW w:w="5001" w:type="pct"/>
        <w:tblLayout w:type="fixed"/>
        <w:tblLook w:val="04A0" w:firstRow="1" w:lastRow="0" w:firstColumn="1" w:lastColumn="0" w:noHBand="0" w:noVBand="1"/>
        <w:tblDescription w:val="Marking guidelines for grades A to E."/>
      </w:tblPr>
      <w:tblGrid>
        <w:gridCol w:w="1414"/>
        <w:gridCol w:w="8216"/>
      </w:tblGrid>
      <w:tr w:rsidR="00244BC7" w14:paraId="3BB1653E" w14:textId="77777777" w:rsidTr="00E36F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800F179" w14:textId="6039641D" w:rsidR="00244BC7" w:rsidRDefault="00244BC7" w:rsidP="00244BC7">
            <w:pPr>
              <w:pStyle w:val="ListBullet"/>
              <w:numPr>
                <w:ilvl w:val="0"/>
                <w:numId w:val="0"/>
              </w:numPr>
            </w:pPr>
            <w:r w:rsidRPr="00CA210F">
              <w:rPr>
                <w:szCs w:val="22"/>
                <w:lang w:eastAsia="zh-CN"/>
              </w:rPr>
              <w:t>Grade</w:t>
            </w:r>
          </w:p>
        </w:tc>
        <w:tc>
          <w:tcPr>
            <w:tcW w:w="4266" w:type="pct"/>
          </w:tcPr>
          <w:p w14:paraId="073C9F21" w14:textId="14C2A5C6" w:rsidR="00244BC7" w:rsidRDefault="00244BC7" w:rsidP="00244BC7">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sidRPr="00CA210F">
              <w:rPr>
                <w:szCs w:val="22"/>
                <w:lang w:eastAsia="zh-CN"/>
              </w:rPr>
              <w:t>Marking guidelines</w:t>
            </w:r>
          </w:p>
        </w:tc>
      </w:tr>
      <w:tr w:rsidR="00244BC7" w14:paraId="3A84C535" w14:textId="77777777" w:rsidTr="00E3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1F85D477" w14:textId="0A5E4C5D" w:rsidR="00244BC7" w:rsidRDefault="00244BC7" w:rsidP="00244BC7">
            <w:pPr>
              <w:pStyle w:val="ListBullet"/>
              <w:numPr>
                <w:ilvl w:val="0"/>
                <w:numId w:val="0"/>
              </w:numPr>
            </w:pPr>
            <w:r w:rsidRPr="00CA210F">
              <w:rPr>
                <w:szCs w:val="22"/>
                <w:lang w:eastAsia="zh-CN"/>
              </w:rPr>
              <w:t>A</w:t>
            </w:r>
          </w:p>
        </w:tc>
        <w:tc>
          <w:tcPr>
            <w:tcW w:w="4266" w:type="pct"/>
          </w:tcPr>
          <w:p w14:paraId="5EA43E6F" w14:textId="77777777" w:rsidR="00244BC7" w:rsidRPr="00CA210F"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Displays thoughtful and synthesised argument through careful and considered use of the Toulmin argument model</w:t>
            </w:r>
          </w:p>
          <w:p w14:paraId="5DFC206F" w14:textId="77777777" w:rsidR="00244BC7" w:rsidRPr="00CA210F"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Accurately interprets information and uses a range of well-selected evidence for purpose</w:t>
            </w:r>
          </w:p>
          <w:p w14:paraId="2C7522AF" w14:textId="77777777" w:rsidR="00244BC7" w:rsidRPr="00CA210F"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Presents an analysis and evaluation to support and extend the argument</w:t>
            </w:r>
          </w:p>
          <w:p w14:paraId="6C34A402" w14:textId="24C05DAE" w:rsidR="00244BC7"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Uses a logical and engaging structure that is well timed and presented</w:t>
            </w:r>
          </w:p>
        </w:tc>
      </w:tr>
      <w:tr w:rsidR="00244BC7" w14:paraId="00A40F1F" w14:textId="77777777" w:rsidTr="00E36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128E4C10" w14:textId="02D6A858" w:rsidR="00244BC7" w:rsidRDefault="00244BC7" w:rsidP="00244BC7">
            <w:pPr>
              <w:pStyle w:val="ListBullet"/>
              <w:numPr>
                <w:ilvl w:val="0"/>
                <w:numId w:val="0"/>
              </w:numPr>
            </w:pPr>
            <w:r w:rsidRPr="00CA210F">
              <w:rPr>
                <w:szCs w:val="22"/>
                <w:lang w:eastAsia="zh-CN"/>
              </w:rPr>
              <w:t>B</w:t>
            </w:r>
          </w:p>
        </w:tc>
        <w:tc>
          <w:tcPr>
            <w:tcW w:w="4266" w:type="pct"/>
          </w:tcPr>
          <w:p w14:paraId="0004DA11" w14:textId="77777777" w:rsidR="00244BC7" w:rsidRPr="00CA210F"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Displays a thorough and relevant argument through effective use of the Toulmin argument model</w:t>
            </w:r>
          </w:p>
          <w:p w14:paraId="552E6417" w14:textId="77777777" w:rsidR="00244BC7" w:rsidRPr="00CA210F"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Interprets information and uses evidence consistently to achieve a purpose</w:t>
            </w:r>
          </w:p>
          <w:p w14:paraId="6FC2B3BE" w14:textId="77777777" w:rsidR="00244BC7" w:rsidRPr="00CA210F"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Analyses and evaluates to support the argument</w:t>
            </w:r>
          </w:p>
          <w:p w14:paraId="7808B210" w14:textId="1B7676F0" w:rsidR="00244BC7"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Uses a logical structure with mostly consistent timing and delivery</w:t>
            </w:r>
          </w:p>
        </w:tc>
      </w:tr>
      <w:tr w:rsidR="00244BC7" w14:paraId="2FE35EA3" w14:textId="77777777" w:rsidTr="00E3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30E4BCC1" w14:textId="2ABD92DB" w:rsidR="00244BC7" w:rsidRDefault="00244BC7" w:rsidP="00244BC7">
            <w:pPr>
              <w:pStyle w:val="ListBullet"/>
              <w:numPr>
                <w:ilvl w:val="0"/>
                <w:numId w:val="0"/>
              </w:numPr>
            </w:pPr>
            <w:r w:rsidRPr="00CA210F">
              <w:rPr>
                <w:szCs w:val="22"/>
                <w:lang w:eastAsia="zh-CN"/>
              </w:rPr>
              <w:t>C</w:t>
            </w:r>
          </w:p>
        </w:tc>
        <w:tc>
          <w:tcPr>
            <w:tcW w:w="4266" w:type="pct"/>
          </w:tcPr>
          <w:p w14:paraId="45B7A1D7" w14:textId="77777777" w:rsidR="00244BC7" w:rsidRPr="00CA210F"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Displays a relevant argument through use of the Toulmin argument model</w:t>
            </w:r>
          </w:p>
          <w:p w14:paraId="30C89D7B" w14:textId="77777777" w:rsidR="00244BC7" w:rsidRPr="00CA210F"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 xml:space="preserve">Interprets some information and uses evidence to support the </w:t>
            </w:r>
            <w:r w:rsidRPr="00CA210F">
              <w:lastRenderedPageBreak/>
              <w:t>argument</w:t>
            </w:r>
          </w:p>
          <w:p w14:paraId="1B4E5280" w14:textId="77777777" w:rsidR="00244BC7" w:rsidRPr="00CA210F"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Explanation begins to become analytical/evaluative to support the argument</w:t>
            </w:r>
          </w:p>
          <w:p w14:paraId="5229FD33" w14:textId="64429874" w:rsidR="00244BC7"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t>Structure and deliver</w:t>
            </w:r>
            <w:r w:rsidR="00E57E3D">
              <w:t>y</w:t>
            </w:r>
            <w:r w:rsidRPr="00CA210F">
              <w:t xml:space="preserve"> support an understanding of the argument</w:t>
            </w:r>
          </w:p>
        </w:tc>
      </w:tr>
      <w:tr w:rsidR="00244BC7" w14:paraId="7FC265C1" w14:textId="77777777" w:rsidTr="00E36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40B271ED" w14:textId="230FDDAA" w:rsidR="00244BC7" w:rsidRDefault="00244BC7" w:rsidP="00244BC7">
            <w:pPr>
              <w:pStyle w:val="ListBullet"/>
              <w:numPr>
                <w:ilvl w:val="0"/>
                <w:numId w:val="0"/>
              </w:numPr>
            </w:pPr>
            <w:r w:rsidRPr="00CA210F">
              <w:rPr>
                <w:szCs w:val="22"/>
                <w:lang w:eastAsia="zh-CN"/>
              </w:rPr>
              <w:lastRenderedPageBreak/>
              <w:t>D</w:t>
            </w:r>
          </w:p>
        </w:tc>
        <w:tc>
          <w:tcPr>
            <w:tcW w:w="4266" w:type="pct"/>
          </w:tcPr>
          <w:p w14:paraId="32B795DB" w14:textId="77777777" w:rsidR="00244BC7" w:rsidRPr="00CA210F"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Displays knowledge of the Toulmin argument model</w:t>
            </w:r>
          </w:p>
          <w:p w14:paraId="47FCB6E5" w14:textId="77777777" w:rsidR="00244BC7" w:rsidRPr="00CA210F"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Uses information and/or evidence with basic connection to the argument</w:t>
            </w:r>
          </w:p>
          <w:p w14:paraId="45013BD8" w14:textId="77777777" w:rsidR="00244BC7" w:rsidRPr="00CA210F"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Explains how the information/evidence supports the argument</w:t>
            </w:r>
          </w:p>
          <w:p w14:paraId="18C95B5B" w14:textId="5B61A057" w:rsidR="00244BC7" w:rsidRDefault="00244BC7" w:rsidP="00C07B8C">
            <w:pPr>
              <w:pStyle w:val="ListBullet"/>
              <w:cnfStyle w:val="000000010000" w:firstRow="0" w:lastRow="0" w:firstColumn="0" w:lastColumn="0" w:oddVBand="0" w:evenVBand="0" w:oddHBand="0" w:evenHBand="1" w:firstRowFirstColumn="0" w:firstRowLastColumn="0" w:lastRowFirstColumn="0" w:lastRowLastColumn="0"/>
            </w:pPr>
            <w:r w:rsidRPr="00CA210F">
              <w:t>Some structural elements in the delivery of the argument</w:t>
            </w:r>
          </w:p>
        </w:tc>
      </w:tr>
      <w:tr w:rsidR="00244BC7" w14:paraId="5A1F0FC1" w14:textId="77777777" w:rsidTr="00E36F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5FC6AA0D" w14:textId="4B50FF66" w:rsidR="00244BC7" w:rsidRDefault="00244BC7" w:rsidP="00244BC7">
            <w:pPr>
              <w:pStyle w:val="ListBullet"/>
              <w:numPr>
                <w:ilvl w:val="0"/>
                <w:numId w:val="0"/>
              </w:numPr>
            </w:pPr>
            <w:r w:rsidRPr="00CA210F">
              <w:rPr>
                <w:szCs w:val="22"/>
                <w:lang w:eastAsia="zh-CN"/>
              </w:rPr>
              <w:t>E</w:t>
            </w:r>
          </w:p>
        </w:tc>
        <w:tc>
          <w:tcPr>
            <w:tcW w:w="4266" w:type="pct"/>
          </w:tcPr>
          <w:p w14:paraId="7D62C511" w14:textId="77777777" w:rsidR="00244BC7" w:rsidRPr="00C07B8C" w:rsidRDefault="00244BC7" w:rsidP="00C07B8C">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0CA210F">
              <w:t xml:space="preserve">Displays knowledge of some parts of the </w:t>
            </w:r>
            <w:r w:rsidRPr="00C07B8C">
              <w:rPr>
                <w:color w:val="000000" w:themeColor="text1"/>
              </w:rPr>
              <w:t>Toulmin argument model</w:t>
            </w:r>
          </w:p>
          <w:p w14:paraId="512F1549" w14:textId="77777777" w:rsidR="00244BC7" w:rsidRPr="00C07B8C" w:rsidRDefault="00244BC7" w:rsidP="00C07B8C">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0C07B8C">
              <w:rPr>
                <w:color w:val="000000" w:themeColor="text1"/>
              </w:rPr>
              <w:t>Uses some information or evidence that connects to the argument</w:t>
            </w:r>
          </w:p>
          <w:p w14:paraId="165071F5" w14:textId="77777777" w:rsidR="00244BC7" w:rsidRPr="00C07B8C" w:rsidRDefault="00244BC7" w:rsidP="00C07B8C">
            <w:pPr>
              <w:pStyle w:val="ListBullet"/>
              <w:cnfStyle w:val="000000100000" w:firstRow="0" w:lastRow="0" w:firstColumn="0" w:lastColumn="0" w:oddVBand="0" w:evenVBand="0" w:oddHBand="1" w:evenHBand="0" w:firstRowFirstColumn="0" w:firstRowLastColumn="0" w:lastRowFirstColumn="0" w:lastRowLastColumn="0"/>
              <w:rPr>
                <w:color w:val="000000" w:themeColor="text1"/>
              </w:rPr>
            </w:pPr>
            <w:r w:rsidRPr="00C07B8C">
              <w:rPr>
                <w:color w:val="000000" w:themeColor="text1"/>
              </w:rPr>
              <w:t>Some explanation of information or evidence is used</w:t>
            </w:r>
          </w:p>
          <w:p w14:paraId="6376A82F" w14:textId="54F7147B" w:rsidR="00244BC7" w:rsidRDefault="00244BC7" w:rsidP="00C07B8C">
            <w:pPr>
              <w:pStyle w:val="ListBullet"/>
              <w:cnfStyle w:val="000000100000" w:firstRow="0" w:lastRow="0" w:firstColumn="0" w:lastColumn="0" w:oddVBand="0" w:evenVBand="0" w:oddHBand="1" w:evenHBand="0" w:firstRowFirstColumn="0" w:firstRowLastColumn="0" w:lastRowFirstColumn="0" w:lastRowLastColumn="0"/>
            </w:pPr>
            <w:r w:rsidRPr="00CA210F">
              <w:rPr>
                <w:color w:val="000000" w:themeColor="text1"/>
              </w:rPr>
              <w:t>Structure impedes understanding</w:t>
            </w:r>
          </w:p>
        </w:tc>
      </w:tr>
    </w:tbl>
    <w:p w14:paraId="7C67C670" w14:textId="77777777" w:rsidR="00EF662C" w:rsidRDefault="00EF662C" w:rsidP="00C45416">
      <w:pPr>
        <w:pStyle w:val="ListBullet"/>
        <w:numPr>
          <w:ilvl w:val="0"/>
          <w:numId w:val="0"/>
        </w:numPr>
      </w:pPr>
      <w:r>
        <w:br w:type="page"/>
      </w:r>
    </w:p>
    <w:p w14:paraId="040AD446" w14:textId="55F512FE" w:rsidR="004818CC" w:rsidRPr="006F6135" w:rsidRDefault="004818CC" w:rsidP="006F6135">
      <w:pPr>
        <w:pStyle w:val="Heading3"/>
      </w:pPr>
      <w:bookmarkStart w:id="15" w:name="_Toc118967143"/>
      <w:r w:rsidRPr="006F6135">
        <w:lastRenderedPageBreak/>
        <w:t xml:space="preserve">Grade </w:t>
      </w:r>
      <w:r w:rsidR="004F06FE" w:rsidRPr="006F6135">
        <w:t>descriptors</w:t>
      </w:r>
      <w:bookmarkEnd w:id="15"/>
    </w:p>
    <w:p w14:paraId="3A72540C" w14:textId="4D1A065D" w:rsidR="001967FD" w:rsidRPr="001967FD" w:rsidRDefault="0037218D" w:rsidP="0037218D">
      <w:pPr>
        <w:pStyle w:val="Caption"/>
      </w:pPr>
      <w:r>
        <w:t xml:space="preserve">Table </w:t>
      </w:r>
      <w:fldSimple w:instr=" SEQ Table \* ARABIC ">
        <w:r w:rsidR="002C3D4F">
          <w:rPr>
            <w:noProof/>
          </w:rPr>
          <w:t>4</w:t>
        </w:r>
      </w:fldSimple>
      <w:r>
        <w:t xml:space="preserve"> – </w:t>
      </w:r>
      <w:r w:rsidR="00AE6734">
        <w:t>Grade descriptors</w:t>
      </w:r>
    </w:p>
    <w:tbl>
      <w:tblPr>
        <w:tblStyle w:val="Tableheader"/>
        <w:tblW w:w="5000" w:type="pct"/>
        <w:tblLayout w:type="fixed"/>
        <w:tblLook w:val="04A0" w:firstRow="1" w:lastRow="0" w:firstColumn="1" w:lastColumn="0" w:noHBand="0" w:noVBand="1"/>
        <w:tblDescription w:val="Table listing grades A to E and the descriptors required to achieve them."/>
      </w:tblPr>
      <w:tblGrid>
        <w:gridCol w:w="1271"/>
        <w:gridCol w:w="8357"/>
      </w:tblGrid>
      <w:tr w:rsidR="00B909CE" w14:paraId="309D9D2D" w14:textId="77777777" w:rsidTr="00D76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45B77580" w14:textId="5054FB89" w:rsidR="00B909CE" w:rsidRDefault="00B909CE" w:rsidP="00B909CE">
            <w:pPr>
              <w:pStyle w:val="ListBullet"/>
              <w:numPr>
                <w:ilvl w:val="0"/>
                <w:numId w:val="0"/>
              </w:numPr>
            </w:pPr>
            <w:r>
              <w:rPr>
                <w:lang w:eastAsia="zh-CN"/>
              </w:rPr>
              <w:t>Grade</w:t>
            </w:r>
          </w:p>
        </w:tc>
        <w:tc>
          <w:tcPr>
            <w:tcW w:w="4340" w:type="pct"/>
          </w:tcPr>
          <w:p w14:paraId="2A238B24" w14:textId="674295C7" w:rsidR="00B909CE" w:rsidRDefault="00B909CE" w:rsidP="00B909CE">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Pr>
                <w:lang w:eastAsia="zh-CN"/>
              </w:rPr>
              <w:t>Descriptors</w:t>
            </w:r>
          </w:p>
        </w:tc>
      </w:tr>
      <w:tr w:rsidR="00B909CE" w14:paraId="710DA094" w14:textId="77777777" w:rsidTr="00D76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9A38A8F" w14:textId="0078D96D" w:rsidR="00B909CE" w:rsidRDefault="00B909CE" w:rsidP="00B909CE">
            <w:pPr>
              <w:pStyle w:val="ListBullet"/>
              <w:numPr>
                <w:ilvl w:val="0"/>
                <w:numId w:val="0"/>
              </w:numPr>
            </w:pPr>
            <w:r>
              <w:rPr>
                <w:lang w:eastAsia="zh-CN"/>
              </w:rPr>
              <w:t>A</w:t>
            </w:r>
          </w:p>
        </w:tc>
        <w:tc>
          <w:tcPr>
            <w:tcW w:w="4340" w:type="pct"/>
          </w:tcPr>
          <w:p w14:paraId="0207672B" w14:textId="3739CDD1" w:rsidR="00B909CE" w:rsidRDefault="00B909CE" w:rsidP="00B909C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6666A2">
              <w:t xml:space="preserve">The student has </w:t>
            </w:r>
            <w:r w:rsidRPr="006666A2">
              <w:rPr>
                <w:rStyle w:val="Strong"/>
              </w:rPr>
              <w:t>extensive</w:t>
            </w:r>
            <w:r w:rsidRPr="006666A2">
              <w:t xml:space="preserve"> knowledge and understanding of </w:t>
            </w:r>
            <w:r>
              <w:t xml:space="preserve">the </w:t>
            </w:r>
            <w:r w:rsidRPr="006666A2">
              <w:t>Toulmin</w:t>
            </w:r>
            <w:r>
              <w:t xml:space="preserve"> argument</w:t>
            </w:r>
            <w:r w:rsidRPr="006666A2">
              <w:t xml:space="preserve"> model and can construct accurate claims, with evidence and reasoning. They have displayed an extensive level of understanding when determining the relevance and reliability of the information that might be used to support an argument. In addition, the student has achieved a very high level of competence in the skills of evaluation, analysis and synthesising information and can apply these skills to new situations.</w:t>
            </w:r>
          </w:p>
        </w:tc>
      </w:tr>
      <w:tr w:rsidR="00B909CE" w14:paraId="6DA9D8DD" w14:textId="77777777" w:rsidTr="00D76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32D6444E" w14:textId="3F998CA4" w:rsidR="00B909CE" w:rsidRDefault="00B909CE" w:rsidP="00B909CE">
            <w:pPr>
              <w:pStyle w:val="ListBullet"/>
              <w:numPr>
                <w:ilvl w:val="0"/>
                <w:numId w:val="0"/>
              </w:numPr>
            </w:pPr>
            <w:r>
              <w:rPr>
                <w:lang w:eastAsia="zh-CN"/>
              </w:rPr>
              <w:t>B</w:t>
            </w:r>
          </w:p>
        </w:tc>
        <w:tc>
          <w:tcPr>
            <w:tcW w:w="4340" w:type="pct"/>
          </w:tcPr>
          <w:p w14:paraId="61073C86" w14:textId="00B539FC" w:rsidR="00B909CE" w:rsidRDefault="00B909CE" w:rsidP="00B909C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6666A2">
              <w:t xml:space="preserve">The student has </w:t>
            </w:r>
            <w:r w:rsidRPr="006666A2">
              <w:rPr>
                <w:rStyle w:val="Strong"/>
              </w:rPr>
              <w:t>thorough</w:t>
            </w:r>
            <w:r w:rsidRPr="006666A2">
              <w:t xml:space="preserve"> knowledge and understanding of </w:t>
            </w:r>
            <w:r>
              <w:t xml:space="preserve">the </w:t>
            </w:r>
            <w:r w:rsidRPr="006666A2">
              <w:t>Toulmin</w:t>
            </w:r>
            <w:r>
              <w:t xml:space="preserve"> argument</w:t>
            </w:r>
            <w:r w:rsidRPr="006666A2">
              <w:t xml:space="preserve"> model and can construct claims, with evidence and reasoning. They have displayed a thorough level of understanding when determining the relevance and reliability of the information that might be used to support an argument. In addition, the student has achieved a high level of competence in the skills of evaluation, analysis and synthesising information and can apply these skills to most situations.</w:t>
            </w:r>
          </w:p>
        </w:tc>
      </w:tr>
      <w:tr w:rsidR="00B909CE" w14:paraId="43928A30" w14:textId="77777777" w:rsidTr="00D76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27F17D9D" w14:textId="437E3A2F" w:rsidR="00B909CE" w:rsidRDefault="00B909CE" w:rsidP="00B909CE">
            <w:pPr>
              <w:pStyle w:val="ListBullet"/>
              <w:numPr>
                <w:ilvl w:val="0"/>
                <w:numId w:val="0"/>
              </w:numPr>
            </w:pPr>
            <w:r>
              <w:rPr>
                <w:lang w:eastAsia="zh-CN"/>
              </w:rPr>
              <w:t>C</w:t>
            </w:r>
          </w:p>
        </w:tc>
        <w:tc>
          <w:tcPr>
            <w:tcW w:w="4340" w:type="pct"/>
          </w:tcPr>
          <w:p w14:paraId="766CB617" w14:textId="3D10156F" w:rsidR="00B909CE" w:rsidRDefault="00B909CE" w:rsidP="00B909C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6666A2">
              <w:t xml:space="preserve">The student has </w:t>
            </w:r>
            <w:r w:rsidRPr="006666A2">
              <w:rPr>
                <w:rStyle w:val="Strong"/>
              </w:rPr>
              <w:t>sound</w:t>
            </w:r>
            <w:r w:rsidRPr="006666A2">
              <w:t xml:space="preserve"> level of knowledge and understanding of </w:t>
            </w:r>
            <w:r>
              <w:t xml:space="preserve">the </w:t>
            </w:r>
            <w:r w:rsidRPr="006666A2">
              <w:t>Toulmin</w:t>
            </w:r>
            <w:r>
              <w:t xml:space="preserve"> argument</w:t>
            </w:r>
            <w:r w:rsidRPr="006666A2">
              <w:t xml:space="preserve"> model and can construct claims, with evidence and reasoning. They have displayed a sound level of understanding when determining the relevance and reliability of the information that might be used to support an argument. In addition, the student has achieved an adequate level of competence in the skills of evaluation, </w:t>
            </w:r>
            <w:proofErr w:type="gramStart"/>
            <w:r w:rsidRPr="006666A2">
              <w:t>analysis</w:t>
            </w:r>
            <w:proofErr w:type="gramEnd"/>
            <w:r w:rsidRPr="006666A2">
              <w:t xml:space="preserve"> and synthesising information.</w:t>
            </w:r>
          </w:p>
        </w:tc>
      </w:tr>
      <w:tr w:rsidR="00B909CE" w14:paraId="470CF8F0" w14:textId="77777777" w:rsidTr="00D760A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67CC3AC3" w14:textId="5ADBC462" w:rsidR="00B909CE" w:rsidRDefault="00B909CE" w:rsidP="00B909CE">
            <w:pPr>
              <w:pStyle w:val="ListBullet"/>
              <w:numPr>
                <w:ilvl w:val="0"/>
                <w:numId w:val="0"/>
              </w:numPr>
            </w:pPr>
            <w:r>
              <w:rPr>
                <w:lang w:eastAsia="zh-CN"/>
              </w:rPr>
              <w:t>D</w:t>
            </w:r>
          </w:p>
        </w:tc>
        <w:tc>
          <w:tcPr>
            <w:tcW w:w="4340" w:type="pct"/>
          </w:tcPr>
          <w:p w14:paraId="20F73730" w14:textId="2D1319F1" w:rsidR="00B909CE" w:rsidRDefault="00B909CE" w:rsidP="00B909CE">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6666A2">
              <w:t xml:space="preserve">The student has a </w:t>
            </w:r>
            <w:r w:rsidRPr="006666A2">
              <w:rPr>
                <w:rStyle w:val="Strong"/>
              </w:rPr>
              <w:t>basic</w:t>
            </w:r>
            <w:r w:rsidRPr="006666A2">
              <w:t xml:space="preserve"> level of knowledge and understanding of </w:t>
            </w:r>
            <w:r>
              <w:t xml:space="preserve">the </w:t>
            </w:r>
            <w:r w:rsidRPr="006666A2">
              <w:t>Toulmin</w:t>
            </w:r>
            <w:r>
              <w:t xml:space="preserve"> argument</w:t>
            </w:r>
            <w:r w:rsidRPr="006666A2">
              <w:t xml:space="preserve"> model and is attempting to construct claims, with evidence and/or reasoning. They have displayed </w:t>
            </w:r>
            <w:r>
              <w:t>some</w:t>
            </w:r>
            <w:r w:rsidRPr="006666A2">
              <w:t xml:space="preserve"> level of understanding when determining the relevance and reliability of the information that might be used to support an argument. In addition, the student has achieved </w:t>
            </w:r>
            <w:r>
              <w:t>some</w:t>
            </w:r>
            <w:r w:rsidRPr="006666A2">
              <w:t xml:space="preserve"> competence in the skills of evaluation, </w:t>
            </w:r>
            <w:proofErr w:type="gramStart"/>
            <w:r w:rsidRPr="006666A2">
              <w:t>analysis</w:t>
            </w:r>
            <w:proofErr w:type="gramEnd"/>
            <w:r w:rsidRPr="006666A2">
              <w:t xml:space="preserve"> and synthesising information.</w:t>
            </w:r>
          </w:p>
        </w:tc>
      </w:tr>
      <w:tr w:rsidR="00B909CE" w14:paraId="1BCB0EE6" w14:textId="77777777" w:rsidTr="00D76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0" w:type="pct"/>
          </w:tcPr>
          <w:p w14:paraId="57B6FA7C" w14:textId="5EA0F39B" w:rsidR="00B909CE" w:rsidRDefault="00B909CE" w:rsidP="00B909CE">
            <w:pPr>
              <w:pStyle w:val="ListBullet"/>
              <w:numPr>
                <w:ilvl w:val="0"/>
                <w:numId w:val="0"/>
              </w:numPr>
            </w:pPr>
            <w:r>
              <w:rPr>
                <w:lang w:eastAsia="zh-CN"/>
              </w:rPr>
              <w:lastRenderedPageBreak/>
              <w:t>E</w:t>
            </w:r>
          </w:p>
        </w:tc>
        <w:tc>
          <w:tcPr>
            <w:tcW w:w="4340" w:type="pct"/>
          </w:tcPr>
          <w:p w14:paraId="21B44516" w14:textId="64E0AB8D" w:rsidR="00B909CE" w:rsidRDefault="00B909CE" w:rsidP="00B909CE">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6666A2">
              <w:t xml:space="preserve">The student has an </w:t>
            </w:r>
            <w:r w:rsidRPr="006666A2">
              <w:rPr>
                <w:rStyle w:val="Strong"/>
              </w:rPr>
              <w:t>elementary</w:t>
            </w:r>
            <w:r w:rsidRPr="006666A2">
              <w:t xml:space="preserve"> level of knowledge and understanding of </w:t>
            </w:r>
            <w:r>
              <w:t xml:space="preserve">the </w:t>
            </w:r>
            <w:r w:rsidRPr="006666A2">
              <w:t>Toulmin</w:t>
            </w:r>
            <w:r>
              <w:t xml:space="preserve"> argument</w:t>
            </w:r>
            <w:r w:rsidRPr="006666A2">
              <w:t xml:space="preserve"> model. They have </w:t>
            </w:r>
            <w:r>
              <w:t>named some points of argument without connection to reasons or evaluation.</w:t>
            </w:r>
          </w:p>
        </w:tc>
      </w:tr>
    </w:tbl>
    <w:p w14:paraId="606433B6" w14:textId="77777777" w:rsidR="00BC1D30" w:rsidRDefault="00BC1D30" w:rsidP="00BC1D30">
      <w:pPr>
        <w:pStyle w:val="Heading2"/>
        <w:sectPr w:rsidR="00BC1D30" w:rsidSect="009F5EA0">
          <w:footerReference w:type="even" r:id="rId25"/>
          <w:footerReference w:type="default" r:id="rId26"/>
          <w:headerReference w:type="first" r:id="rId27"/>
          <w:footerReference w:type="first" r:id="rId28"/>
          <w:pgSz w:w="11906" w:h="16838"/>
          <w:pgMar w:top="993" w:right="1134" w:bottom="993" w:left="1134" w:header="709" w:footer="709" w:gutter="0"/>
          <w:pgNumType w:start="0"/>
          <w:cols w:space="708"/>
          <w:titlePg/>
          <w:docGrid w:linePitch="360"/>
        </w:sectPr>
      </w:pPr>
    </w:p>
    <w:p w14:paraId="03060DAD" w14:textId="22545F9B" w:rsidR="00BC1D30" w:rsidRDefault="00BC1D30" w:rsidP="006F6135">
      <w:pPr>
        <w:pStyle w:val="Heading3"/>
      </w:pPr>
      <w:bookmarkStart w:id="16" w:name="_Toc118967144"/>
      <w:r>
        <w:lastRenderedPageBreak/>
        <w:t xml:space="preserve">Rubric – </w:t>
      </w:r>
      <w:r w:rsidRPr="006666A2">
        <w:t>Toulmi</w:t>
      </w:r>
      <w:r>
        <w:t>n argument</w:t>
      </w:r>
      <w:r w:rsidRPr="006666A2">
        <w:t xml:space="preserve"> model</w:t>
      </w:r>
      <w:bookmarkEnd w:id="16"/>
    </w:p>
    <w:p w14:paraId="1295155F" w14:textId="5039CE98" w:rsidR="002C3D4F" w:rsidRDefault="002C3D4F" w:rsidP="002C3D4F">
      <w:pPr>
        <w:pStyle w:val="Caption"/>
      </w:pPr>
      <w:r>
        <w:t xml:space="preserve">Table </w:t>
      </w:r>
      <w:fldSimple w:instr=" SEQ Table \* ARABIC ">
        <w:r>
          <w:rPr>
            <w:noProof/>
          </w:rPr>
          <w:t>5</w:t>
        </w:r>
      </w:fldSimple>
      <w:r>
        <w:t xml:space="preserve"> – </w:t>
      </w:r>
      <w:r w:rsidRPr="00AE6734">
        <w:t>Rubric – Toulmin argument model</w:t>
      </w:r>
    </w:p>
    <w:tbl>
      <w:tblPr>
        <w:tblStyle w:val="Tableheader"/>
        <w:tblW w:w="5062" w:type="pct"/>
        <w:tblLayout w:type="fixed"/>
        <w:tblLook w:val="04A0" w:firstRow="1" w:lastRow="0" w:firstColumn="1" w:lastColumn="0" w:noHBand="0" w:noVBand="1"/>
        <w:tblDescription w:val="Rubric presented as a 7-column table outlining the Grade, Claim, Grounds, Warrant, Backing, Qualifier and Rebuttal."/>
      </w:tblPr>
      <w:tblGrid>
        <w:gridCol w:w="1416"/>
        <w:gridCol w:w="2221"/>
        <w:gridCol w:w="2221"/>
        <w:gridCol w:w="2221"/>
        <w:gridCol w:w="2221"/>
        <w:gridCol w:w="2221"/>
        <w:gridCol w:w="2220"/>
      </w:tblGrid>
      <w:tr w:rsidR="00403989" w14:paraId="5ABD9238" w14:textId="77777777" w:rsidTr="002C3D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pct"/>
          </w:tcPr>
          <w:p w14:paraId="42A7E811" w14:textId="3FC3ED5F" w:rsidR="00403989" w:rsidRDefault="00403989" w:rsidP="00403989">
            <w:pPr>
              <w:pStyle w:val="ListBullet"/>
              <w:numPr>
                <w:ilvl w:val="0"/>
                <w:numId w:val="0"/>
              </w:numPr>
            </w:pPr>
            <w:r>
              <w:rPr>
                <w:lang w:eastAsia="zh-CN"/>
              </w:rPr>
              <w:t>Grade</w:t>
            </w:r>
          </w:p>
        </w:tc>
        <w:tc>
          <w:tcPr>
            <w:tcW w:w="753" w:type="pct"/>
          </w:tcPr>
          <w:p w14:paraId="3E7EB3A3" w14:textId="5A763964" w:rsidR="00403989" w:rsidRDefault="00403989" w:rsidP="0040398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Pr>
                <w:lang w:eastAsia="zh-CN"/>
              </w:rPr>
              <w:t>Claim</w:t>
            </w:r>
          </w:p>
        </w:tc>
        <w:tc>
          <w:tcPr>
            <w:tcW w:w="753" w:type="pct"/>
          </w:tcPr>
          <w:p w14:paraId="1DBE376E" w14:textId="0484900B" w:rsidR="00403989" w:rsidRDefault="00403989" w:rsidP="0040398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Pr>
                <w:lang w:eastAsia="zh-CN"/>
              </w:rPr>
              <w:t>Grounds</w:t>
            </w:r>
          </w:p>
        </w:tc>
        <w:tc>
          <w:tcPr>
            <w:tcW w:w="753" w:type="pct"/>
          </w:tcPr>
          <w:p w14:paraId="256127D1" w14:textId="6C9699E2" w:rsidR="00403989" w:rsidRDefault="00403989" w:rsidP="0040398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Pr>
                <w:lang w:eastAsia="zh-CN"/>
              </w:rPr>
              <w:t>Warrant</w:t>
            </w:r>
          </w:p>
        </w:tc>
        <w:tc>
          <w:tcPr>
            <w:tcW w:w="753" w:type="pct"/>
          </w:tcPr>
          <w:p w14:paraId="1B4140E3" w14:textId="689A7387" w:rsidR="00403989" w:rsidRDefault="00403989" w:rsidP="0040398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Pr>
                <w:lang w:eastAsia="zh-CN"/>
              </w:rPr>
              <w:t>Backing</w:t>
            </w:r>
          </w:p>
        </w:tc>
        <w:tc>
          <w:tcPr>
            <w:tcW w:w="753" w:type="pct"/>
          </w:tcPr>
          <w:p w14:paraId="316314A4" w14:textId="084EE8C6" w:rsidR="00403989" w:rsidRDefault="00403989" w:rsidP="0040398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Pr>
                <w:lang w:eastAsia="zh-CN"/>
              </w:rPr>
              <w:t>Qualifier</w:t>
            </w:r>
          </w:p>
        </w:tc>
        <w:tc>
          <w:tcPr>
            <w:tcW w:w="753" w:type="pct"/>
          </w:tcPr>
          <w:p w14:paraId="411B98B1" w14:textId="5644A887" w:rsidR="00403989" w:rsidRDefault="00403989" w:rsidP="00403989">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rPr>
                <w:lang w:eastAsia="zh-CN"/>
              </w:rPr>
              <w:t>Rebuttal</w:t>
            </w:r>
          </w:p>
        </w:tc>
      </w:tr>
      <w:tr w:rsidR="00403989" w14:paraId="337EE90A" w14:textId="77777777" w:rsidTr="002C3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pct"/>
          </w:tcPr>
          <w:p w14:paraId="359F58F8" w14:textId="77777777" w:rsidR="00403989" w:rsidRDefault="00403989" w:rsidP="00403989">
            <w:pPr>
              <w:pStyle w:val="ListBullet"/>
              <w:numPr>
                <w:ilvl w:val="0"/>
                <w:numId w:val="0"/>
              </w:numPr>
            </w:pPr>
            <w:r>
              <w:t>A</w:t>
            </w:r>
          </w:p>
        </w:tc>
        <w:tc>
          <w:tcPr>
            <w:tcW w:w="753" w:type="pct"/>
          </w:tcPr>
          <w:p w14:paraId="3D24E7C7" w14:textId="32F4464E"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Makes a well thought out claim that has opportunity for multiple sources of strong evidence</w:t>
            </w:r>
          </w:p>
        </w:tc>
        <w:tc>
          <w:tcPr>
            <w:tcW w:w="753" w:type="pct"/>
          </w:tcPr>
          <w:p w14:paraId="4BDC9449" w14:textId="6039E524"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0708EC">
              <w:t>Gathers sufficient, credible, relevant research</w:t>
            </w:r>
            <w:r>
              <w:t xml:space="preserve"> from a range of sources. Shows how the research presented is credible and evidence based</w:t>
            </w:r>
          </w:p>
        </w:tc>
        <w:tc>
          <w:tcPr>
            <w:tcW w:w="753" w:type="pct"/>
          </w:tcPr>
          <w:p w14:paraId="683189F0" w14:textId="281888DF"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Warrant logically links the evidence to the grounds of the claim and establishes the relevance of the claim for the audience</w:t>
            </w:r>
          </w:p>
        </w:tc>
        <w:tc>
          <w:tcPr>
            <w:tcW w:w="753" w:type="pct"/>
          </w:tcPr>
          <w:p w14:paraId="4F8598B9" w14:textId="504790FA"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 xml:space="preserve">Backing </w:t>
            </w:r>
            <w:proofErr w:type="gramStart"/>
            <w:r>
              <w:rPr>
                <w:lang w:eastAsia="zh-CN"/>
              </w:rPr>
              <w:t>increases</w:t>
            </w:r>
            <w:proofErr w:type="gramEnd"/>
            <w:r>
              <w:rPr>
                <w:lang w:eastAsia="zh-CN"/>
              </w:rPr>
              <w:t xml:space="preserve"> the strength of the warrant</w:t>
            </w:r>
          </w:p>
        </w:tc>
        <w:tc>
          <w:tcPr>
            <w:tcW w:w="753" w:type="pct"/>
          </w:tcPr>
          <w:p w14:paraId="5340D78F" w14:textId="6491A8F9"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Qualifiers support the argument by balancing modality with the strength of the claim</w:t>
            </w:r>
          </w:p>
        </w:tc>
        <w:tc>
          <w:tcPr>
            <w:tcW w:w="753" w:type="pct"/>
          </w:tcPr>
          <w:p w14:paraId="5F2902A7" w14:textId="7A07662F" w:rsidR="00403989" w:rsidRDefault="00403989" w:rsidP="00403989">
            <w:pPr>
              <w:cnfStyle w:val="000000100000" w:firstRow="0" w:lastRow="0" w:firstColumn="0" w:lastColumn="0" w:oddVBand="0" w:evenVBand="0" w:oddHBand="1" w:evenHBand="0" w:firstRowFirstColumn="0" w:firstRowLastColumn="0" w:lastRowFirstColumn="0" w:lastRowLastColumn="0"/>
            </w:pPr>
            <w:r w:rsidRPr="00D16F85">
              <w:t>Gathers sufficient, credible, relevant research opposing of viewpoints.</w:t>
            </w:r>
          </w:p>
          <w:p w14:paraId="799A676E" w14:textId="430C56B6"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Presents the limitations to the argument but uses rebuttal to confirm why the argument is the most relevant conclusion</w:t>
            </w:r>
          </w:p>
        </w:tc>
      </w:tr>
      <w:tr w:rsidR="00403989" w14:paraId="389206C9" w14:textId="77777777" w:rsidTr="002C3D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pct"/>
          </w:tcPr>
          <w:p w14:paraId="26BEE4B3" w14:textId="15AF1DCB" w:rsidR="00403989" w:rsidRDefault="00403989" w:rsidP="00403989">
            <w:pPr>
              <w:pStyle w:val="ListBullet"/>
              <w:numPr>
                <w:ilvl w:val="0"/>
                <w:numId w:val="0"/>
              </w:numPr>
            </w:pPr>
            <w:r>
              <w:rPr>
                <w:lang w:eastAsia="zh-CN"/>
              </w:rPr>
              <w:t>B</w:t>
            </w:r>
          </w:p>
        </w:tc>
        <w:tc>
          <w:tcPr>
            <w:tcW w:w="753" w:type="pct"/>
          </w:tcPr>
          <w:p w14:paraId="0458661F" w14:textId="4B67606E"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t xml:space="preserve">Makes a credible claim that </w:t>
            </w:r>
            <w:proofErr w:type="gramStart"/>
            <w:r>
              <w:rPr>
                <w:lang w:eastAsia="zh-CN"/>
              </w:rPr>
              <w:t>is able to</w:t>
            </w:r>
            <w:proofErr w:type="gramEnd"/>
            <w:r>
              <w:rPr>
                <w:lang w:eastAsia="zh-CN"/>
              </w:rPr>
              <w:t xml:space="preserve"> be backed by evidence</w:t>
            </w:r>
          </w:p>
        </w:tc>
        <w:tc>
          <w:tcPr>
            <w:tcW w:w="753" w:type="pct"/>
          </w:tcPr>
          <w:p w14:paraId="4E52647D" w14:textId="57EB2D68"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0708EC">
              <w:t>Gathers sufficient, credible, relevant research</w:t>
            </w:r>
            <w:r>
              <w:t xml:space="preserve"> from a range of sources</w:t>
            </w:r>
          </w:p>
        </w:tc>
        <w:tc>
          <w:tcPr>
            <w:tcW w:w="753" w:type="pct"/>
          </w:tcPr>
          <w:p w14:paraId="49E5F636" w14:textId="7439D9A0"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t xml:space="preserve">Warrant logically links the evidence to the grounds of the claim and </w:t>
            </w:r>
            <w:r>
              <w:rPr>
                <w:lang w:eastAsia="zh-CN"/>
              </w:rPr>
              <w:lastRenderedPageBreak/>
              <w:t>establishes the relevance of the claim</w:t>
            </w:r>
          </w:p>
        </w:tc>
        <w:tc>
          <w:tcPr>
            <w:tcW w:w="753" w:type="pct"/>
          </w:tcPr>
          <w:p w14:paraId="1623578D" w14:textId="526159F8"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lastRenderedPageBreak/>
              <w:t>Backing supports the warrant</w:t>
            </w:r>
          </w:p>
        </w:tc>
        <w:tc>
          <w:tcPr>
            <w:tcW w:w="753" w:type="pct"/>
          </w:tcPr>
          <w:p w14:paraId="64E27F35" w14:textId="6A5ED013"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t xml:space="preserve">Qualifiers use appropriate modality in terms to remove </w:t>
            </w:r>
            <w:r>
              <w:rPr>
                <w:lang w:eastAsia="zh-CN"/>
              </w:rPr>
              <w:lastRenderedPageBreak/>
              <w:t>absolutes from the argument</w:t>
            </w:r>
            <w:r w:rsidR="000C00D3">
              <w:rPr>
                <w:lang w:eastAsia="zh-CN"/>
              </w:rPr>
              <w:t xml:space="preserve">, for example, </w:t>
            </w:r>
            <w:r w:rsidR="00117A23">
              <w:rPr>
                <w:lang w:eastAsia="zh-CN"/>
              </w:rPr>
              <w:t>‘</w:t>
            </w:r>
            <w:r>
              <w:rPr>
                <w:lang w:eastAsia="zh-CN"/>
              </w:rPr>
              <w:t>most</w:t>
            </w:r>
            <w:r w:rsidR="00117A23">
              <w:rPr>
                <w:lang w:eastAsia="zh-CN"/>
              </w:rPr>
              <w:t>’</w:t>
            </w:r>
            <w:r>
              <w:rPr>
                <w:lang w:eastAsia="zh-CN"/>
              </w:rPr>
              <w:t xml:space="preserve"> instead of </w:t>
            </w:r>
            <w:r w:rsidR="00117A23">
              <w:rPr>
                <w:lang w:eastAsia="zh-CN"/>
              </w:rPr>
              <w:t>‘</w:t>
            </w:r>
            <w:r>
              <w:rPr>
                <w:lang w:eastAsia="zh-CN"/>
              </w:rPr>
              <w:t>all</w:t>
            </w:r>
            <w:r w:rsidR="00117A23">
              <w:rPr>
                <w:lang w:eastAsia="zh-CN"/>
              </w:rPr>
              <w:t>’</w:t>
            </w:r>
          </w:p>
        </w:tc>
        <w:tc>
          <w:tcPr>
            <w:tcW w:w="753" w:type="pct"/>
          </w:tcPr>
          <w:p w14:paraId="6036FCED" w14:textId="7BC55C9A"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D16F85">
              <w:lastRenderedPageBreak/>
              <w:t>Gathers sufficient, credible, relevant research opposing of viewpoints</w:t>
            </w:r>
            <w:r>
              <w:t xml:space="preserve"> and </w:t>
            </w:r>
            <w:r>
              <w:lastRenderedPageBreak/>
              <w:t>uses them to develop the argument</w:t>
            </w:r>
          </w:p>
        </w:tc>
      </w:tr>
      <w:tr w:rsidR="00403989" w14:paraId="2756FC87" w14:textId="77777777" w:rsidTr="002C3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pct"/>
          </w:tcPr>
          <w:p w14:paraId="551B1C11" w14:textId="049B4C4D" w:rsidR="00403989" w:rsidRDefault="00403989" w:rsidP="00403989">
            <w:pPr>
              <w:pStyle w:val="ListBullet"/>
              <w:numPr>
                <w:ilvl w:val="0"/>
                <w:numId w:val="0"/>
              </w:numPr>
            </w:pPr>
            <w:r>
              <w:rPr>
                <w:lang w:eastAsia="zh-CN"/>
              </w:rPr>
              <w:lastRenderedPageBreak/>
              <w:t>C</w:t>
            </w:r>
          </w:p>
        </w:tc>
        <w:tc>
          <w:tcPr>
            <w:tcW w:w="753" w:type="pct"/>
          </w:tcPr>
          <w:p w14:paraId="0C10AA38" w14:textId="5D7E7428"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Makes a claim that is partially able to be backed by evidence</w:t>
            </w:r>
          </w:p>
        </w:tc>
        <w:tc>
          <w:tcPr>
            <w:tcW w:w="753" w:type="pct"/>
          </w:tcPr>
          <w:p w14:paraId="765EEB5A" w14:textId="573B183E"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4D0269">
              <w:t>Gathers sufficient, credible, and relevant research including information from a range of viewpoint</w:t>
            </w:r>
            <w:r w:rsidR="000C00D3">
              <w:t>s</w:t>
            </w:r>
          </w:p>
        </w:tc>
        <w:tc>
          <w:tcPr>
            <w:tcW w:w="753" w:type="pct"/>
          </w:tcPr>
          <w:p w14:paraId="3277C0B3" w14:textId="111DEA14"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Warrant links the evidence to the grounds of the claim</w:t>
            </w:r>
          </w:p>
        </w:tc>
        <w:tc>
          <w:tcPr>
            <w:tcW w:w="753" w:type="pct"/>
          </w:tcPr>
          <w:p w14:paraId="3728672C" w14:textId="43A9B5CA"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Backing links to the warrant</w:t>
            </w:r>
          </w:p>
        </w:tc>
        <w:tc>
          <w:tcPr>
            <w:tcW w:w="753" w:type="pct"/>
          </w:tcPr>
          <w:p w14:paraId="240ADC27" w14:textId="60AFECE2"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Qualifiers are overstated (modality is too high)</w:t>
            </w:r>
          </w:p>
        </w:tc>
        <w:tc>
          <w:tcPr>
            <w:tcW w:w="753" w:type="pct"/>
          </w:tcPr>
          <w:p w14:paraId="4FAC7D7D" w14:textId="341890F7"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Recognises and acknowledges credible points from an opposing view and offers a counterargument</w:t>
            </w:r>
          </w:p>
        </w:tc>
      </w:tr>
      <w:tr w:rsidR="00403989" w14:paraId="0CCEDCB2" w14:textId="77777777" w:rsidTr="002C3D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pct"/>
          </w:tcPr>
          <w:p w14:paraId="4F2291E5" w14:textId="4D61B518" w:rsidR="00403989" w:rsidRDefault="00403989" w:rsidP="00403989">
            <w:pPr>
              <w:pStyle w:val="ListBullet"/>
              <w:numPr>
                <w:ilvl w:val="0"/>
                <w:numId w:val="0"/>
              </w:numPr>
            </w:pPr>
            <w:r>
              <w:rPr>
                <w:lang w:eastAsia="zh-CN"/>
              </w:rPr>
              <w:t>D</w:t>
            </w:r>
          </w:p>
        </w:tc>
        <w:tc>
          <w:tcPr>
            <w:tcW w:w="753" w:type="pct"/>
          </w:tcPr>
          <w:p w14:paraId="7C43E9A3" w14:textId="2D7E17EB"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t>Makes a claim that is difficult to be backed by evidence</w:t>
            </w:r>
          </w:p>
        </w:tc>
        <w:tc>
          <w:tcPr>
            <w:tcW w:w="753" w:type="pct"/>
          </w:tcPr>
          <w:p w14:paraId="5466FE30" w14:textId="59685116"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4D0269">
              <w:t>Some information is gathered</w:t>
            </w:r>
            <w:r>
              <w:t xml:space="preserve"> but the </w:t>
            </w:r>
            <w:r w:rsidRPr="004D0269">
              <w:t>information</w:t>
            </w:r>
            <w:r>
              <w:t xml:space="preserve"> may be basic and leaves a lot of opportunity for the claim to be proved incorrect with </w:t>
            </w:r>
            <w:r>
              <w:lastRenderedPageBreak/>
              <w:t>counterarguments</w:t>
            </w:r>
          </w:p>
        </w:tc>
        <w:tc>
          <w:tcPr>
            <w:tcW w:w="753" w:type="pct"/>
          </w:tcPr>
          <w:p w14:paraId="0E32478A" w14:textId="11FB941C"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lastRenderedPageBreak/>
              <w:t>Warrant has some links with the evidence and the claims</w:t>
            </w:r>
          </w:p>
        </w:tc>
        <w:tc>
          <w:tcPr>
            <w:tcW w:w="753" w:type="pct"/>
          </w:tcPr>
          <w:p w14:paraId="39EF3347" w14:textId="7B6DA4D9"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t>Backing has some link to the warrant</w:t>
            </w:r>
          </w:p>
        </w:tc>
        <w:tc>
          <w:tcPr>
            <w:tcW w:w="753" w:type="pct"/>
          </w:tcPr>
          <w:p w14:paraId="288F02D6" w14:textId="385A1F41"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t>Some statements about the strength of the argument are made</w:t>
            </w:r>
          </w:p>
        </w:tc>
        <w:tc>
          <w:tcPr>
            <w:tcW w:w="753" w:type="pct"/>
          </w:tcPr>
          <w:p w14:paraId="116C8FA1" w14:textId="746DD55B" w:rsidR="00403989" w:rsidRDefault="00403989" w:rsidP="00403989">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Pr>
                <w:lang w:eastAsia="zh-CN"/>
              </w:rPr>
              <w:t xml:space="preserve">Outlines the limitations to </w:t>
            </w:r>
            <w:r w:rsidR="00663036">
              <w:rPr>
                <w:lang w:eastAsia="zh-CN"/>
              </w:rPr>
              <w:t xml:space="preserve">their </w:t>
            </w:r>
            <w:r>
              <w:rPr>
                <w:lang w:eastAsia="zh-CN"/>
              </w:rPr>
              <w:t>own argument</w:t>
            </w:r>
          </w:p>
        </w:tc>
      </w:tr>
      <w:tr w:rsidR="00403989" w14:paraId="7116422F" w14:textId="77777777" w:rsidTr="002C3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 w:type="pct"/>
          </w:tcPr>
          <w:p w14:paraId="76F55DE5" w14:textId="60CEC35F" w:rsidR="00403989" w:rsidRDefault="00403989" w:rsidP="00403989">
            <w:pPr>
              <w:pStyle w:val="ListBullet"/>
              <w:numPr>
                <w:ilvl w:val="0"/>
                <w:numId w:val="0"/>
              </w:numPr>
            </w:pPr>
            <w:r>
              <w:rPr>
                <w:lang w:eastAsia="zh-CN"/>
              </w:rPr>
              <w:t>E</w:t>
            </w:r>
          </w:p>
        </w:tc>
        <w:tc>
          <w:tcPr>
            <w:tcW w:w="753" w:type="pct"/>
          </w:tcPr>
          <w:p w14:paraId="3E20141A" w14:textId="349EEE9C"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Makes a claim that does not relate to the topics for argument</w:t>
            </w:r>
          </w:p>
        </w:tc>
        <w:tc>
          <w:tcPr>
            <w:tcW w:w="753" w:type="pct"/>
          </w:tcPr>
          <w:p w14:paraId="6FAFF14D" w14:textId="160E41D0"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I</w:t>
            </w:r>
            <w:r w:rsidRPr="004D0269">
              <w:t>nsufficient</w:t>
            </w:r>
            <w:r w:rsidR="000C00D3">
              <w:t xml:space="preserve"> or </w:t>
            </w:r>
            <w:r>
              <w:t>confusing information which ignores</w:t>
            </w:r>
            <w:r w:rsidRPr="004D0269">
              <w:t xml:space="preserve"> strong, relevant counterarguments</w:t>
            </w:r>
          </w:p>
        </w:tc>
        <w:tc>
          <w:tcPr>
            <w:tcW w:w="753" w:type="pct"/>
          </w:tcPr>
          <w:p w14:paraId="4BC8F83B" w14:textId="3BFF7BF7"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Warrant has unclear links between the grounds and the claim</w:t>
            </w:r>
          </w:p>
        </w:tc>
        <w:tc>
          <w:tcPr>
            <w:tcW w:w="753" w:type="pct"/>
          </w:tcPr>
          <w:p w14:paraId="77E7C094" w14:textId="53437D6F"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Backing does not link to the warrant</w:t>
            </w:r>
          </w:p>
        </w:tc>
        <w:tc>
          <w:tcPr>
            <w:tcW w:w="753" w:type="pct"/>
          </w:tcPr>
          <w:p w14:paraId="10D3E31B" w14:textId="5F2FE8D5"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A point about the strength of the argument is made</w:t>
            </w:r>
          </w:p>
        </w:tc>
        <w:tc>
          <w:tcPr>
            <w:tcW w:w="753" w:type="pct"/>
          </w:tcPr>
          <w:p w14:paraId="2BBC47AB" w14:textId="4C042798" w:rsidR="00403989" w:rsidRDefault="00403989" w:rsidP="00403989">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Pr>
                <w:lang w:eastAsia="zh-CN"/>
              </w:rPr>
              <w:t>Outlines their own argument only</w:t>
            </w:r>
          </w:p>
        </w:tc>
      </w:tr>
    </w:tbl>
    <w:p w14:paraId="18298226" w14:textId="36459D9D" w:rsidR="00053442" w:rsidRPr="00053442" w:rsidRDefault="00053442" w:rsidP="00C45416">
      <w:pPr>
        <w:pStyle w:val="ListBullet"/>
        <w:numPr>
          <w:ilvl w:val="0"/>
          <w:numId w:val="0"/>
        </w:numPr>
      </w:pPr>
      <w:r>
        <w:br w:type="page"/>
      </w:r>
    </w:p>
    <w:p w14:paraId="6393B4AB" w14:textId="779CCB20" w:rsidR="004C731C" w:rsidRDefault="004C731C" w:rsidP="004C731C">
      <w:pPr>
        <w:pStyle w:val="Heading2"/>
      </w:pPr>
      <w:bookmarkStart w:id="17" w:name="_Toc117252996"/>
      <w:bookmarkStart w:id="18" w:name="_Toc117253185"/>
      <w:bookmarkStart w:id="19" w:name="_Toc118967145"/>
      <w:bookmarkEnd w:id="9"/>
      <w:bookmarkEnd w:id="10"/>
      <w:r>
        <w:lastRenderedPageBreak/>
        <w:t>Additional i</w:t>
      </w:r>
      <w:r w:rsidR="00A12C29">
        <w:t>nformation</w:t>
      </w:r>
      <w:bookmarkEnd w:id="17"/>
      <w:bookmarkEnd w:id="18"/>
      <w:bookmarkEnd w:id="19"/>
    </w:p>
    <w:p w14:paraId="3486E022" w14:textId="2B2741AF" w:rsidR="00C652E9" w:rsidRDefault="00C652E9" w:rsidP="00E73DD6">
      <w:pPr>
        <w:pStyle w:val="Featurepink"/>
      </w:pPr>
      <w:r>
        <w:t xml:space="preserve">Please complete the following </w:t>
      </w:r>
      <w:hyperlink r:id="rId29" w:history="1">
        <w:r w:rsidRPr="00C2134A">
          <w:rPr>
            <w:rStyle w:val="Hyperlink"/>
          </w:rPr>
          <w:t>feedback form</w:t>
        </w:r>
      </w:hyperlink>
      <w:r>
        <w:t xml:space="preserve"> to help us improve our resources and support.</w:t>
      </w:r>
    </w:p>
    <w:p w14:paraId="3551544A" w14:textId="4486E8E2" w:rsidR="004C731C" w:rsidRDefault="00A12C29" w:rsidP="00D60CB8">
      <w:r w:rsidRPr="00A12C29">
        <w:t xml:space="preserve">The information below can be used to support teachers when using this </w:t>
      </w:r>
      <w:r w:rsidR="00C671F4">
        <w:t xml:space="preserve">assessment </w:t>
      </w:r>
      <w:r w:rsidR="000F59E5">
        <w:t>package</w:t>
      </w:r>
      <w:r w:rsidRPr="00A12C29">
        <w:t xml:space="preserve"> for</w:t>
      </w:r>
      <w:r w:rsidR="00137482">
        <w:t xml:space="preserve"> Critical thinking.</w:t>
      </w:r>
    </w:p>
    <w:p w14:paraId="54E9B94B" w14:textId="77777777" w:rsidR="00D308CE" w:rsidRDefault="00D308CE" w:rsidP="00D308CE">
      <w:pPr>
        <w:pStyle w:val="Heading3"/>
      </w:pPr>
      <w:bookmarkStart w:id="20" w:name="_Toc116638021"/>
      <w:bookmarkStart w:id="21" w:name="_Toc118967146"/>
      <w:bookmarkStart w:id="22" w:name="_Toc117252999"/>
      <w:bookmarkStart w:id="23" w:name="_Toc117253188"/>
      <w:r>
        <w:t>Rationale</w:t>
      </w:r>
      <w:bookmarkEnd w:id="20"/>
      <w:bookmarkEnd w:id="21"/>
    </w:p>
    <w:p w14:paraId="257665B7" w14:textId="77777777" w:rsidR="00D308CE" w:rsidRPr="000B1D95" w:rsidRDefault="00D308CE" w:rsidP="00D308CE">
      <w:r w:rsidRPr="000B1D95">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4A28D8E6" w14:textId="77777777" w:rsidR="00D308CE" w:rsidRPr="000B1D95" w:rsidRDefault="00D308CE" w:rsidP="00D308CE">
      <w:r w:rsidRPr="000B1D95">
        <w:t xml:space="preserve">Critical thinking skills include the ability to deconstruct, analyse, </w:t>
      </w:r>
      <w:proofErr w:type="gramStart"/>
      <w:r w:rsidRPr="000B1D95">
        <w:t>synthesise</w:t>
      </w:r>
      <w:proofErr w:type="gramEnd"/>
      <w:r w:rsidRPr="000B1D95">
        <w:t xml:space="preserve"> and reconstruct ideas while emphasising evidence and reasoning. Those skills are part of every toolkit for success in educational and professional arenas.</w:t>
      </w:r>
    </w:p>
    <w:p w14:paraId="1C15CAF8" w14:textId="77777777" w:rsidR="00D308CE" w:rsidRPr="000B1D95" w:rsidRDefault="00D308CE" w:rsidP="00D308CE">
      <w:r w:rsidRPr="000B1D95">
        <w:t>The critical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0B1856A7" w14:textId="77777777" w:rsidR="00D308CE" w:rsidRPr="000B1D95" w:rsidRDefault="00D308CE" w:rsidP="00D308CE">
      <w:r w:rsidRPr="000B1D95">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3FC0EDE1" w14:textId="556EB171" w:rsidR="00D308CE" w:rsidRPr="000B1D95" w:rsidRDefault="00D308CE" w:rsidP="00D308CE">
      <w:r w:rsidRPr="000B1D95">
        <w:lastRenderedPageBreak/>
        <w:t xml:space="preserve">A choice from the available options engages students in various areas of interest to reinforce the skills learnt from the core units. In addition, the options allow students and teachers to delve deeper into specific scenarios of interest. </w:t>
      </w:r>
      <w:r w:rsidR="00E849F4">
        <w:t>Students</w:t>
      </w:r>
      <w:r w:rsidR="00E849F4" w:rsidRPr="000B1D95">
        <w:t xml:space="preserve"> </w:t>
      </w:r>
      <w:r w:rsidRPr="000B1D95">
        <w:t>will be guided to ask probing questions to strengthen their critical thinking skills and challenge their perceptions of the world around them.</w:t>
      </w:r>
    </w:p>
    <w:p w14:paraId="6772A6D4" w14:textId="77777777" w:rsidR="00D308CE" w:rsidRPr="000B1D95" w:rsidRDefault="00D308CE" w:rsidP="00D308CE">
      <w:r w:rsidRPr="000B1D95">
        <w:t>After completing the critical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347707E8" w14:textId="77777777" w:rsidR="00D308CE" w:rsidRDefault="00D308CE" w:rsidP="00D308CE">
      <w:pPr>
        <w:pStyle w:val="Heading3"/>
      </w:pPr>
      <w:bookmarkStart w:id="24" w:name="_Toc116638022"/>
      <w:bookmarkStart w:id="25" w:name="_Toc118967147"/>
      <w:r>
        <w:t>Aim</w:t>
      </w:r>
      <w:bookmarkEnd w:id="24"/>
      <w:bookmarkEnd w:id="25"/>
    </w:p>
    <w:p w14:paraId="5577108B" w14:textId="77777777" w:rsidR="00D308CE" w:rsidRPr="00DC62FC" w:rsidRDefault="00D308CE" w:rsidP="00D308CE">
      <w:r w:rsidRPr="00DC62FC">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4FB5E43C" w14:textId="77777777" w:rsidR="00310B7E" w:rsidRDefault="00310B7E" w:rsidP="00310B7E">
      <w:pPr>
        <w:pStyle w:val="Heading3"/>
      </w:pPr>
      <w:bookmarkStart w:id="26" w:name="_Toc118967148"/>
      <w:r>
        <w:t>Purpose and audience</w:t>
      </w:r>
      <w:bookmarkEnd w:id="22"/>
      <w:bookmarkEnd w:id="23"/>
      <w:bookmarkEnd w:id="26"/>
    </w:p>
    <w:p w14:paraId="25CBF739" w14:textId="49132CD2" w:rsidR="007018BE" w:rsidRDefault="007018BE" w:rsidP="00310B7E">
      <w:r>
        <w:t xml:space="preserve">This assessment package provides a range of assessment strategies and supplementary material that can be used to support student achievement in the task outlined. This resource is for teachers when creating a program of assessment for the </w:t>
      </w:r>
      <w:r w:rsidR="00D308CE">
        <w:t>Critical thinking</w:t>
      </w:r>
      <w:r>
        <w:t xml:space="preserve"> course.</w:t>
      </w:r>
    </w:p>
    <w:p w14:paraId="2B7E59C0" w14:textId="77777777" w:rsidR="00310B7E" w:rsidRDefault="00310B7E" w:rsidP="00310B7E">
      <w:pPr>
        <w:pStyle w:val="Heading3"/>
      </w:pPr>
      <w:bookmarkStart w:id="27" w:name="_Toc117253000"/>
      <w:bookmarkStart w:id="28" w:name="_Toc117253189"/>
      <w:bookmarkStart w:id="29" w:name="_Toc118967149"/>
      <w:r>
        <w:t>When and how to use this document</w:t>
      </w:r>
      <w:bookmarkEnd w:id="27"/>
      <w:bookmarkEnd w:id="28"/>
      <w:bookmarkEnd w:id="29"/>
    </w:p>
    <w:p w14:paraId="2945E35B" w14:textId="666C3C41" w:rsidR="00310B7E" w:rsidRDefault="00310B7E" w:rsidP="004C731C">
      <w:pPr>
        <w:rPr>
          <w:lang w:eastAsia="zh-CN"/>
        </w:rPr>
      </w:pPr>
      <w:r>
        <w:t xml:space="preserve">Use the </w:t>
      </w:r>
      <w:r w:rsidR="003B691F">
        <w:t>assessment package in the context that best supports your school context</w:t>
      </w:r>
      <w:r>
        <w:t>.</w:t>
      </w:r>
    </w:p>
    <w:p w14:paraId="792FF445" w14:textId="77777777" w:rsidR="004C731C" w:rsidRDefault="004C731C" w:rsidP="004C731C">
      <w:pPr>
        <w:pStyle w:val="Heading3"/>
      </w:pPr>
      <w:bookmarkStart w:id="30" w:name="_Toc117253001"/>
      <w:bookmarkStart w:id="31" w:name="_Toc117253190"/>
      <w:bookmarkStart w:id="32" w:name="_Toc118967150"/>
      <w:r>
        <w:t>Assessment for learning</w:t>
      </w:r>
      <w:bookmarkEnd w:id="30"/>
      <w:bookmarkEnd w:id="31"/>
      <w:bookmarkEnd w:id="32"/>
    </w:p>
    <w:p w14:paraId="3FBAEF95" w14:textId="77777777" w:rsidR="004C731C" w:rsidRDefault="00A12C29" w:rsidP="004C731C">
      <w:r w:rsidRPr="00A12C29">
        <w:t>Possible formative assessment strategies that could be included</w:t>
      </w:r>
      <w:r w:rsidR="004C731C">
        <w:t>:</w:t>
      </w:r>
    </w:p>
    <w:p w14:paraId="1AF51FDC" w14:textId="77777777" w:rsidR="004C731C" w:rsidRDefault="004C731C" w:rsidP="004C731C">
      <w:pPr>
        <w:pStyle w:val="ListBullet"/>
        <w:numPr>
          <w:ilvl w:val="0"/>
          <w:numId w:val="2"/>
        </w:numPr>
      </w:pPr>
      <w:r>
        <w:lastRenderedPageBreak/>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30" w:history="1">
        <w:r w:rsidRPr="00A16172">
          <w:rPr>
            <w:rStyle w:val="Hyperlink"/>
          </w:rPr>
          <w:t>Online tools</w:t>
        </w:r>
      </w:hyperlink>
      <w:r>
        <w:t xml:space="preserve"> can assist implementation of this formative assessment strategy.</w:t>
      </w:r>
    </w:p>
    <w:p w14:paraId="48D3E88E" w14:textId="77777777" w:rsidR="004C731C" w:rsidRDefault="00A16172" w:rsidP="004C731C">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31">
        <w:r w:rsidRPr="3A874A9E">
          <w:rPr>
            <w:rStyle w:val="Hyperlink"/>
          </w:rPr>
          <w:t>exit tickets</w:t>
        </w:r>
      </w:hyperlink>
      <w:r>
        <w:t xml:space="preserve">, mini whiteboards (actual or </w:t>
      </w:r>
      <w:hyperlink r:id="rId32">
        <w:r w:rsidRPr="3A874A9E">
          <w:rPr>
            <w:rStyle w:val="Hyperlink"/>
          </w:rPr>
          <w:t>digital</w:t>
        </w:r>
      </w:hyperlink>
      <w:r>
        <w:t xml:space="preserve">), </w:t>
      </w:r>
      <w:hyperlink r:id="rId33">
        <w:r w:rsidRPr="3A874A9E">
          <w:rPr>
            <w:rStyle w:val="Hyperlink"/>
          </w:rPr>
          <w:t>hinge questions</w:t>
        </w:r>
      </w:hyperlink>
      <w:r>
        <w:t xml:space="preserve">, </w:t>
      </w:r>
      <w:hyperlink r:id="rId34" w:history="1">
        <w:r w:rsidR="00BF66F1" w:rsidRPr="00A81EF9">
          <w:rPr>
            <w:rStyle w:val="Hyperlink"/>
          </w:rPr>
          <w:t>Kahoot</w:t>
        </w:r>
      </w:hyperlink>
      <w:r w:rsidR="00BF66F1">
        <w:t xml:space="preserve">, </w:t>
      </w:r>
      <w:hyperlink r:id="rId35" w:history="1">
        <w:r w:rsidR="00BF66F1" w:rsidRPr="00A81EF9">
          <w:rPr>
            <w:rStyle w:val="Hyperlink"/>
          </w:rPr>
          <w:t>Socrative</w:t>
        </w:r>
      </w:hyperlink>
      <w:r>
        <w:t xml:space="preserve">, </w:t>
      </w:r>
      <w:hyperlink r:id="rId36" w:history="1">
        <w:r w:rsidRPr="00A81EF9">
          <w:rPr>
            <w:rStyle w:val="Hyperlink"/>
          </w:rPr>
          <w:t>Quizlet</w:t>
        </w:r>
      </w:hyperlink>
      <w:r>
        <w:t xml:space="preserve"> or quick quizzes to ensure that individual student progress can be monitored and the lesson sequence adjusted based on formative data collected</w:t>
      </w:r>
      <w:r w:rsidR="004C731C">
        <w:t>.</w:t>
      </w:r>
    </w:p>
    <w:p w14:paraId="048D5AD1" w14:textId="77777777" w:rsidR="00BF66F1" w:rsidRDefault="00BF66F1" w:rsidP="00BF66F1">
      <w:pPr>
        <w:pStyle w:val="ListBullet"/>
        <w:numPr>
          <w:ilvl w:val="0"/>
          <w:numId w:val="2"/>
        </w:numPr>
      </w:pPr>
      <w:r>
        <w:t xml:space="preserve">Feedback is designed to close the gap between current and desired performance by informing teacher and student behaviour (AITSL 2017). AITSL provides a </w:t>
      </w:r>
      <w:hyperlink r:id="rId37" w:anchor=":~:text=FEEDBACK-,Factsheet,-A%20quick%20guide" w:history="1">
        <w:r w:rsidRPr="00A16172">
          <w:rPr>
            <w:rStyle w:val="Hyperlink"/>
          </w:rPr>
          <w:t>factsheet to support evidence-based feedback</w:t>
        </w:r>
      </w:hyperlink>
      <w:r>
        <w:t>.</w:t>
      </w:r>
    </w:p>
    <w:p w14:paraId="3DE1C57D" w14:textId="77777777" w:rsidR="00BF66F1" w:rsidRDefault="00000000" w:rsidP="00BF66F1">
      <w:pPr>
        <w:pStyle w:val="ListBullet"/>
        <w:numPr>
          <w:ilvl w:val="0"/>
          <w:numId w:val="2"/>
        </w:numPr>
      </w:pPr>
      <w:hyperlink r:id="rId38" w:history="1">
        <w:r w:rsidR="004C731C" w:rsidRPr="00DA1B0D">
          <w:rPr>
            <w:rStyle w:val="Hyperlink"/>
          </w:rPr>
          <w:t>Peer feedback</w:t>
        </w:r>
      </w:hyperlink>
      <w:r w:rsidR="004C731C">
        <w:t xml:space="preserve"> is a structured process where students evaluate the work of their peers by providing valuable feedback in relation to learning intentions and success criteria. It can be supported by </w:t>
      </w:r>
      <w:hyperlink r:id="rId39" w:history="1">
        <w:r w:rsidR="004C731C" w:rsidRPr="00A16172">
          <w:rPr>
            <w:rStyle w:val="Hyperlink"/>
          </w:rPr>
          <w:t>online tools</w:t>
        </w:r>
      </w:hyperlink>
      <w:r w:rsidR="00BF66F1">
        <w:t>.</w:t>
      </w:r>
    </w:p>
    <w:p w14:paraId="196223C7" w14:textId="77777777" w:rsidR="004C731C" w:rsidRDefault="00A16172" w:rsidP="004C731C">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40">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41">
        <w:r w:rsidRPr="3A874A9E">
          <w:rPr>
            <w:rStyle w:val="Hyperlink"/>
          </w:rPr>
          <w:t>KWLH charts</w:t>
        </w:r>
      </w:hyperlink>
      <w:r>
        <w:t xml:space="preserve">, </w:t>
      </w:r>
      <w:hyperlink r:id="rId42">
        <w:r w:rsidRPr="3A874A9E">
          <w:rPr>
            <w:rStyle w:val="Hyperlink"/>
          </w:rPr>
          <w:t>learning portfolios</w:t>
        </w:r>
      </w:hyperlink>
      <w:r>
        <w:t xml:space="preserve"> and </w:t>
      </w:r>
      <w:hyperlink r:id="rId43">
        <w:r w:rsidRPr="3A874A9E">
          <w:rPr>
            <w:rStyle w:val="Hyperlink"/>
          </w:rPr>
          <w:t>learning logs</w:t>
        </w:r>
      </w:hyperlink>
      <w:r w:rsidR="004C731C">
        <w:t>.</w:t>
      </w:r>
    </w:p>
    <w:p w14:paraId="66C4CB01" w14:textId="77777777" w:rsidR="004C731C" w:rsidRDefault="004C731C" w:rsidP="004C731C">
      <w:pPr>
        <w:pStyle w:val="FeatureBox"/>
      </w:pPr>
      <w:r>
        <w:t>The primary role of assessment is to establish where individuals are in their learning so that teaching can be differentiated and further learning progress can be monitored over time.</w:t>
      </w:r>
    </w:p>
    <w:p w14:paraId="26ACE5B8" w14:textId="77777777" w:rsidR="004C731C" w:rsidRDefault="004C731C" w:rsidP="004C731C">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51F57D17" w14:textId="77777777" w:rsidR="00BF66F1" w:rsidRDefault="00000000" w:rsidP="00BF66F1">
      <w:pPr>
        <w:pStyle w:val="FeatureBox"/>
      </w:pPr>
      <w:hyperlink r:id="rId44" w:history="1">
        <w:r w:rsidR="00BF66F1" w:rsidRPr="00C2134A">
          <w:rPr>
            <w:rStyle w:val="Hyperlink"/>
          </w:rPr>
          <w:t>What works best update 2020</w:t>
        </w:r>
      </w:hyperlink>
      <w:bookmarkStart w:id="33" w:name="_Toc117253002"/>
      <w:bookmarkStart w:id="34" w:name="_Toc117253191"/>
      <w:r w:rsidR="00BF66F1" w:rsidRPr="008D59F5">
        <w:t xml:space="preserve"> (CESE 2020a)</w:t>
      </w:r>
    </w:p>
    <w:p w14:paraId="1960D2D4" w14:textId="77777777" w:rsidR="004C731C" w:rsidRDefault="004C731C" w:rsidP="004C731C">
      <w:pPr>
        <w:pStyle w:val="Heading3"/>
      </w:pPr>
      <w:bookmarkStart w:id="35" w:name="_Toc118967151"/>
      <w:r>
        <w:lastRenderedPageBreak/>
        <w:t>Differentiation</w:t>
      </w:r>
      <w:bookmarkEnd w:id="33"/>
      <w:bookmarkEnd w:id="34"/>
      <w:bookmarkEnd w:id="35"/>
    </w:p>
    <w:p w14:paraId="73ED4661" w14:textId="77777777" w:rsidR="004C731C" w:rsidRDefault="004C731C" w:rsidP="004C731C">
      <w:r>
        <w:t xml:space="preserve">Differentiated learning can be enabled by differentiating the teaching approach to content, process, </w:t>
      </w:r>
      <w:proofErr w:type="gramStart"/>
      <w:r>
        <w:t>product</w:t>
      </w:r>
      <w:proofErr w:type="gramEnd"/>
      <w:r>
        <w:t xml:space="preserve"> and the learning environment. For more information on differentiation go to </w:t>
      </w:r>
      <w:hyperlink r:id="rId45" w:history="1">
        <w:r>
          <w:rPr>
            <w:rStyle w:val="Hyperlink"/>
          </w:rPr>
          <w:t>Differentiating learning</w:t>
        </w:r>
      </w:hyperlink>
      <w:r>
        <w:t xml:space="preserve"> and </w:t>
      </w:r>
      <w:hyperlink r:id="rId46" w:history="1">
        <w:r>
          <w:rPr>
            <w:rStyle w:val="Hyperlink"/>
          </w:rPr>
          <w:t>Differentiation</w:t>
        </w:r>
      </w:hyperlink>
      <w:r>
        <w:t>.</w:t>
      </w:r>
    </w:p>
    <w:p w14:paraId="70B1DE69" w14:textId="77777777" w:rsidR="004C731C" w:rsidRDefault="004C731C" w:rsidP="004C731C">
      <w:r>
        <w:t>When using these resources in the classroom, it is important for teachers to consider the needs of all students in their class, including:</w:t>
      </w:r>
    </w:p>
    <w:p w14:paraId="72AE66FD" w14:textId="77777777" w:rsidR="004C731C" w:rsidRDefault="004C731C" w:rsidP="004C731C">
      <w:pPr>
        <w:pStyle w:val="ListBullet"/>
        <w:numPr>
          <w:ilvl w:val="0"/>
          <w:numId w:val="2"/>
        </w:numPr>
      </w:pPr>
      <w:r w:rsidRPr="00973DAE">
        <w:rPr>
          <w:b/>
          <w:bCs/>
        </w:rPr>
        <w:t>Aboriginal and Torres Strait Islander students</w:t>
      </w:r>
      <w:r>
        <w:t xml:space="preserve">. Targeted </w:t>
      </w:r>
      <w:hyperlink r:id="rId47" w:history="1">
        <w:r w:rsidRPr="00973DAE">
          <w:rPr>
            <w:rStyle w:val="Hyperlink"/>
          </w:rPr>
          <w:t>strategies</w:t>
        </w:r>
      </w:hyperlink>
      <w:r>
        <w:t xml:space="preserve"> can be used to achieve outcomes for Aboriginal students in K-12 and increase knowledge and understanding of Aboriginal histories and culture</w:t>
      </w:r>
      <w:r w:rsidR="003855B8">
        <w:t>s</w:t>
      </w:r>
      <w:r>
        <w:t>. Teachers should utilise students’ Personalised Learning Pathways to support individual student needs and goals.</w:t>
      </w:r>
    </w:p>
    <w:p w14:paraId="27B1FA10" w14:textId="77777777" w:rsidR="004C731C" w:rsidRDefault="004C731C" w:rsidP="004C731C">
      <w:pPr>
        <w:pStyle w:val="ListBullet"/>
        <w:numPr>
          <w:ilvl w:val="0"/>
          <w:numId w:val="2"/>
        </w:numPr>
      </w:pPr>
      <w:r w:rsidRPr="00973DAE">
        <w:rPr>
          <w:b/>
          <w:bCs/>
        </w:rPr>
        <w:t>EAL/D learners</w:t>
      </w:r>
      <w:r>
        <w:t xml:space="preserve">. EAL/D learners will require explicit English language support and scaffolding, informed by the </w:t>
      </w:r>
      <w:hyperlink r:id="rId48" w:history="1">
        <w:r w:rsidRPr="00973DAE">
          <w:rPr>
            <w:rStyle w:val="Hyperlink"/>
          </w:rPr>
          <w:t>EAL/D enhanced teaching and learning cycle</w:t>
        </w:r>
      </w:hyperlink>
      <w:r>
        <w:t xml:space="preserve"> and the student’s phase on the </w:t>
      </w:r>
      <w:hyperlink r:id="rId49" w:history="1">
        <w:r w:rsidRPr="00973DAE">
          <w:rPr>
            <w:rStyle w:val="Hyperlink"/>
          </w:rPr>
          <w:t>EAL/D Learning Progression</w:t>
        </w:r>
      </w:hyperlink>
      <w:r>
        <w:t xml:space="preserve">. In addition, teachers can access information about </w:t>
      </w:r>
      <w:hyperlink r:id="rId50" w:history="1">
        <w:r w:rsidRPr="00973DAE">
          <w:rPr>
            <w:rStyle w:val="Hyperlink"/>
          </w:rPr>
          <w:t>supporting EAL/D learners</w:t>
        </w:r>
      </w:hyperlink>
      <w:r>
        <w:t xml:space="preserve"> and </w:t>
      </w:r>
      <w:hyperlink r:id="rId51" w:history="1">
        <w:r w:rsidR="00BF66F1" w:rsidRPr="00973DAE">
          <w:rPr>
            <w:rStyle w:val="Hyperlink"/>
          </w:rPr>
          <w:t>literacy and numeracy support specific to EAL/D learners</w:t>
        </w:r>
      </w:hyperlink>
      <w:r w:rsidR="00BF66F1">
        <w:t>.</w:t>
      </w:r>
    </w:p>
    <w:p w14:paraId="71D2FEEB" w14:textId="77777777" w:rsidR="00BF66F1" w:rsidRDefault="004C731C" w:rsidP="00BF66F1">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52" w:history="1">
        <w:r w:rsidRPr="00973DAE">
          <w:rPr>
            <w:rStyle w:val="Hyperlink"/>
          </w:rPr>
          <w:t>adjustments</w:t>
        </w:r>
      </w:hyperlink>
      <w:r>
        <w:t xml:space="preserve"> to ensure a personalised approach to student learning. In addition, the </w:t>
      </w:r>
      <w:hyperlink r:id="rId53" w:history="1">
        <w:r w:rsidR="00BF66F1" w:rsidRPr="00C03F0A">
          <w:rPr>
            <w:rStyle w:val="Hyperlink"/>
          </w:rPr>
          <w:t xml:space="preserve">Universal Design for Learning </w:t>
        </w:r>
        <w:r w:rsidR="00BF66F1">
          <w:rPr>
            <w:rStyle w:val="Hyperlink"/>
          </w:rPr>
          <w:t>planning t</w:t>
        </w:r>
        <w:r w:rsidR="00BF66F1" w:rsidRPr="00C03F0A">
          <w:rPr>
            <w:rStyle w:val="Hyperlink"/>
          </w:rPr>
          <w:t>ool</w:t>
        </w:r>
      </w:hyperlink>
      <w:r w:rsidR="00BF66F1">
        <w:t xml:space="preserve"> can be used to support the diverse learning needs of students using inclusive teaching and learning strategies. Subject specific curriculum considerations can be found on the </w:t>
      </w:r>
      <w:hyperlink r:id="rId54" w:history="1">
        <w:r w:rsidR="00BF66F1" w:rsidRPr="00C03F0A">
          <w:rPr>
            <w:rStyle w:val="Hyperlink"/>
          </w:rPr>
          <w:t>Inclusive Practice hub</w:t>
        </w:r>
      </w:hyperlink>
      <w:r w:rsidR="00BF66F1">
        <w:t>.</w:t>
      </w:r>
    </w:p>
    <w:p w14:paraId="468A65AC" w14:textId="77777777" w:rsidR="00BF66F1" w:rsidRDefault="00BF66F1" w:rsidP="00BF66F1">
      <w:pPr>
        <w:pStyle w:val="ListBullet"/>
        <w:numPr>
          <w:ilvl w:val="0"/>
          <w:numId w:val="2"/>
        </w:numPr>
      </w:pPr>
      <w:r w:rsidRPr="00973DAE">
        <w:rPr>
          <w:b/>
          <w:bCs/>
        </w:rPr>
        <w:t>High potential and gifted learners</w:t>
      </w:r>
      <w:r>
        <w:t xml:space="preserve">. </w:t>
      </w:r>
      <w:hyperlink r:id="rId55"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56"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57" w:history="1">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58">
        <w:r w:rsidRPr="6667E0D0">
          <w:rPr>
            <w:rStyle w:val="Hyperlink"/>
          </w:rPr>
          <w:t xml:space="preserve">High Potential and Gifted </w:t>
        </w:r>
        <w:r w:rsidRPr="6667E0D0">
          <w:rPr>
            <w:rStyle w:val="Hyperlink"/>
          </w:rPr>
          <w:lastRenderedPageBreak/>
          <w:t>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7C1B44D5" w14:textId="77777777" w:rsidR="00BF66F1" w:rsidRDefault="00BF66F1" w:rsidP="00BF66F1">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404ECF4E" w14:textId="77777777" w:rsidR="004C731C" w:rsidRDefault="004C731C" w:rsidP="00A12C29">
      <w:pPr>
        <w:pStyle w:val="Heading3"/>
      </w:pPr>
      <w:bookmarkStart w:id="36" w:name="_Toc117253003"/>
      <w:bookmarkStart w:id="37" w:name="_Toc117253192"/>
      <w:bookmarkStart w:id="38" w:name="_Toc118967152"/>
      <w:r>
        <w:t>About this resource</w:t>
      </w:r>
      <w:bookmarkEnd w:id="36"/>
      <w:bookmarkEnd w:id="37"/>
      <w:bookmarkEnd w:id="38"/>
    </w:p>
    <w:p w14:paraId="2A73BB61" w14:textId="173888F3" w:rsidR="004C731C" w:rsidRDefault="004C731C" w:rsidP="004C731C">
      <w:r>
        <w:t xml:space="preserve">All 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contact the Teaching and Learning Curriculum team by emailing </w:t>
      </w:r>
      <w:hyperlink r:id="rId59" w:history="1">
        <w:r w:rsidRPr="000E35AF">
          <w:rPr>
            <w:rStyle w:val="Hyperlink"/>
          </w:rPr>
          <w:t>secondaryteachingandlearning@det.nsw.edu.au</w:t>
        </w:r>
      </w:hyperlink>
      <w:r>
        <w:t>.</w:t>
      </w:r>
    </w:p>
    <w:p w14:paraId="34E83C20" w14:textId="21A40DDE" w:rsidR="004C731C" w:rsidRDefault="004C731C" w:rsidP="004C731C">
      <w:r w:rsidRPr="00C2134A">
        <w:rPr>
          <w:b/>
          <w:bCs/>
        </w:rPr>
        <w:t>Alignment to system priorities and/or needs</w:t>
      </w:r>
      <w:r w:rsidDel="00AC5BFD">
        <w:rPr>
          <w:b/>
        </w:rPr>
        <w:t>:</w:t>
      </w:r>
    </w:p>
    <w:p w14:paraId="4C5760D4" w14:textId="77777777" w:rsidR="004C731C" w:rsidRDefault="004C731C" w:rsidP="004C731C">
      <w:r>
        <w:t>This resource aligns to the School Excellence Framework elements of curriculum (curriculum provision) and effective classroom practice (lesson planning, explicit teaching).</w:t>
      </w:r>
    </w:p>
    <w:p w14:paraId="4F2A909D" w14:textId="1B300DC1" w:rsidR="004C731C" w:rsidRDefault="004C731C" w:rsidP="004C731C">
      <w:r>
        <w:t xml:space="preserve">This resource supports teachers to address </w:t>
      </w:r>
      <w:hyperlink r:id="rId60" w:history="1">
        <w:r w:rsidRPr="00C62A8C">
          <w:rPr>
            <w:rStyle w:val="Hyperlink"/>
          </w:rPr>
          <w:t>Australian Professional Teaching Standards</w:t>
        </w:r>
      </w:hyperlink>
      <w:r>
        <w:t xml:space="preserve"> </w:t>
      </w:r>
      <w:r w:rsidR="009D1FAD">
        <w:t>5.1.2, 5.5.2</w:t>
      </w:r>
      <w:r w:rsidR="001A16BA">
        <w:t>.</w:t>
      </w:r>
    </w:p>
    <w:p w14:paraId="2EFAAA95" w14:textId="710A688B" w:rsidR="004C731C" w:rsidRDefault="004C731C" w:rsidP="004C731C">
      <w:r>
        <w:t>This resource has been designed to support schools with successful implementation of new curriculum, specifically the NSW Department of Education approved elective course,</w:t>
      </w:r>
      <w:r w:rsidR="00406C6A">
        <w:t xml:space="preserve"> </w:t>
      </w:r>
      <w:hyperlink r:id="rId61" w:anchor="/asset2" w:history="1">
        <w:r w:rsidR="00D308CE" w:rsidRPr="00C62A8C">
          <w:rPr>
            <w:rStyle w:val="Hyperlink"/>
          </w:rPr>
          <w:t>Critical thinking</w:t>
        </w:r>
      </w:hyperlink>
      <w:r w:rsidRPr="00406C6A">
        <w:t xml:space="preserve"> © 2021 NSW Department</w:t>
      </w:r>
      <w:r>
        <w:t xml:space="preserve"> of Education for and on behalf of the Crown in right of the State of New South Wales.</w:t>
      </w:r>
    </w:p>
    <w:p w14:paraId="616EDDE9"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5440DEE" w14:textId="70654C46" w:rsidR="004C731C" w:rsidRDefault="004C731C" w:rsidP="004C731C">
      <w:r w:rsidRPr="00CE344E">
        <w:rPr>
          <w:b/>
          <w:bCs/>
        </w:rPr>
        <w:lastRenderedPageBreak/>
        <w:t>Department approved elective course</w:t>
      </w:r>
      <w:r w:rsidRPr="00CE344E">
        <w:t>:</w:t>
      </w:r>
      <w:r w:rsidR="00D308CE">
        <w:t xml:space="preserve"> Critical thinking</w:t>
      </w:r>
    </w:p>
    <w:p w14:paraId="4ED75EF1" w14:textId="1183394B" w:rsidR="004C731C" w:rsidRPr="00706193" w:rsidRDefault="004C731C" w:rsidP="00706193">
      <w:r w:rsidRPr="00CE344E">
        <w:rPr>
          <w:b/>
          <w:bCs/>
        </w:rPr>
        <w:t>Course outcomes</w:t>
      </w:r>
      <w:r w:rsidRPr="00CE344E">
        <w:t xml:space="preserve">: </w:t>
      </w:r>
      <w:r w:rsidR="00706193" w:rsidRPr="00706193">
        <w:t>CT5-3, CT5-5</w:t>
      </w:r>
    </w:p>
    <w:p w14:paraId="37622A94" w14:textId="77777777" w:rsidR="004C731C" w:rsidRDefault="004C731C" w:rsidP="004C731C">
      <w:r w:rsidRPr="00C2134A">
        <w:rPr>
          <w:b/>
          <w:bCs/>
        </w:rPr>
        <w:t>Author</w:t>
      </w:r>
      <w:r>
        <w:t>: Curriculum Secondary Learners</w:t>
      </w:r>
    </w:p>
    <w:p w14:paraId="4C08403D" w14:textId="77777777" w:rsidR="004C731C" w:rsidRDefault="004C731C" w:rsidP="004C731C">
      <w:r w:rsidRPr="00C2134A">
        <w:rPr>
          <w:b/>
          <w:bCs/>
        </w:rPr>
        <w:t>Publisher</w:t>
      </w:r>
      <w:r>
        <w:t>: State of NSW, Department of Education</w:t>
      </w:r>
    </w:p>
    <w:p w14:paraId="73954125" w14:textId="77777777" w:rsidR="004C731C" w:rsidRDefault="004C731C" w:rsidP="004C731C">
      <w:r w:rsidRPr="00C2134A">
        <w:rPr>
          <w:b/>
          <w:bCs/>
        </w:rPr>
        <w:t>Resource</w:t>
      </w:r>
      <w:r>
        <w:t xml:space="preserve">: </w:t>
      </w:r>
      <w:r w:rsidR="00A12C29">
        <w:t>Teaching resource</w:t>
      </w:r>
    </w:p>
    <w:p w14:paraId="3FF1123E" w14:textId="23712229" w:rsidR="004C731C" w:rsidRDefault="004C731C" w:rsidP="004C731C">
      <w:r w:rsidRPr="00C2134A">
        <w:rPr>
          <w:b/>
          <w:bCs/>
        </w:rPr>
        <w:t>Related resources</w:t>
      </w:r>
      <w:r>
        <w:t xml:space="preserve">: </w:t>
      </w:r>
      <w:r w:rsidRPr="00406C6A">
        <w:t xml:space="preserve">Further resources to support </w:t>
      </w:r>
      <w:r w:rsidR="008D05D4" w:rsidDel="00A31952">
        <w:t xml:space="preserve">Critical </w:t>
      </w:r>
      <w:r w:rsidR="008D05D4">
        <w:t>thinking</w:t>
      </w:r>
      <w:r w:rsidRPr="00406C6A">
        <w:t xml:space="preserve"> can be found on the Department approved elective courses webpage including course document, sample scope and sequences, assessment materials and other learning sequences.</w:t>
      </w:r>
    </w:p>
    <w:p w14:paraId="1E559A49" w14:textId="77777777" w:rsidR="004C731C" w:rsidRDefault="004C731C" w:rsidP="004C731C">
      <w:r w:rsidRPr="00C2134A">
        <w:rPr>
          <w:b/>
          <w:bCs/>
        </w:rPr>
        <w:t>Professional Learning</w:t>
      </w:r>
      <w:r>
        <w:t xml:space="preserve">: Join the </w:t>
      </w:r>
      <w:hyperlink r:id="rId62" w:history="1">
        <w:r w:rsidRPr="00C2134A">
          <w:rPr>
            <w:rStyle w:val="Hyperlink"/>
          </w:rPr>
          <w:t>Teaching and Learning 7-12 statewide staffroom</w:t>
        </w:r>
      </w:hyperlink>
      <w:r>
        <w:t xml:space="preserve"> for information regarding professional learning opportunities.</w:t>
      </w:r>
    </w:p>
    <w:p w14:paraId="6C0D4292" w14:textId="77777777" w:rsidR="004C731C" w:rsidRDefault="00BF66F1" w:rsidP="004C731C">
      <w:r w:rsidRPr="00C2134A">
        <w:rPr>
          <w:b/>
          <w:bCs/>
        </w:rPr>
        <w:t>Universal Design for Learning Tool</w:t>
      </w:r>
      <w:r>
        <w:t xml:space="preserve">: </w:t>
      </w:r>
      <w:hyperlink r:id="rId63" w:history="1">
        <w:r w:rsidR="004C731C" w:rsidRPr="00C2134A">
          <w:rPr>
            <w:rStyle w:val="Hyperlink"/>
          </w:rPr>
          <w:t>Universal Design for Learning planning tool</w:t>
        </w:r>
      </w:hyperlink>
      <w:r w:rsidR="004C731C">
        <w:t>. Support the diverse learning needs of students using inclusive teaching and learning strategies.</w:t>
      </w:r>
    </w:p>
    <w:p w14:paraId="5F814232" w14:textId="722686F5" w:rsidR="004C731C" w:rsidRDefault="004C731C" w:rsidP="004C731C">
      <w:r w:rsidRPr="00406C6A">
        <w:rPr>
          <w:b/>
          <w:bCs/>
        </w:rPr>
        <w:t>Consulted with</w:t>
      </w:r>
      <w:r w:rsidRPr="00406C6A">
        <w:t xml:space="preserve">: </w:t>
      </w:r>
      <w:r w:rsidR="008D05D4" w:rsidRPr="0026417A">
        <w:t xml:space="preserve">Aboriginal Outcomes and Partnerships, Inclusion and Wellbeing, EAL/D, </w:t>
      </w:r>
      <w:r w:rsidR="008D05D4">
        <w:t>and Warrawong High School</w:t>
      </w:r>
      <w:r w:rsidR="00A31952">
        <w:t>.</w:t>
      </w:r>
    </w:p>
    <w:p w14:paraId="7CD55512"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1F2D9CBC" w14:textId="6C08B377" w:rsidR="004C731C" w:rsidRDefault="004C731C" w:rsidP="004C731C">
      <w:r w:rsidRPr="00C2134A">
        <w:rPr>
          <w:b/>
          <w:bCs/>
        </w:rPr>
        <w:t>Creation date</w:t>
      </w:r>
      <w:r>
        <w:t xml:space="preserve">: </w:t>
      </w:r>
      <w:r w:rsidR="00406C6A">
        <w:t>21 October 2022</w:t>
      </w:r>
    </w:p>
    <w:p w14:paraId="33E2A241" w14:textId="77777777" w:rsidR="004C731C" w:rsidRDefault="004C731C" w:rsidP="004C731C">
      <w:r w:rsidRPr="00C2134A">
        <w:rPr>
          <w:b/>
          <w:bCs/>
        </w:rPr>
        <w:t>Rights</w:t>
      </w:r>
      <w:r>
        <w:t>: © State of New South Wales, Department of Education</w:t>
      </w:r>
    </w:p>
    <w:p w14:paraId="187755CE" w14:textId="143A5875" w:rsidR="004C731C" w:rsidRDefault="004C731C" w:rsidP="004C731C">
      <w:r w:rsidRPr="00C2134A">
        <w:rPr>
          <w:b/>
          <w:bCs/>
        </w:rPr>
        <w:t xml:space="preserve">Evidence </w:t>
      </w:r>
      <w:r w:rsidR="00A31952">
        <w:rPr>
          <w:b/>
          <w:bCs/>
        </w:rPr>
        <w:t>b</w:t>
      </w:r>
      <w:r w:rsidRPr="00C2134A">
        <w:rPr>
          <w:b/>
          <w:bCs/>
        </w:rPr>
        <w:t>ase</w:t>
      </w:r>
      <w:r w:rsidDel="00AC5BFD">
        <w:t>:</w:t>
      </w:r>
    </w:p>
    <w:p w14:paraId="35239089" w14:textId="03B41A79" w:rsidR="00A423D3" w:rsidRDefault="00A423D3" w:rsidP="00A423D3">
      <w:r>
        <w:lastRenderedPageBreak/>
        <w:t xml:space="preserve">The range of assessment strategies outlined in the advice encourages </w:t>
      </w:r>
      <w:r w:rsidR="00200536">
        <w:t>‘</w:t>
      </w:r>
      <w:r>
        <w:t>a variety of assessment methods each lesson to check for students’ understanding and inform what should be taught next</w:t>
      </w:r>
      <w:r w:rsidR="00200536">
        <w:t>’</w:t>
      </w:r>
      <w:r>
        <w:t>. (CESE 2020</w:t>
      </w:r>
      <w:r w:rsidR="00271BD6">
        <w:t>a</w:t>
      </w:r>
      <w:r w:rsidR="00BF66F1">
        <w:t>:</w:t>
      </w:r>
      <w:r>
        <w:t>22). The assessment strategies outlined are student-</w:t>
      </w:r>
      <w:r w:rsidR="00271BD6">
        <w:t>centred</w:t>
      </w:r>
      <w:r>
        <w:t xml:space="preserve">, providing </w:t>
      </w:r>
      <w:r w:rsidR="00200536">
        <w:t>‘</w:t>
      </w:r>
      <w:r>
        <w:t>students with opportunities to reflect on their progress to inform future learning goals</w:t>
      </w:r>
      <w:r w:rsidR="00200536">
        <w:t xml:space="preserve">’ </w:t>
      </w:r>
      <w:r>
        <w:t>(CESE 2020</w:t>
      </w:r>
      <w:r w:rsidR="00200536">
        <w:t>a</w:t>
      </w:r>
      <w:r w:rsidR="00BF66F1">
        <w:t>:</w:t>
      </w:r>
      <w:r>
        <w:t>22).</w:t>
      </w:r>
    </w:p>
    <w:p w14:paraId="52C1780B" w14:textId="4240F7CF" w:rsidR="00A423D3" w:rsidRDefault="00A423D3" w:rsidP="00BB7394">
      <w:r>
        <w:t>The assessment advice complies with NESA’s assessment advice, outlined on</w:t>
      </w:r>
      <w:r w:rsidR="00BB7394">
        <w:t xml:space="preserve"> </w:t>
      </w:r>
      <w:r>
        <w:t>NESA’s ACE website, NESA official notices and department memorandums</w:t>
      </w:r>
      <w:r w:rsidR="00BF66F1">
        <w:t>.</w:t>
      </w:r>
      <w:r w:rsidR="00BB7394">
        <w:t xml:space="preserve"> </w:t>
      </w:r>
      <w:r w:rsidR="00BF66F1">
        <w:t>T</w:t>
      </w:r>
      <w:r w:rsidR="00BB7394">
        <w:t>hey:</w:t>
      </w:r>
    </w:p>
    <w:p w14:paraId="63272B3D" w14:textId="77777777" w:rsidR="00A423D3" w:rsidRDefault="00A423D3" w:rsidP="00247EBA">
      <w:pPr>
        <w:pStyle w:val="ListBullet"/>
      </w:pPr>
      <w:r>
        <w:t>include statements of school procedures for allocating grades in Year 10</w:t>
      </w:r>
    </w:p>
    <w:p w14:paraId="70B2BCEA" w14:textId="2F6842DD" w:rsidR="00A423D3" w:rsidRDefault="00A423D3" w:rsidP="00247EBA">
      <w:pPr>
        <w:pStyle w:val="ListBullet"/>
      </w:pPr>
      <w:r>
        <w:t xml:space="preserve">set out requirements to retain student work samples to support grade allocation as required by NESA for the </w:t>
      </w:r>
      <w:proofErr w:type="spellStart"/>
      <w:r>
        <w:t>RoSA</w:t>
      </w:r>
      <w:proofErr w:type="spellEnd"/>
      <w:r>
        <w:t xml:space="preserve"> (NESA 2006).</w:t>
      </w:r>
    </w:p>
    <w:p w14:paraId="14066395" w14:textId="7A074A46" w:rsidR="004C731C" w:rsidRPr="004C731C" w:rsidRDefault="00A423D3" w:rsidP="00A423D3">
      <w:r>
        <w:t xml:space="preserve">The assessment strategies outlined provide teachers </w:t>
      </w:r>
      <w:r w:rsidR="00702B13">
        <w:t xml:space="preserve">with </w:t>
      </w:r>
      <w:r>
        <w:t xml:space="preserve">important information about whether students learned what </w:t>
      </w:r>
      <w:r w:rsidR="00702B13">
        <w:t xml:space="preserve">was </w:t>
      </w:r>
      <w:r>
        <w:t xml:space="preserve">intended. Wiliam (2013) claims </w:t>
      </w:r>
      <w:r w:rsidR="001A16BA">
        <w:t>‘</w:t>
      </w:r>
      <w:r>
        <w:t xml:space="preserve">the term formative should apply not to the assessment but to the function that the evidence generated by the assessment actually </w:t>
      </w:r>
      <w:proofErr w:type="gramStart"/>
      <w:r>
        <w:t>serve</w:t>
      </w:r>
      <w:r w:rsidR="00702B13">
        <w:t>s</w:t>
      </w:r>
      <w:r w:rsidR="001A16BA">
        <w:t>’</w:t>
      </w:r>
      <w:proofErr w:type="gramEnd"/>
      <w:r w:rsidR="001A16BA">
        <w:t>.</w:t>
      </w:r>
      <w:r w:rsidR="004C731C">
        <w:br w:type="page"/>
      </w:r>
    </w:p>
    <w:p w14:paraId="5427074C" w14:textId="7A53C8BA" w:rsidR="00A1057C" w:rsidRDefault="00A1057C" w:rsidP="00A1057C">
      <w:pPr>
        <w:pStyle w:val="Heading2"/>
      </w:pPr>
      <w:bookmarkStart w:id="39" w:name="_Toc117253004"/>
      <w:bookmarkStart w:id="40" w:name="_Toc117253193"/>
      <w:bookmarkStart w:id="41" w:name="_Toc118967153"/>
      <w:r>
        <w:lastRenderedPageBreak/>
        <w:t>References</w:t>
      </w:r>
      <w:bookmarkEnd w:id="0"/>
      <w:bookmarkEnd w:id="1"/>
      <w:bookmarkEnd w:id="39"/>
      <w:bookmarkEnd w:id="40"/>
      <w:bookmarkEnd w:id="41"/>
    </w:p>
    <w:p w14:paraId="784FC2FA" w14:textId="77777777" w:rsidR="00A1057C" w:rsidRPr="00A1057C" w:rsidRDefault="00A1057C" w:rsidP="00A1057C">
      <w:pPr>
        <w:pStyle w:val="FeatureBox2"/>
        <w:rPr>
          <w:rStyle w:val="Strong"/>
        </w:rPr>
      </w:pPr>
      <w:r w:rsidRPr="00A1057C">
        <w:rPr>
          <w:rStyle w:val="Strong"/>
        </w:rPr>
        <w:t>Links to third-party material and websites</w:t>
      </w:r>
    </w:p>
    <w:p w14:paraId="26F7DEE4" w14:textId="7B487869"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w:t>
      </w:r>
    </w:p>
    <w:p w14:paraId="0E2EA43A" w14:textId="77777777" w:rsidR="00A1057C" w:rsidRDefault="00A1057C" w:rsidP="00A1057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w:t>
      </w:r>
      <w:r w:rsidRPr="00F006F8">
        <w:rPr>
          <w:i/>
        </w:rPr>
        <w:t>Copyright Act 1968</w:t>
      </w:r>
      <w:r>
        <w:t xml:space="preserve"> (Cth). The department accepts no responsibility for content on third-party websites.</w:t>
      </w:r>
    </w:p>
    <w:p w14:paraId="2E5EFEEB" w14:textId="77777777" w:rsidR="00A1057C" w:rsidRDefault="00A1057C" w:rsidP="00A1057C">
      <w:r>
        <w:t xml:space="preserve">All material </w:t>
      </w:r>
      <w:hyperlink r:id="rId64" w:history="1">
        <w:r w:rsidRPr="00417F01">
          <w:rPr>
            <w:rStyle w:val="Hyperlink"/>
          </w:rPr>
          <w:t>© State of New South Wales (Department of Education), 2021</w:t>
        </w:r>
      </w:hyperlink>
      <w:r>
        <w:t xml:space="preserve"> unless otherwise indicated. All other material used by permission or under licence.</w:t>
      </w:r>
    </w:p>
    <w:p w14:paraId="6F770D75" w14:textId="69FD60A3" w:rsidR="00E849F4" w:rsidRDefault="00BF66F1" w:rsidP="008D774B">
      <w:r w:rsidRPr="006B34BA">
        <w:t>AITSL (</w:t>
      </w:r>
      <w:r w:rsidR="00E849F4">
        <w:t xml:space="preserve">Australian Institute for </w:t>
      </w:r>
      <w:r w:rsidR="005F5EDE">
        <w:t>Teaching and School Leadership (</w:t>
      </w:r>
      <w:r w:rsidRPr="006B34BA">
        <w:t>2017) ‘</w:t>
      </w:r>
      <w:hyperlink r:id="rId65" w:anchor=":~:text=FEEDBACK-,Factsheet,-A%20quick%20guide" w:history="1">
        <w:r w:rsidR="005F5EDE" w:rsidRPr="005F5EDE">
          <w:rPr>
            <w:rStyle w:val="Hyperlink"/>
          </w:rPr>
          <w:t xml:space="preserve">Feedback </w:t>
        </w:r>
        <w:r w:rsidRPr="00AD7703">
          <w:rPr>
            <w:rStyle w:val="Hyperlink"/>
          </w:rPr>
          <w:t>Factsheet</w:t>
        </w:r>
      </w:hyperlink>
      <w:r w:rsidRPr="006B34BA">
        <w:t>’,</w:t>
      </w:r>
      <w:r w:rsidR="005F5EDE">
        <w:t xml:space="preserve"> AITSL, accessed </w:t>
      </w:r>
      <w:r w:rsidR="00941E4F" w:rsidRPr="00941E4F">
        <w:t xml:space="preserve">10 November </w:t>
      </w:r>
      <w:r w:rsidR="005F5EDE">
        <w:t>2022.</w:t>
      </w:r>
    </w:p>
    <w:p w14:paraId="29DA0331" w14:textId="6B17146A" w:rsidR="008E7AC0" w:rsidRDefault="008E7AC0" w:rsidP="008D774B">
      <w:r>
        <w:t xml:space="preserve">Banchi H and Bell R (2008) ‘The many levels of inquiry: Inquiry comes in many forms’, </w:t>
      </w:r>
      <w:r w:rsidRPr="003F66DD">
        <w:rPr>
          <w:i/>
          <w:iCs/>
        </w:rPr>
        <w:t>Science and Children</w:t>
      </w:r>
      <w:r>
        <w:t>, 46(2):26-29</w:t>
      </w:r>
      <w:r w:rsidR="001A16BA">
        <w:t>.</w:t>
      </w:r>
    </w:p>
    <w:p w14:paraId="0DC2EB0E" w14:textId="025457D9" w:rsidR="005328F0" w:rsidRDefault="005328F0" w:rsidP="005328F0">
      <w:proofErr w:type="spellStart"/>
      <w:r>
        <w:t>Hmelo</w:t>
      </w:r>
      <w:proofErr w:type="spellEnd"/>
      <w:r>
        <w:t xml:space="preserve">-Silver CE, Duncan, </w:t>
      </w:r>
      <w:proofErr w:type="gramStart"/>
      <w:r>
        <w:t>RG</w:t>
      </w:r>
      <w:proofErr w:type="gramEnd"/>
      <w:r>
        <w:t xml:space="preserve"> and Chinn CA (2007) ‘Scaffolding and achievement in problem-based and inquiry learning: A response to Kirschner, Sweller, and Clark (2006)’, </w:t>
      </w:r>
      <w:r w:rsidRPr="003F66DD">
        <w:rPr>
          <w:i/>
          <w:iCs/>
        </w:rPr>
        <w:t>Educational Psychologist</w:t>
      </w:r>
      <w:r>
        <w:t>, 42(2):99-107</w:t>
      </w:r>
      <w:r w:rsidR="001A16BA">
        <w:t>.</w:t>
      </w:r>
    </w:p>
    <w:p w14:paraId="09C0341B" w14:textId="5440A3D5" w:rsidR="005328F0" w:rsidRDefault="005328F0" w:rsidP="005328F0">
      <w:r>
        <w:t xml:space="preserve">Jiang F </w:t>
      </w:r>
      <w:r w:rsidR="000929D9">
        <w:t>and</w:t>
      </w:r>
      <w:r>
        <w:t xml:space="preserve"> McComas WF (2015) ‘The effects of inquiry teaching on student science achievement and attitudes: Evidence from propensity score analysis of PISA data’, </w:t>
      </w:r>
      <w:r w:rsidRPr="003F66DD">
        <w:rPr>
          <w:i/>
          <w:iCs/>
        </w:rPr>
        <w:t>International Journal of Science Education</w:t>
      </w:r>
      <w:r>
        <w:t>, 37(3):554-576</w:t>
      </w:r>
      <w:r w:rsidR="001A16BA">
        <w:t>.</w:t>
      </w:r>
    </w:p>
    <w:p w14:paraId="73F01791" w14:textId="6B554ED4" w:rsidR="008D774B" w:rsidRDefault="00FB52D9" w:rsidP="008D774B">
      <w:r>
        <w:t>NESA (</w:t>
      </w:r>
      <w:r w:rsidR="008D774B">
        <w:t xml:space="preserve">NSW Education Standards Authority) (2020) </w:t>
      </w:r>
      <w:hyperlink r:id="rId66" w:history="1">
        <w:r w:rsidR="008D774B" w:rsidRPr="0034774A">
          <w:rPr>
            <w:rStyle w:val="Hyperlink"/>
            <w:i/>
          </w:rPr>
          <w:t>Nurturing Wonder and Igniting Passion, designs for a new school curriculum: NSW Curriculum Review</w:t>
        </w:r>
        <w:r>
          <w:rPr>
            <w:rStyle w:val="Hyperlink"/>
          </w:rPr>
          <w:t xml:space="preserve"> [PDF 1.12MB]</w:t>
        </w:r>
      </w:hyperlink>
      <w:r w:rsidRPr="006E3DA0">
        <w:t>, NESA</w:t>
      </w:r>
      <w:r>
        <w:t xml:space="preserve">, accessed </w:t>
      </w:r>
      <w:r w:rsidR="00941E4F" w:rsidRPr="00941E4F">
        <w:t xml:space="preserve">10 November </w:t>
      </w:r>
      <w:r>
        <w:t>2022</w:t>
      </w:r>
      <w:r w:rsidR="001A16BA">
        <w:t>.</w:t>
      </w:r>
    </w:p>
    <w:p w14:paraId="2A09EE2C" w14:textId="4AF35A04" w:rsidR="00941E4F" w:rsidRDefault="00941E4F" w:rsidP="008D774B">
      <w:r w:rsidRPr="00941E4F">
        <w:lastRenderedPageBreak/>
        <w:t xml:space="preserve">Nesbitt L (2022) </w:t>
      </w:r>
      <w:hyperlink r:id="rId67" w:history="1">
        <w:r w:rsidRPr="00941E4F">
          <w:rPr>
            <w:rStyle w:val="Hyperlink"/>
          </w:rPr>
          <w:t>‘The Toulmin Method’</w:t>
        </w:r>
      </w:hyperlink>
      <w:r w:rsidRPr="00941E4F">
        <w:t xml:space="preserve">, </w:t>
      </w:r>
      <w:r w:rsidRPr="00941E4F">
        <w:rPr>
          <w:i/>
          <w:iCs/>
        </w:rPr>
        <w:t>Writing Guides</w:t>
      </w:r>
      <w:r w:rsidRPr="00941E4F">
        <w:t>, The WAC Clearinghouse website, accessed 10 November 2022.</w:t>
      </w:r>
    </w:p>
    <w:p w14:paraId="09038229" w14:textId="32A5D5C7" w:rsidR="00FB52D9" w:rsidRDefault="00FB52D9" w:rsidP="00FB52D9">
      <w:bookmarkStart w:id="42" w:name="_Toc104382531"/>
      <w:bookmarkStart w:id="43" w:name="_Toc113619559"/>
      <w:r w:rsidRPr="006B34BA">
        <w:t xml:space="preserve">Quizlet (2022) </w:t>
      </w:r>
      <w:hyperlink r:id="rId68" w:history="1">
        <w:r w:rsidRPr="00AD7703">
          <w:rPr>
            <w:rStyle w:val="Hyperlink"/>
            <w:i/>
            <w:iCs/>
          </w:rPr>
          <w:t>Quizlet</w:t>
        </w:r>
      </w:hyperlink>
      <w:r w:rsidRPr="006B34BA">
        <w:t xml:space="preserve"> [website], accessed</w:t>
      </w:r>
      <w:r>
        <w:t xml:space="preserve"> </w:t>
      </w:r>
      <w:r w:rsidR="00941E4F" w:rsidRPr="00941E4F">
        <w:t xml:space="preserve">10 November </w:t>
      </w:r>
      <w:r>
        <w:t>2022.</w:t>
      </w:r>
    </w:p>
    <w:p w14:paraId="05D3CAFD" w14:textId="737BA323" w:rsidR="00FB52D9" w:rsidRPr="006E3DA0" w:rsidRDefault="00FB52D9" w:rsidP="00FB52D9">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69" w:history="1">
        <w:r w:rsidRPr="006E3DA0">
          <w:rPr>
            <w:rStyle w:val="Hyperlink"/>
          </w:rPr>
          <w:t>What works best: 2020 update</w:t>
        </w:r>
      </w:hyperlink>
      <w:r>
        <w:t>’,</w:t>
      </w:r>
      <w:r w:rsidRPr="006E3DA0">
        <w:t xml:space="preserve"> </w:t>
      </w:r>
      <w:r>
        <w:t xml:space="preserve">CESE, </w:t>
      </w:r>
      <w:r w:rsidRPr="006E3DA0">
        <w:t>NSW Department of Education</w:t>
      </w:r>
      <w:r>
        <w:t xml:space="preserve">, accessed </w:t>
      </w:r>
      <w:r w:rsidR="00941E4F" w:rsidRPr="00941E4F">
        <w:t xml:space="preserve">10 November </w:t>
      </w:r>
      <w:r>
        <w:t>2022.</w:t>
      </w:r>
    </w:p>
    <w:p w14:paraId="291F0D66" w14:textId="54A1A415" w:rsidR="00FB52D9" w:rsidRPr="006E3DA0" w:rsidRDefault="00FB52D9" w:rsidP="00FB52D9">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70" w:history="1">
        <w:r w:rsidRPr="006E3DA0">
          <w:rPr>
            <w:rStyle w:val="Hyperlink"/>
          </w:rPr>
          <w:t>What works best in practice</w:t>
        </w:r>
      </w:hyperlink>
      <w:r>
        <w:t>’,</w:t>
      </w:r>
      <w:r w:rsidRPr="006E3DA0">
        <w:t xml:space="preserve"> </w:t>
      </w:r>
      <w:r>
        <w:t xml:space="preserve">CESE, </w:t>
      </w:r>
      <w:r w:rsidRPr="006E3DA0">
        <w:t>NSW Department of Education</w:t>
      </w:r>
      <w:r>
        <w:t xml:space="preserve">, accessed </w:t>
      </w:r>
      <w:r w:rsidR="00941E4F" w:rsidRPr="00941E4F">
        <w:t xml:space="preserve">10 November </w:t>
      </w:r>
      <w:r>
        <w:t>2022.</w:t>
      </w:r>
    </w:p>
    <w:p w14:paraId="393C69FF" w14:textId="54900AAF" w:rsidR="00115DF7" w:rsidRPr="00101E74" w:rsidRDefault="007029C6">
      <w:r>
        <w:rPr>
          <w:noProof/>
        </w:rPr>
        <w:t>Wiliam D (2013) ‘</w:t>
      </w:r>
      <w:hyperlink r:id="rId71" w:history="1">
        <w:r w:rsidRPr="00257FEF">
          <w:rPr>
            <w:rStyle w:val="Hyperlink"/>
            <w:noProof/>
          </w:rPr>
          <w:t xml:space="preserve">Assessment: The </w:t>
        </w:r>
        <w:r>
          <w:rPr>
            <w:rStyle w:val="Hyperlink"/>
            <w:noProof/>
          </w:rPr>
          <w:t>B</w:t>
        </w:r>
        <w:r w:rsidRPr="00257FEF">
          <w:rPr>
            <w:rStyle w:val="Hyperlink"/>
            <w:noProof/>
          </w:rPr>
          <w:t xml:space="preserve">ridge between </w:t>
        </w:r>
        <w:r>
          <w:rPr>
            <w:rStyle w:val="Hyperlink"/>
            <w:noProof/>
          </w:rPr>
          <w:t>T</w:t>
        </w:r>
        <w:r w:rsidRPr="00257FEF">
          <w:rPr>
            <w:rStyle w:val="Hyperlink"/>
            <w:noProof/>
          </w:rPr>
          <w:t xml:space="preserve">eaching and </w:t>
        </w:r>
        <w:r>
          <w:rPr>
            <w:rStyle w:val="Hyperlink"/>
            <w:noProof/>
          </w:rPr>
          <w:t>L</w:t>
        </w:r>
        <w:r w:rsidRPr="00257FEF">
          <w:rPr>
            <w:rStyle w:val="Hyperlink"/>
            <w:noProof/>
          </w:rPr>
          <w:t>earning</w:t>
        </w:r>
      </w:hyperlink>
      <w:r>
        <w:rPr>
          <w:noProof/>
        </w:rPr>
        <w:t xml:space="preserve">’, </w:t>
      </w:r>
      <w:r w:rsidRPr="00257FEF">
        <w:rPr>
          <w:i/>
          <w:iCs/>
          <w:noProof/>
        </w:rPr>
        <w:t>Voices from the Middle</w:t>
      </w:r>
      <w:r>
        <w:rPr>
          <w:noProof/>
        </w:rPr>
        <w:t xml:space="preserve">, 21(2):15–20, </w:t>
      </w:r>
      <w:hyperlink r:id="rId72" w:history="1">
        <w:r w:rsidRPr="003D73DF">
          <w:rPr>
            <w:rStyle w:val="Hyperlink"/>
            <w:noProof/>
          </w:rPr>
          <w:t>https://doi.org/10.3389/fpsyg.2019.03087</w:t>
        </w:r>
      </w:hyperlink>
      <w:bookmarkEnd w:id="42"/>
      <w:bookmarkEnd w:id="43"/>
      <w:r w:rsidR="001A16BA">
        <w:rPr>
          <w:rStyle w:val="Hyperlink"/>
          <w:noProof/>
        </w:rPr>
        <w:t>.</w:t>
      </w:r>
    </w:p>
    <w:sectPr w:rsidR="00115DF7" w:rsidRPr="00101E74" w:rsidSect="00AB711B">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AC92" w14:textId="77777777" w:rsidR="00E55499" w:rsidRDefault="00E55499" w:rsidP="00E51733">
      <w:r>
        <w:separator/>
      </w:r>
    </w:p>
  </w:endnote>
  <w:endnote w:type="continuationSeparator" w:id="0">
    <w:p w14:paraId="75787E9D" w14:textId="77777777" w:rsidR="00E55499" w:rsidRDefault="00E55499" w:rsidP="00E51733">
      <w:r>
        <w:continuationSeparator/>
      </w:r>
    </w:p>
  </w:endnote>
  <w:endnote w:type="continuationNotice" w:id="1">
    <w:p w14:paraId="1750801D" w14:textId="77777777" w:rsidR="00E55499" w:rsidRDefault="00E5549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0BA4B233"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A15F3">
      <w:rPr>
        <w:noProof/>
      </w:rPr>
      <w:t>Nov-22</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927" w14:textId="6523B3F7"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00E61EFF">
      <w:t>Critical thinking</w:t>
    </w:r>
    <w:r w:rsidR="002B3553">
      <w:t xml:space="preserve"> – </w:t>
    </w:r>
    <w:r w:rsidR="00E61EFF">
      <w:t>Core 1 assessment task</w:t>
    </w:r>
    <w:r w:rsidR="002B3553">
      <w:t>: Building a strong argument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AA83" w14:textId="77777777" w:rsidR="00DA3FDE" w:rsidRPr="002B3553" w:rsidRDefault="00677835" w:rsidP="002B3553">
    <w:pPr>
      <w:pStyle w:val="Logo"/>
    </w:pPr>
    <w:r w:rsidRPr="002B3553">
      <w:t>education.nsw.gov.au</w:t>
    </w:r>
    <w:r w:rsidRPr="002B3553">
      <w:ptab w:relativeTo="margin" w:alignment="right" w:leader="none"/>
    </w:r>
    <w:r w:rsidRPr="002B3553">
      <w:rPr>
        <w:noProof/>
      </w:rPr>
      <w:drawing>
        <wp:inline distT="0" distB="0" distL="0" distR="0" wp14:anchorId="65C823B1" wp14:editId="4A0E2839">
          <wp:extent cx="507600" cy="540000"/>
          <wp:effectExtent l="0" t="0" r="635" b="6350"/>
          <wp:docPr id="13" name="Picture 1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3B394" w14:textId="77777777" w:rsidR="00E55499" w:rsidRDefault="00E55499" w:rsidP="00E51733">
      <w:r>
        <w:separator/>
      </w:r>
    </w:p>
  </w:footnote>
  <w:footnote w:type="continuationSeparator" w:id="0">
    <w:p w14:paraId="1D91B82C" w14:textId="77777777" w:rsidR="00E55499" w:rsidRDefault="00E55499" w:rsidP="00E51733">
      <w:r>
        <w:continuationSeparator/>
      </w:r>
    </w:p>
  </w:footnote>
  <w:footnote w:type="continuationNotice" w:id="1">
    <w:p w14:paraId="628157AB" w14:textId="77777777" w:rsidR="00E55499" w:rsidRDefault="00E5549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D4D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644D57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94D429D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7B84268"/>
    <w:multiLevelType w:val="hybridMultilevel"/>
    <w:tmpl w:val="9E860B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CD56B5C"/>
    <w:multiLevelType w:val="hybridMultilevel"/>
    <w:tmpl w:val="C9427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CF82F82"/>
    <w:multiLevelType w:val="hybridMultilevel"/>
    <w:tmpl w:val="8BAE21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72C22D8"/>
    <w:multiLevelType w:val="hybridMultilevel"/>
    <w:tmpl w:val="4EF0BB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21922751">
    <w:abstractNumId w:val="2"/>
  </w:num>
  <w:num w:numId="2" w16cid:durableId="1136610306">
    <w:abstractNumId w:val="1"/>
  </w:num>
  <w:num w:numId="3" w16cid:durableId="62685473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7"/>
  </w:num>
  <w:num w:numId="5" w16cid:durableId="1937201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1"/>
  </w:num>
  <w:num w:numId="13" w16cid:durableId="1100835658">
    <w:abstractNumId w:val="7"/>
  </w:num>
  <w:num w:numId="14" w16cid:durableId="1425491660">
    <w:abstractNumId w:val="2"/>
  </w:num>
  <w:num w:numId="15" w16cid:durableId="302009144">
    <w:abstractNumId w:val="3"/>
  </w:num>
  <w:num w:numId="16" w16cid:durableId="1416515989">
    <w:abstractNumId w:val="5"/>
  </w:num>
  <w:num w:numId="17" w16cid:durableId="314795324">
    <w:abstractNumId w:val="4"/>
  </w:num>
  <w:num w:numId="18" w16cid:durableId="1454399560">
    <w:abstractNumId w:val="8"/>
  </w:num>
  <w:num w:numId="19" w16cid:durableId="1600335222">
    <w:abstractNumId w:val="0"/>
  </w:num>
  <w:num w:numId="20" w16cid:durableId="861632332">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923444083">
    <w:abstractNumId w:val="1"/>
  </w:num>
  <w:num w:numId="22" w16cid:durableId="422384741">
    <w:abstractNumId w:val="7"/>
  </w:num>
  <w:num w:numId="23" w16cid:durableId="1857578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2419"/>
    <w:rsid w:val="00004A10"/>
    <w:rsid w:val="000075E2"/>
    <w:rsid w:val="00011706"/>
    <w:rsid w:val="00013598"/>
    <w:rsid w:val="00013D96"/>
    <w:rsid w:val="00013FF2"/>
    <w:rsid w:val="000252CB"/>
    <w:rsid w:val="00027667"/>
    <w:rsid w:val="00035B58"/>
    <w:rsid w:val="00045F0D"/>
    <w:rsid w:val="0004750C"/>
    <w:rsid w:val="00052C1B"/>
    <w:rsid w:val="00053442"/>
    <w:rsid w:val="00060438"/>
    <w:rsid w:val="00061D5B"/>
    <w:rsid w:val="00073BAD"/>
    <w:rsid w:val="00074F0F"/>
    <w:rsid w:val="000772ED"/>
    <w:rsid w:val="000801CC"/>
    <w:rsid w:val="00091C4F"/>
    <w:rsid w:val="000929D9"/>
    <w:rsid w:val="000B17CC"/>
    <w:rsid w:val="000B1A5F"/>
    <w:rsid w:val="000C00D3"/>
    <w:rsid w:val="000C24ED"/>
    <w:rsid w:val="000C2B03"/>
    <w:rsid w:val="000C7842"/>
    <w:rsid w:val="000D33E1"/>
    <w:rsid w:val="000D3795"/>
    <w:rsid w:val="000D3BBE"/>
    <w:rsid w:val="000D3F39"/>
    <w:rsid w:val="000D497E"/>
    <w:rsid w:val="000D6621"/>
    <w:rsid w:val="000D7466"/>
    <w:rsid w:val="000E39FC"/>
    <w:rsid w:val="000E55FE"/>
    <w:rsid w:val="000F59E5"/>
    <w:rsid w:val="000F5E39"/>
    <w:rsid w:val="00100737"/>
    <w:rsid w:val="00100EB2"/>
    <w:rsid w:val="00101E74"/>
    <w:rsid w:val="001038BF"/>
    <w:rsid w:val="0010442A"/>
    <w:rsid w:val="00107026"/>
    <w:rsid w:val="00112528"/>
    <w:rsid w:val="00113764"/>
    <w:rsid w:val="00115DF7"/>
    <w:rsid w:val="00117A23"/>
    <w:rsid w:val="001200B0"/>
    <w:rsid w:val="0012336A"/>
    <w:rsid w:val="00137482"/>
    <w:rsid w:val="0014203D"/>
    <w:rsid w:val="00147654"/>
    <w:rsid w:val="00190C6F"/>
    <w:rsid w:val="001967FD"/>
    <w:rsid w:val="001A16BA"/>
    <w:rsid w:val="001A171C"/>
    <w:rsid w:val="001A2D64"/>
    <w:rsid w:val="001A3009"/>
    <w:rsid w:val="001A3E1F"/>
    <w:rsid w:val="001A4313"/>
    <w:rsid w:val="001B11FD"/>
    <w:rsid w:val="001B398B"/>
    <w:rsid w:val="001C2CAC"/>
    <w:rsid w:val="001C4388"/>
    <w:rsid w:val="001C7E97"/>
    <w:rsid w:val="001D19C0"/>
    <w:rsid w:val="001D5230"/>
    <w:rsid w:val="001D5F00"/>
    <w:rsid w:val="001E1A01"/>
    <w:rsid w:val="001E390D"/>
    <w:rsid w:val="001F39B8"/>
    <w:rsid w:val="001F46D3"/>
    <w:rsid w:val="00200536"/>
    <w:rsid w:val="00206EB4"/>
    <w:rsid w:val="002105AD"/>
    <w:rsid w:val="002159DF"/>
    <w:rsid w:val="0021717A"/>
    <w:rsid w:val="00242702"/>
    <w:rsid w:val="00244BC7"/>
    <w:rsid w:val="00246E32"/>
    <w:rsid w:val="00247EBA"/>
    <w:rsid w:val="00250FAC"/>
    <w:rsid w:val="0025178D"/>
    <w:rsid w:val="00251F9C"/>
    <w:rsid w:val="00260DBE"/>
    <w:rsid w:val="00261781"/>
    <w:rsid w:val="0026548C"/>
    <w:rsid w:val="00266207"/>
    <w:rsid w:val="00271BD6"/>
    <w:rsid w:val="0027370C"/>
    <w:rsid w:val="00274CBD"/>
    <w:rsid w:val="002764D0"/>
    <w:rsid w:val="002766DD"/>
    <w:rsid w:val="002828FE"/>
    <w:rsid w:val="00290C80"/>
    <w:rsid w:val="002924B5"/>
    <w:rsid w:val="0029332D"/>
    <w:rsid w:val="00293923"/>
    <w:rsid w:val="002A0F30"/>
    <w:rsid w:val="002A28B4"/>
    <w:rsid w:val="002A2B8C"/>
    <w:rsid w:val="002A2C40"/>
    <w:rsid w:val="002A35CF"/>
    <w:rsid w:val="002A475D"/>
    <w:rsid w:val="002A752F"/>
    <w:rsid w:val="002A79E6"/>
    <w:rsid w:val="002B19AD"/>
    <w:rsid w:val="002B3553"/>
    <w:rsid w:val="002B467C"/>
    <w:rsid w:val="002C2ACD"/>
    <w:rsid w:val="002C3D4F"/>
    <w:rsid w:val="002C52BB"/>
    <w:rsid w:val="002D4D48"/>
    <w:rsid w:val="002E292A"/>
    <w:rsid w:val="002F2400"/>
    <w:rsid w:val="002F6364"/>
    <w:rsid w:val="002F7CFE"/>
    <w:rsid w:val="003067B8"/>
    <w:rsid w:val="00306C23"/>
    <w:rsid w:val="00310B7E"/>
    <w:rsid w:val="003171D1"/>
    <w:rsid w:val="00326784"/>
    <w:rsid w:val="00340DD9"/>
    <w:rsid w:val="003560E4"/>
    <w:rsid w:val="00360E17"/>
    <w:rsid w:val="0036209C"/>
    <w:rsid w:val="003659D2"/>
    <w:rsid w:val="003676D8"/>
    <w:rsid w:val="0037218D"/>
    <w:rsid w:val="00380252"/>
    <w:rsid w:val="003825CC"/>
    <w:rsid w:val="00382E19"/>
    <w:rsid w:val="00383021"/>
    <w:rsid w:val="003855B8"/>
    <w:rsid w:val="00385DFB"/>
    <w:rsid w:val="00391C07"/>
    <w:rsid w:val="003930E4"/>
    <w:rsid w:val="00395E23"/>
    <w:rsid w:val="003A5190"/>
    <w:rsid w:val="003B19DF"/>
    <w:rsid w:val="003B240E"/>
    <w:rsid w:val="003B691F"/>
    <w:rsid w:val="003C10A9"/>
    <w:rsid w:val="003C1660"/>
    <w:rsid w:val="003D13EF"/>
    <w:rsid w:val="003E3B3A"/>
    <w:rsid w:val="003E47E4"/>
    <w:rsid w:val="00401084"/>
    <w:rsid w:val="00403989"/>
    <w:rsid w:val="00406C6A"/>
    <w:rsid w:val="00407A17"/>
    <w:rsid w:val="00407EF0"/>
    <w:rsid w:val="00412F2B"/>
    <w:rsid w:val="004178B3"/>
    <w:rsid w:val="00417F01"/>
    <w:rsid w:val="00421A45"/>
    <w:rsid w:val="004241A9"/>
    <w:rsid w:val="00430F12"/>
    <w:rsid w:val="00432F52"/>
    <w:rsid w:val="00454ED2"/>
    <w:rsid w:val="00462B69"/>
    <w:rsid w:val="004662AB"/>
    <w:rsid w:val="00480185"/>
    <w:rsid w:val="004818CC"/>
    <w:rsid w:val="004840B9"/>
    <w:rsid w:val="0048642E"/>
    <w:rsid w:val="00493286"/>
    <w:rsid w:val="00493A47"/>
    <w:rsid w:val="004B484F"/>
    <w:rsid w:val="004B539A"/>
    <w:rsid w:val="004C090C"/>
    <w:rsid w:val="004C2758"/>
    <w:rsid w:val="004C731C"/>
    <w:rsid w:val="004D7384"/>
    <w:rsid w:val="004E036B"/>
    <w:rsid w:val="004E7B2B"/>
    <w:rsid w:val="004F06FE"/>
    <w:rsid w:val="004F48DD"/>
    <w:rsid w:val="004F6AF2"/>
    <w:rsid w:val="0050234B"/>
    <w:rsid w:val="0050390C"/>
    <w:rsid w:val="00504DBE"/>
    <w:rsid w:val="00506DFA"/>
    <w:rsid w:val="00511863"/>
    <w:rsid w:val="00513379"/>
    <w:rsid w:val="00514A9F"/>
    <w:rsid w:val="00522247"/>
    <w:rsid w:val="0052654A"/>
    <w:rsid w:val="00526795"/>
    <w:rsid w:val="00527B41"/>
    <w:rsid w:val="005328F0"/>
    <w:rsid w:val="00541FBB"/>
    <w:rsid w:val="00556A59"/>
    <w:rsid w:val="00561AE0"/>
    <w:rsid w:val="0056228C"/>
    <w:rsid w:val="005635EC"/>
    <w:rsid w:val="005647FB"/>
    <w:rsid w:val="005649D2"/>
    <w:rsid w:val="00567402"/>
    <w:rsid w:val="0057217F"/>
    <w:rsid w:val="00580603"/>
    <w:rsid w:val="0058102D"/>
    <w:rsid w:val="00583731"/>
    <w:rsid w:val="00586D2A"/>
    <w:rsid w:val="00590D8F"/>
    <w:rsid w:val="005934B4"/>
    <w:rsid w:val="005A1E3D"/>
    <w:rsid w:val="005A67CA"/>
    <w:rsid w:val="005A6AAA"/>
    <w:rsid w:val="005B0A47"/>
    <w:rsid w:val="005B184F"/>
    <w:rsid w:val="005B77E0"/>
    <w:rsid w:val="005C14A7"/>
    <w:rsid w:val="005C7EB4"/>
    <w:rsid w:val="005D49FE"/>
    <w:rsid w:val="005E1AB0"/>
    <w:rsid w:val="005E1F63"/>
    <w:rsid w:val="005E3ECC"/>
    <w:rsid w:val="005E475C"/>
    <w:rsid w:val="005F5EDE"/>
    <w:rsid w:val="00602A12"/>
    <w:rsid w:val="0061574E"/>
    <w:rsid w:val="00625906"/>
    <w:rsid w:val="00626BBF"/>
    <w:rsid w:val="0063078F"/>
    <w:rsid w:val="00631DB8"/>
    <w:rsid w:val="00641770"/>
    <w:rsid w:val="0064273E"/>
    <w:rsid w:val="00643879"/>
    <w:rsid w:val="00643CC4"/>
    <w:rsid w:val="006460B8"/>
    <w:rsid w:val="00651B50"/>
    <w:rsid w:val="00654473"/>
    <w:rsid w:val="00662E0E"/>
    <w:rsid w:val="00663036"/>
    <w:rsid w:val="006656A5"/>
    <w:rsid w:val="00670F4E"/>
    <w:rsid w:val="00677835"/>
    <w:rsid w:val="00680388"/>
    <w:rsid w:val="0068187E"/>
    <w:rsid w:val="00681933"/>
    <w:rsid w:val="00696410"/>
    <w:rsid w:val="006A0D23"/>
    <w:rsid w:val="006A2BD2"/>
    <w:rsid w:val="006A3884"/>
    <w:rsid w:val="006A5247"/>
    <w:rsid w:val="006B0A4D"/>
    <w:rsid w:val="006B5FC6"/>
    <w:rsid w:val="006C52D9"/>
    <w:rsid w:val="006C75DB"/>
    <w:rsid w:val="006D00B0"/>
    <w:rsid w:val="006D1CF3"/>
    <w:rsid w:val="006D28E0"/>
    <w:rsid w:val="006E4D2E"/>
    <w:rsid w:val="006E54D3"/>
    <w:rsid w:val="006E61B7"/>
    <w:rsid w:val="006F3E04"/>
    <w:rsid w:val="006F6135"/>
    <w:rsid w:val="007018BE"/>
    <w:rsid w:val="007029C6"/>
    <w:rsid w:val="00702B13"/>
    <w:rsid w:val="00706193"/>
    <w:rsid w:val="007113A2"/>
    <w:rsid w:val="007114CE"/>
    <w:rsid w:val="00717237"/>
    <w:rsid w:val="00722B5F"/>
    <w:rsid w:val="0072655F"/>
    <w:rsid w:val="00734A5E"/>
    <w:rsid w:val="007360E0"/>
    <w:rsid w:val="00747A3A"/>
    <w:rsid w:val="00747F15"/>
    <w:rsid w:val="0075398C"/>
    <w:rsid w:val="00763861"/>
    <w:rsid w:val="00766D19"/>
    <w:rsid w:val="007A65FC"/>
    <w:rsid w:val="007B020C"/>
    <w:rsid w:val="007B25AE"/>
    <w:rsid w:val="007B523A"/>
    <w:rsid w:val="007C56ED"/>
    <w:rsid w:val="007C61E6"/>
    <w:rsid w:val="007C6C51"/>
    <w:rsid w:val="007E00B1"/>
    <w:rsid w:val="007F066A"/>
    <w:rsid w:val="007F6BE6"/>
    <w:rsid w:val="007F6E7F"/>
    <w:rsid w:val="0080248A"/>
    <w:rsid w:val="00804F58"/>
    <w:rsid w:val="008073B1"/>
    <w:rsid w:val="008108DD"/>
    <w:rsid w:val="00826949"/>
    <w:rsid w:val="008422A7"/>
    <w:rsid w:val="00844635"/>
    <w:rsid w:val="00845417"/>
    <w:rsid w:val="008559F3"/>
    <w:rsid w:val="00856CA3"/>
    <w:rsid w:val="00865BC1"/>
    <w:rsid w:val="0087419F"/>
    <w:rsid w:val="0087496A"/>
    <w:rsid w:val="00890EEE"/>
    <w:rsid w:val="008A4CF6"/>
    <w:rsid w:val="008A5FD8"/>
    <w:rsid w:val="008B479B"/>
    <w:rsid w:val="008C6BD5"/>
    <w:rsid w:val="008D05D4"/>
    <w:rsid w:val="008D2F7A"/>
    <w:rsid w:val="008D4133"/>
    <w:rsid w:val="008D774B"/>
    <w:rsid w:val="008E3DE9"/>
    <w:rsid w:val="008E6793"/>
    <w:rsid w:val="008E7AC0"/>
    <w:rsid w:val="008F0C05"/>
    <w:rsid w:val="00901761"/>
    <w:rsid w:val="00905449"/>
    <w:rsid w:val="0090661F"/>
    <w:rsid w:val="009107ED"/>
    <w:rsid w:val="009108D5"/>
    <w:rsid w:val="009138BF"/>
    <w:rsid w:val="00920FDE"/>
    <w:rsid w:val="00921096"/>
    <w:rsid w:val="00922FC0"/>
    <w:rsid w:val="009233DE"/>
    <w:rsid w:val="00924318"/>
    <w:rsid w:val="00931D1C"/>
    <w:rsid w:val="0093679E"/>
    <w:rsid w:val="00941C04"/>
    <w:rsid w:val="00941E4F"/>
    <w:rsid w:val="00944B4B"/>
    <w:rsid w:val="00973012"/>
    <w:rsid w:val="009739C8"/>
    <w:rsid w:val="00976748"/>
    <w:rsid w:val="00982157"/>
    <w:rsid w:val="009831C3"/>
    <w:rsid w:val="00983A86"/>
    <w:rsid w:val="00987480"/>
    <w:rsid w:val="00993CC3"/>
    <w:rsid w:val="009A389A"/>
    <w:rsid w:val="009B1280"/>
    <w:rsid w:val="009C0793"/>
    <w:rsid w:val="009C2DB5"/>
    <w:rsid w:val="009C2DDF"/>
    <w:rsid w:val="009C5B0E"/>
    <w:rsid w:val="009D1FAD"/>
    <w:rsid w:val="009D5430"/>
    <w:rsid w:val="009F5A91"/>
    <w:rsid w:val="009F5EA0"/>
    <w:rsid w:val="009F703C"/>
    <w:rsid w:val="00A016EE"/>
    <w:rsid w:val="00A1057C"/>
    <w:rsid w:val="00A119B4"/>
    <w:rsid w:val="00A12C29"/>
    <w:rsid w:val="00A16172"/>
    <w:rsid w:val="00A170A2"/>
    <w:rsid w:val="00A31952"/>
    <w:rsid w:val="00A32984"/>
    <w:rsid w:val="00A423D3"/>
    <w:rsid w:val="00A51C73"/>
    <w:rsid w:val="00A52147"/>
    <w:rsid w:val="00A534B8"/>
    <w:rsid w:val="00A54063"/>
    <w:rsid w:val="00A5409F"/>
    <w:rsid w:val="00A566B2"/>
    <w:rsid w:val="00A57460"/>
    <w:rsid w:val="00A63054"/>
    <w:rsid w:val="00A71A61"/>
    <w:rsid w:val="00A7795B"/>
    <w:rsid w:val="00A80E2B"/>
    <w:rsid w:val="00A87E8C"/>
    <w:rsid w:val="00A936D9"/>
    <w:rsid w:val="00AB099B"/>
    <w:rsid w:val="00AB1340"/>
    <w:rsid w:val="00AB2E83"/>
    <w:rsid w:val="00AB2F2E"/>
    <w:rsid w:val="00AB711B"/>
    <w:rsid w:val="00AC0E30"/>
    <w:rsid w:val="00AC13C5"/>
    <w:rsid w:val="00AC5BFD"/>
    <w:rsid w:val="00AD1FF1"/>
    <w:rsid w:val="00AD2C3B"/>
    <w:rsid w:val="00AD3C8E"/>
    <w:rsid w:val="00AD7928"/>
    <w:rsid w:val="00AE188C"/>
    <w:rsid w:val="00AE3AC1"/>
    <w:rsid w:val="00AE6734"/>
    <w:rsid w:val="00AE789E"/>
    <w:rsid w:val="00AF0C2F"/>
    <w:rsid w:val="00AF22F3"/>
    <w:rsid w:val="00AF33C7"/>
    <w:rsid w:val="00AF4A3E"/>
    <w:rsid w:val="00AF5766"/>
    <w:rsid w:val="00B176A3"/>
    <w:rsid w:val="00B179BA"/>
    <w:rsid w:val="00B2036D"/>
    <w:rsid w:val="00B23F99"/>
    <w:rsid w:val="00B2668C"/>
    <w:rsid w:val="00B26C50"/>
    <w:rsid w:val="00B37D1D"/>
    <w:rsid w:val="00B4454A"/>
    <w:rsid w:val="00B46033"/>
    <w:rsid w:val="00B6356C"/>
    <w:rsid w:val="00B65452"/>
    <w:rsid w:val="00B70D60"/>
    <w:rsid w:val="00B72931"/>
    <w:rsid w:val="00B80AAD"/>
    <w:rsid w:val="00B909CE"/>
    <w:rsid w:val="00B9140A"/>
    <w:rsid w:val="00B97A0E"/>
    <w:rsid w:val="00BA7230"/>
    <w:rsid w:val="00BA7AAB"/>
    <w:rsid w:val="00BB10CE"/>
    <w:rsid w:val="00BB7394"/>
    <w:rsid w:val="00BC1D30"/>
    <w:rsid w:val="00BC71FD"/>
    <w:rsid w:val="00BC7849"/>
    <w:rsid w:val="00BD56E8"/>
    <w:rsid w:val="00BE0A30"/>
    <w:rsid w:val="00BE3B10"/>
    <w:rsid w:val="00BE4A2F"/>
    <w:rsid w:val="00BF198F"/>
    <w:rsid w:val="00BF200E"/>
    <w:rsid w:val="00BF2E98"/>
    <w:rsid w:val="00BF35D4"/>
    <w:rsid w:val="00BF66F1"/>
    <w:rsid w:val="00BF732E"/>
    <w:rsid w:val="00C02DF9"/>
    <w:rsid w:val="00C03F5D"/>
    <w:rsid w:val="00C0463A"/>
    <w:rsid w:val="00C07B8C"/>
    <w:rsid w:val="00C1097D"/>
    <w:rsid w:val="00C10A5C"/>
    <w:rsid w:val="00C16055"/>
    <w:rsid w:val="00C17204"/>
    <w:rsid w:val="00C225B3"/>
    <w:rsid w:val="00C26AC8"/>
    <w:rsid w:val="00C3660A"/>
    <w:rsid w:val="00C436AB"/>
    <w:rsid w:val="00C45416"/>
    <w:rsid w:val="00C62A8C"/>
    <w:rsid w:val="00C62B29"/>
    <w:rsid w:val="00C63BD6"/>
    <w:rsid w:val="00C64E07"/>
    <w:rsid w:val="00C652E9"/>
    <w:rsid w:val="00C664FC"/>
    <w:rsid w:val="00C671F4"/>
    <w:rsid w:val="00C67682"/>
    <w:rsid w:val="00C7209F"/>
    <w:rsid w:val="00C72FBE"/>
    <w:rsid w:val="00C778F1"/>
    <w:rsid w:val="00C77E30"/>
    <w:rsid w:val="00C876B8"/>
    <w:rsid w:val="00CA0226"/>
    <w:rsid w:val="00CA1E00"/>
    <w:rsid w:val="00CB2145"/>
    <w:rsid w:val="00CB66B0"/>
    <w:rsid w:val="00CB7840"/>
    <w:rsid w:val="00CC41EF"/>
    <w:rsid w:val="00CD3814"/>
    <w:rsid w:val="00CD6723"/>
    <w:rsid w:val="00CE10F2"/>
    <w:rsid w:val="00CE3E6B"/>
    <w:rsid w:val="00CE7F7E"/>
    <w:rsid w:val="00CF084E"/>
    <w:rsid w:val="00CF73E9"/>
    <w:rsid w:val="00D06247"/>
    <w:rsid w:val="00D136E3"/>
    <w:rsid w:val="00D15A52"/>
    <w:rsid w:val="00D22866"/>
    <w:rsid w:val="00D308CE"/>
    <w:rsid w:val="00D31E35"/>
    <w:rsid w:val="00D41B29"/>
    <w:rsid w:val="00D43897"/>
    <w:rsid w:val="00D56B69"/>
    <w:rsid w:val="00D56F8D"/>
    <w:rsid w:val="00D60CB8"/>
    <w:rsid w:val="00D61CE0"/>
    <w:rsid w:val="00D63F0C"/>
    <w:rsid w:val="00D66F6E"/>
    <w:rsid w:val="00D678DB"/>
    <w:rsid w:val="00D702FC"/>
    <w:rsid w:val="00D7399E"/>
    <w:rsid w:val="00D760AE"/>
    <w:rsid w:val="00D85F38"/>
    <w:rsid w:val="00D963BE"/>
    <w:rsid w:val="00D967F3"/>
    <w:rsid w:val="00DA12DB"/>
    <w:rsid w:val="00DA15F3"/>
    <w:rsid w:val="00DA1B0D"/>
    <w:rsid w:val="00DA21BB"/>
    <w:rsid w:val="00DA50DE"/>
    <w:rsid w:val="00DB02CA"/>
    <w:rsid w:val="00DB1A58"/>
    <w:rsid w:val="00DB789A"/>
    <w:rsid w:val="00DC74E1"/>
    <w:rsid w:val="00DD2F4E"/>
    <w:rsid w:val="00DE07A5"/>
    <w:rsid w:val="00DE224E"/>
    <w:rsid w:val="00DE2CE3"/>
    <w:rsid w:val="00DF0F8C"/>
    <w:rsid w:val="00DF7C67"/>
    <w:rsid w:val="00E04470"/>
    <w:rsid w:val="00E04DAF"/>
    <w:rsid w:val="00E06F47"/>
    <w:rsid w:val="00E112C7"/>
    <w:rsid w:val="00E11EC3"/>
    <w:rsid w:val="00E140AB"/>
    <w:rsid w:val="00E160F4"/>
    <w:rsid w:val="00E220C7"/>
    <w:rsid w:val="00E25746"/>
    <w:rsid w:val="00E26363"/>
    <w:rsid w:val="00E26B70"/>
    <w:rsid w:val="00E33064"/>
    <w:rsid w:val="00E338D8"/>
    <w:rsid w:val="00E36FF1"/>
    <w:rsid w:val="00E3731F"/>
    <w:rsid w:val="00E37E07"/>
    <w:rsid w:val="00E4272D"/>
    <w:rsid w:val="00E5058E"/>
    <w:rsid w:val="00E51733"/>
    <w:rsid w:val="00E53B0E"/>
    <w:rsid w:val="00E5428B"/>
    <w:rsid w:val="00E55499"/>
    <w:rsid w:val="00E56264"/>
    <w:rsid w:val="00E57E3D"/>
    <w:rsid w:val="00E604B6"/>
    <w:rsid w:val="00E61EFF"/>
    <w:rsid w:val="00E61F4F"/>
    <w:rsid w:val="00E66CA0"/>
    <w:rsid w:val="00E70379"/>
    <w:rsid w:val="00E73DD6"/>
    <w:rsid w:val="00E817D8"/>
    <w:rsid w:val="00E836F5"/>
    <w:rsid w:val="00E849F4"/>
    <w:rsid w:val="00E86BEE"/>
    <w:rsid w:val="00E94927"/>
    <w:rsid w:val="00EA69C9"/>
    <w:rsid w:val="00EB1AF5"/>
    <w:rsid w:val="00EC045A"/>
    <w:rsid w:val="00EE06BD"/>
    <w:rsid w:val="00EE5947"/>
    <w:rsid w:val="00EF2770"/>
    <w:rsid w:val="00EF662C"/>
    <w:rsid w:val="00F006F8"/>
    <w:rsid w:val="00F07BF4"/>
    <w:rsid w:val="00F142B0"/>
    <w:rsid w:val="00F14D7F"/>
    <w:rsid w:val="00F16B21"/>
    <w:rsid w:val="00F1729C"/>
    <w:rsid w:val="00F20AC8"/>
    <w:rsid w:val="00F264A9"/>
    <w:rsid w:val="00F3454B"/>
    <w:rsid w:val="00F522E3"/>
    <w:rsid w:val="00F55DE0"/>
    <w:rsid w:val="00F604CA"/>
    <w:rsid w:val="00F66145"/>
    <w:rsid w:val="00F67719"/>
    <w:rsid w:val="00F81980"/>
    <w:rsid w:val="00F81C06"/>
    <w:rsid w:val="00F83A0D"/>
    <w:rsid w:val="00F90872"/>
    <w:rsid w:val="00F93E04"/>
    <w:rsid w:val="00F96F7B"/>
    <w:rsid w:val="00FA1380"/>
    <w:rsid w:val="00FA3555"/>
    <w:rsid w:val="00FA606B"/>
    <w:rsid w:val="00FB52D9"/>
    <w:rsid w:val="00FC01AE"/>
    <w:rsid w:val="00FD0A93"/>
    <w:rsid w:val="00FD596D"/>
    <w:rsid w:val="00FE22AF"/>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A243B55F-8DD8-4557-9F9E-03ACBCCD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81933"/>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681933"/>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68193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681933"/>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681933"/>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681933"/>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681933"/>
    <w:pPr>
      <w:keepNext/>
      <w:spacing w:after="200" w:line="240" w:lineRule="auto"/>
    </w:pPr>
    <w:rPr>
      <w:b/>
      <w:iCs/>
      <w:szCs w:val="18"/>
    </w:rPr>
  </w:style>
  <w:style w:type="table" w:customStyle="1" w:styleId="Tableheader">
    <w:name w:val="ŠTable header"/>
    <w:basedOn w:val="TableNormal"/>
    <w:uiPriority w:val="99"/>
    <w:rsid w:val="00681933"/>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6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81933"/>
    <w:pPr>
      <w:numPr>
        <w:numId w:val="23"/>
      </w:numPr>
    </w:pPr>
  </w:style>
  <w:style w:type="paragraph" w:styleId="ListNumber2">
    <w:name w:val="List Number 2"/>
    <w:aliases w:val="ŠList Number 2"/>
    <w:basedOn w:val="Normal"/>
    <w:uiPriority w:val="9"/>
    <w:qFormat/>
    <w:rsid w:val="00681933"/>
    <w:pPr>
      <w:numPr>
        <w:numId w:val="22"/>
      </w:numPr>
    </w:pPr>
  </w:style>
  <w:style w:type="paragraph" w:styleId="ListBullet">
    <w:name w:val="List Bullet"/>
    <w:aliases w:val="ŠList Bullet"/>
    <w:basedOn w:val="Normal"/>
    <w:uiPriority w:val="10"/>
    <w:qFormat/>
    <w:rsid w:val="00681933"/>
    <w:pPr>
      <w:numPr>
        <w:numId w:val="21"/>
      </w:numPr>
    </w:pPr>
  </w:style>
  <w:style w:type="paragraph" w:styleId="ListBullet2">
    <w:name w:val="List Bullet 2"/>
    <w:aliases w:val="ŠList Bullet 2"/>
    <w:basedOn w:val="Normal"/>
    <w:uiPriority w:val="11"/>
    <w:qFormat/>
    <w:rsid w:val="00681933"/>
    <w:pPr>
      <w:numPr>
        <w:numId w:val="20"/>
      </w:numPr>
      <w:contextualSpacing/>
    </w:pPr>
  </w:style>
  <w:style w:type="character" w:styleId="SubtleReference">
    <w:name w:val="Subtle Reference"/>
    <w:aliases w:val="ŠSubtle Reference"/>
    <w:uiPriority w:val="31"/>
    <w:qFormat/>
    <w:rsid w:val="00681933"/>
    <w:rPr>
      <w:rFonts w:ascii="Arial" w:hAnsi="Arial"/>
      <w:sz w:val="22"/>
    </w:rPr>
  </w:style>
  <w:style w:type="paragraph" w:styleId="Quote">
    <w:name w:val="Quote"/>
    <w:aliases w:val="ŠQuote"/>
    <w:basedOn w:val="Normal"/>
    <w:next w:val="Normal"/>
    <w:link w:val="QuoteChar"/>
    <w:uiPriority w:val="29"/>
    <w:qFormat/>
    <w:rsid w:val="00681933"/>
    <w:pPr>
      <w:keepNext/>
      <w:spacing w:before="200" w:after="200" w:line="240" w:lineRule="atLeast"/>
      <w:ind w:left="567" w:right="567"/>
    </w:pPr>
  </w:style>
  <w:style w:type="paragraph" w:styleId="Date">
    <w:name w:val="Date"/>
    <w:aliases w:val="ŠDate"/>
    <w:basedOn w:val="Normal"/>
    <w:next w:val="Normal"/>
    <w:link w:val="DateChar"/>
    <w:uiPriority w:val="99"/>
    <w:rsid w:val="00681933"/>
    <w:pPr>
      <w:spacing w:before="0" w:after="0" w:line="720" w:lineRule="atLeast"/>
    </w:pPr>
  </w:style>
  <w:style w:type="character" w:customStyle="1" w:styleId="DateChar">
    <w:name w:val="Date Char"/>
    <w:aliases w:val="ŠDate Char"/>
    <w:basedOn w:val="DefaultParagraphFont"/>
    <w:link w:val="Date"/>
    <w:uiPriority w:val="99"/>
    <w:rsid w:val="00681933"/>
    <w:rPr>
      <w:rFonts w:ascii="Arial" w:hAnsi="Arial" w:cs="Arial"/>
      <w:sz w:val="24"/>
      <w:szCs w:val="24"/>
    </w:rPr>
  </w:style>
  <w:style w:type="paragraph" w:styleId="Signature">
    <w:name w:val="Signature"/>
    <w:aliases w:val="ŠSignature"/>
    <w:basedOn w:val="Normal"/>
    <w:link w:val="SignatureChar"/>
    <w:uiPriority w:val="99"/>
    <w:rsid w:val="00681933"/>
    <w:pPr>
      <w:spacing w:before="0" w:after="0" w:line="720" w:lineRule="atLeast"/>
    </w:pPr>
  </w:style>
  <w:style w:type="character" w:customStyle="1" w:styleId="SignatureChar">
    <w:name w:val="Signature Char"/>
    <w:aliases w:val="ŠSignature Char"/>
    <w:basedOn w:val="DefaultParagraphFont"/>
    <w:link w:val="Signature"/>
    <w:uiPriority w:val="99"/>
    <w:rsid w:val="00681933"/>
    <w:rPr>
      <w:rFonts w:ascii="Arial" w:hAnsi="Arial" w:cs="Arial"/>
      <w:sz w:val="24"/>
      <w:szCs w:val="24"/>
    </w:rPr>
  </w:style>
  <w:style w:type="character" w:styleId="Strong">
    <w:name w:val="Strong"/>
    <w:aliases w:val="ŠStrong"/>
    <w:uiPriority w:val="1"/>
    <w:qFormat/>
    <w:rsid w:val="00681933"/>
    <w:rPr>
      <w:b/>
    </w:rPr>
  </w:style>
  <w:style w:type="character" w:customStyle="1" w:styleId="QuoteChar">
    <w:name w:val="Quote Char"/>
    <w:aliases w:val="ŠQuote Char"/>
    <w:basedOn w:val="DefaultParagraphFont"/>
    <w:link w:val="Quote"/>
    <w:uiPriority w:val="29"/>
    <w:rsid w:val="00681933"/>
    <w:rPr>
      <w:rFonts w:ascii="Arial" w:hAnsi="Arial" w:cs="Arial"/>
      <w:sz w:val="24"/>
      <w:szCs w:val="24"/>
    </w:rPr>
  </w:style>
  <w:style w:type="paragraph" w:customStyle="1" w:styleId="FeatureBox2">
    <w:name w:val="ŠFeature Box 2"/>
    <w:basedOn w:val="Normal"/>
    <w:next w:val="Normal"/>
    <w:uiPriority w:val="12"/>
    <w:qFormat/>
    <w:rsid w:val="0068193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68193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681933"/>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68193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1933"/>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681933"/>
    <w:rPr>
      <w:color w:val="2F5496" w:themeColor="accent1" w:themeShade="BF"/>
      <w:u w:val="single"/>
    </w:rPr>
  </w:style>
  <w:style w:type="paragraph" w:customStyle="1" w:styleId="Logo">
    <w:name w:val="ŠLogo"/>
    <w:basedOn w:val="Normal"/>
    <w:uiPriority w:val="22"/>
    <w:qFormat/>
    <w:rsid w:val="00681933"/>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681933"/>
    <w:pPr>
      <w:tabs>
        <w:tab w:val="right" w:leader="dot" w:pos="14570"/>
      </w:tabs>
      <w:spacing w:before="0" w:after="0"/>
    </w:pPr>
    <w:rPr>
      <w:b/>
      <w:noProof/>
    </w:rPr>
  </w:style>
  <w:style w:type="paragraph" w:styleId="TOC2">
    <w:name w:val="toc 2"/>
    <w:aliases w:val="ŠTOC 2"/>
    <w:basedOn w:val="Normal"/>
    <w:next w:val="Normal"/>
    <w:uiPriority w:val="39"/>
    <w:unhideWhenUsed/>
    <w:rsid w:val="00681933"/>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681933"/>
    <w:pPr>
      <w:spacing w:before="0" w:after="0"/>
      <w:ind w:left="482"/>
    </w:pPr>
  </w:style>
  <w:style w:type="paragraph" w:styleId="Title">
    <w:name w:val="Title"/>
    <w:aliases w:val="ŠTitle"/>
    <w:basedOn w:val="Normal"/>
    <w:next w:val="Normal"/>
    <w:link w:val="TitleChar"/>
    <w:uiPriority w:val="2"/>
    <w:qFormat/>
    <w:rsid w:val="0068193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681933"/>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681933"/>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681933"/>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681933"/>
    <w:pPr>
      <w:outlineLvl w:val="9"/>
    </w:pPr>
    <w:rPr>
      <w:sz w:val="40"/>
      <w:szCs w:val="40"/>
    </w:rPr>
  </w:style>
  <w:style w:type="paragraph" w:styleId="Footer">
    <w:name w:val="footer"/>
    <w:aliases w:val="ŠFooter"/>
    <w:basedOn w:val="Normal"/>
    <w:link w:val="FooterChar"/>
    <w:uiPriority w:val="99"/>
    <w:rsid w:val="00681933"/>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681933"/>
    <w:rPr>
      <w:rFonts w:ascii="Arial" w:hAnsi="Arial" w:cs="Arial"/>
      <w:sz w:val="18"/>
      <w:szCs w:val="18"/>
    </w:rPr>
  </w:style>
  <w:style w:type="paragraph" w:styleId="Header">
    <w:name w:val="header"/>
    <w:aliases w:val="ŠHeader"/>
    <w:basedOn w:val="Normal"/>
    <w:link w:val="HeaderChar"/>
    <w:uiPriority w:val="24"/>
    <w:unhideWhenUsed/>
    <w:rsid w:val="0068193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681933"/>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681933"/>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681933"/>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681933"/>
    <w:rPr>
      <w:rFonts w:ascii="Arial" w:hAnsi="Arial" w:cs="Arial"/>
      <w:color w:val="002664"/>
      <w:sz w:val="32"/>
      <w:szCs w:val="32"/>
    </w:rPr>
  </w:style>
  <w:style w:type="character" w:styleId="UnresolvedMention">
    <w:name w:val="Unresolved Mention"/>
    <w:basedOn w:val="DefaultParagraphFont"/>
    <w:uiPriority w:val="99"/>
    <w:semiHidden/>
    <w:unhideWhenUsed/>
    <w:rsid w:val="00681933"/>
    <w:rPr>
      <w:color w:val="605E5C"/>
      <w:shd w:val="clear" w:color="auto" w:fill="E1DFDD"/>
    </w:rPr>
  </w:style>
  <w:style w:type="character" w:styleId="Emphasis">
    <w:name w:val="Emphasis"/>
    <w:aliases w:val="ŠLanguage or scientific"/>
    <w:uiPriority w:val="20"/>
    <w:qFormat/>
    <w:rsid w:val="00681933"/>
    <w:rPr>
      <w:i/>
      <w:iCs/>
    </w:rPr>
  </w:style>
  <w:style w:type="character" w:styleId="SubtleEmphasis">
    <w:name w:val="Subtle Emphasis"/>
    <w:basedOn w:val="DefaultParagraphFont"/>
    <w:uiPriority w:val="19"/>
    <w:semiHidden/>
    <w:qFormat/>
    <w:rsid w:val="00681933"/>
    <w:rPr>
      <w:i/>
      <w:iCs/>
      <w:color w:val="404040" w:themeColor="text1" w:themeTint="BF"/>
    </w:rPr>
  </w:style>
  <w:style w:type="paragraph" w:styleId="TOC4">
    <w:name w:val="toc 4"/>
    <w:aliases w:val="ŠTOC 4"/>
    <w:basedOn w:val="Normal"/>
    <w:next w:val="Normal"/>
    <w:autoRedefine/>
    <w:uiPriority w:val="39"/>
    <w:unhideWhenUsed/>
    <w:rsid w:val="00681933"/>
    <w:pPr>
      <w:spacing w:before="0" w:after="0"/>
      <w:ind w:left="720"/>
    </w:pPr>
  </w:style>
  <w:style w:type="character" w:styleId="CommentReference">
    <w:name w:val="annotation reference"/>
    <w:basedOn w:val="DefaultParagraphFont"/>
    <w:uiPriority w:val="99"/>
    <w:semiHidden/>
    <w:unhideWhenUsed/>
    <w:rsid w:val="00681933"/>
    <w:rPr>
      <w:sz w:val="16"/>
      <w:szCs w:val="16"/>
    </w:rPr>
  </w:style>
  <w:style w:type="paragraph" w:styleId="CommentText">
    <w:name w:val="annotation text"/>
    <w:basedOn w:val="Normal"/>
    <w:link w:val="CommentTextChar"/>
    <w:uiPriority w:val="99"/>
    <w:unhideWhenUsed/>
    <w:rsid w:val="00681933"/>
    <w:pPr>
      <w:spacing w:line="240" w:lineRule="auto"/>
    </w:pPr>
    <w:rPr>
      <w:sz w:val="20"/>
      <w:szCs w:val="20"/>
    </w:rPr>
  </w:style>
  <w:style w:type="character" w:customStyle="1" w:styleId="CommentTextChar">
    <w:name w:val="Comment Text Char"/>
    <w:basedOn w:val="DefaultParagraphFont"/>
    <w:link w:val="CommentText"/>
    <w:uiPriority w:val="99"/>
    <w:rsid w:val="0068193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1933"/>
    <w:rPr>
      <w:b/>
      <w:bCs/>
    </w:rPr>
  </w:style>
  <w:style w:type="character" w:customStyle="1" w:styleId="CommentSubjectChar">
    <w:name w:val="Comment Subject Char"/>
    <w:basedOn w:val="CommentTextChar"/>
    <w:link w:val="CommentSubject"/>
    <w:uiPriority w:val="99"/>
    <w:semiHidden/>
    <w:rsid w:val="00681933"/>
    <w:rPr>
      <w:rFonts w:ascii="Arial" w:hAnsi="Arial" w:cs="Arial"/>
      <w:b/>
      <w:bCs/>
      <w:sz w:val="20"/>
      <w:szCs w:val="20"/>
    </w:rPr>
  </w:style>
  <w:style w:type="paragraph" w:styleId="ListParagraph">
    <w:name w:val="List Paragraph"/>
    <w:basedOn w:val="Normal"/>
    <w:uiPriority w:val="34"/>
    <w:unhideWhenUsed/>
    <w:qFormat/>
    <w:rsid w:val="00681933"/>
    <w:pPr>
      <w:ind w:left="720"/>
      <w:contextualSpacing/>
    </w:pPr>
  </w:style>
  <w:style w:type="paragraph" w:styleId="NormalWeb">
    <w:name w:val="Normal (Web)"/>
    <w:basedOn w:val="Normal"/>
    <w:uiPriority w:val="99"/>
    <w:unhideWhenUsed/>
    <w:rsid w:val="00C02DF9"/>
    <w:pPr>
      <w:spacing w:beforeAutospacing="1" w:after="119" w:line="240" w:lineRule="auto"/>
    </w:pPr>
    <w:rPr>
      <w:rFonts w:ascii="Times New Roman" w:eastAsia="Times New Roman" w:hAnsi="Times New Roman" w:cs="Times New Roman"/>
      <w:lang w:eastAsia="en-AU"/>
    </w:rPr>
  </w:style>
  <w:style w:type="paragraph" w:styleId="Revision">
    <w:name w:val="Revision"/>
    <w:hidden/>
    <w:uiPriority w:val="99"/>
    <w:semiHidden/>
    <w:rsid w:val="004F06FE"/>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D60CB8"/>
    <w:rPr>
      <w:color w:val="954F72" w:themeColor="followedHyperlink"/>
      <w:u w:val="single"/>
    </w:rPr>
  </w:style>
  <w:style w:type="paragraph" w:styleId="TableofFigures">
    <w:name w:val="table of figures"/>
    <w:aliases w:val="ŠTable of figures"/>
    <w:basedOn w:val="Normal"/>
    <w:next w:val="Normal"/>
    <w:uiPriority w:val="99"/>
    <w:unhideWhenUsed/>
    <w:qFormat/>
    <w:rsid w:val="00403989"/>
    <w:pPr>
      <w:spacing w:before="240" w:after="0" w:line="276" w:lineRule="auto"/>
    </w:pPr>
    <w:rPr>
      <w:rFonts w:cstheme="minorBidi"/>
    </w:rPr>
  </w:style>
  <w:style w:type="paragraph" w:styleId="BalloonText">
    <w:name w:val="Balloon Text"/>
    <w:basedOn w:val="Normal"/>
    <w:link w:val="BalloonTextChar"/>
    <w:uiPriority w:val="99"/>
    <w:semiHidden/>
    <w:unhideWhenUsed/>
    <w:rsid w:val="0040398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9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pixabay.com" TargetMode="External"/><Relationship Id="rId42" Type="http://schemas.openxmlformats.org/officeDocument/2006/relationships/hyperlink" Target="https://app.education.nsw.gov.au/digital-learning-selector/LearningActivity/Card/583" TargetMode="External"/><Relationship Id="rId47" Type="http://schemas.openxmlformats.org/officeDocument/2006/relationships/hyperlink" Target="https://education.nsw.gov.au/teaching-and-learning/aec/aboriginal-education-in-nsw-public-schools" TargetMode="External"/><Relationship Id="rId63" Type="http://schemas.openxmlformats.org/officeDocument/2006/relationships/hyperlink" Target="https://education.nsw.gov.au/teaching-and-learning/learning-from-home/teaching-at-home/teaching-and-learning-resources/universal-design-for-learning" TargetMode="External"/><Relationship Id="rId68" Type="http://schemas.openxmlformats.org/officeDocument/2006/relationships/hyperlink" Target="https://quizlet.com/" TargetMode="Externa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forms.office.com/Pages/ResponsePage.aspx?id=muagBYpBwUecJZOHJhv5kbKo2q_ZUXlHndJMnh2Wd8NUOUk0VTIzUDVVSlVFQVM5MkdOMkJGTjVKNCQlQCN0PWcu" TargetMode="Externa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app.education.nsw.gov.au/digital-learning-selector/LearningActivity/Card/575" TargetMode="External"/><Relationship Id="rId37" Type="http://schemas.openxmlformats.org/officeDocument/2006/relationships/hyperlink" Target="https://www.aitsl.edu.au/teach/improve-practice/feedback" TargetMode="External"/><Relationship Id="rId40" Type="http://schemas.openxmlformats.org/officeDocument/2006/relationships/hyperlink" Target="https://app.education.nsw.gov.au/digital-learning-selector/LearningActivity/Card/645" TargetMode="External"/><Relationship Id="rId45" Type="http://schemas.openxmlformats.org/officeDocument/2006/relationships/hyperlink" Target="https://education.nsw.gov.au/teaching-and-learning/professional-learning/teacher-quality-and-accreditation/strong-start-great-teachers/refining-practice/differentiating-learning" TargetMode="External"/><Relationship Id="rId53" Type="http://schemas.openxmlformats.org/officeDocument/2006/relationships/hyperlink" Target="https://education.nsw.gov.au/teaching-and-learning/learning-from-home/teaching-at-home/teaching-and-learning-resources/universal-design-for-learning" TargetMode="External"/><Relationship Id="rId58" Type="http://schemas.openxmlformats.org/officeDocument/2006/relationships/hyperlink" Target="https://schoolsnsw.sharepoint.com/sites/HPGEHub/SitePages/Home.aspx" TargetMode="External"/><Relationship Id="rId66" Type="http://schemas.openxmlformats.org/officeDocument/2006/relationships/hyperlink" Target="https://nswcurriculumreform.nesa.nsw.edu.au/pdfs/phase-3/final-report/NSW_Curriculum_Review_Final_Report.pdf"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ducation.nsw.gov.au/teaching-and-learning/curriculum/department-approved-courses/critical-thinking" TargetMode="External"/><Relationship Id="rId19" Type="http://schemas.openxmlformats.org/officeDocument/2006/relationships/image" Target="media/image8.jpeg"/><Relationship Id="rId14" Type="http://schemas.openxmlformats.org/officeDocument/2006/relationships/image" Target="media/image3.jpeg"/><Relationship Id="rId22" Type="http://schemas.openxmlformats.org/officeDocument/2006/relationships/hyperlink" Target="https://pixabay.com/service/license/" TargetMode="External"/><Relationship Id="rId27" Type="http://schemas.openxmlformats.org/officeDocument/2006/relationships/header" Target="header1.xml"/><Relationship Id="rId30" Type="http://schemas.openxmlformats.org/officeDocument/2006/relationships/hyperlink" Target="https://app.education.nsw.gov.au/digital-learning-selector/LearningActivity/Card/622" TargetMode="External"/><Relationship Id="rId35" Type="http://schemas.openxmlformats.org/officeDocument/2006/relationships/hyperlink" Target="https://app.education.nsw.gov.au/digital-learning-selector/LearningTool/Card/587" TargetMode="External"/><Relationship Id="rId43" Type="http://schemas.openxmlformats.org/officeDocument/2006/relationships/hyperlink" Target="https://app.education.nsw.gov.au/digital-learning-selector/LearningActivity/Card/564" TargetMode="External"/><Relationship Id="rId48" Type="http://schemas.openxmlformats.org/officeDocument/2006/relationships/hyperlink" Target="https://education.nsw.gov.au/teaching-and-learning/curriculum/literacy-and-numeracy/resources-for-schools/eald/enhanced-teaching-and-learning-cycle" TargetMode="External"/><Relationship Id="rId56" Type="http://schemas.openxmlformats.org/officeDocument/2006/relationships/hyperlink" Target="https://education.nsw.gov.au/teaching-and-learning/high-potential-and-gifted-education/supporting-educators/evaluate" TargetMode="External"/><Relationship Id="rId64" Type="http://schemas.openxmlformats.org/officeDocument/2006/relationships/hyperlink" Target="https://education.nsw.gov.au/about-us/copyright" TargetMode="External"/><Relationship Id="rId69" Type="http://schemas.openxmlformats.org/officeDocument/2006/relationships/hyperlink" Target="https://education.nsw.gov.au/about-us/educational-data/cese/publications/research-reports/what-works-best-2020-update" TargetMode="External"/><Relationship Id="rId8" Type="http://schemas.openxmlformats.org/officeDocument/2006/relationships/webSettings" Target="webSettings.xml"/><Relationship Id="rId51" Type="http://schemas.openxmlformats.org/officeDocument/2006/relationships/hyperlink" Target="https://education.nsw.gov.au/teaching-and-learning/curriculum/literacy-and-numeracy/resources-for-schools/eald" TargetMode="External"/><Relationship Id="rId72" Type="http://schemas.openxmlformats.org/officeDocument/2006/relationships/hyperlink" Target="https://doi.org/10.3389/fpsyg.2019.03087" TargetMode="External"/><Relationship Id="rId3" Type="http://schemas.openxmlformats.org/officeDocument/2006/relationships/customXml" Target="../customXml/item3.xml"/><Relationship Id="rId12" Type="http://schemas.openxmlformats.org/officeDocument/2006/relationships/hyperlink" Target="https://education.nsw.gov.au/teaching-and-learning/curriculum/department-approved-courses/critical-thinking" TargetMode="External"/><Relationship Id="rId17" Type="http://schemas.openxmlformats.org/officeDocument/2006/relationships/image" Target="media/image6.jpeg"/><Relationship Id="rId25" Type="http://schemas.openxmlformats.org/officeDocument/2006/relationships/footer" Target="footer1.xml"/><Relationship Id="rId33" Type="http://schemas.openxmlformats.org/officeDocument/2006/relationships/hyperlink" Target="https://app.education.nsw.gov.au/digital-learning-selector/LearningActivity/Card/557" TargetMode="External"/><Relationship Id="rId38" Type="http://schemas.openxmlformats.org/officeDocument/2006/relationships/hyperlink" Target="https://app.education.nsw.gov.au/digital-learning-selector/LearningActivity/Card/549" TargetMode="External"/><Relationship Id="rId46" Type="http://schemas.openxmlformats.org/officeDocument/2006/relationships/hyperlink" Target="https://education.nsw.gov.au/campaigns/inclusive-practice-hub/primary-school/teaching-strategies/differentiation" TargetMode="External"/><Relationship Id="rId59" Type="http://schemas.openxmlformats.org/officeDocument/2006/relationships/hyperlink" Target="mailto:secondaryteachingandlearning@det.nsw.edu.au" TargetMode="External"/><Relationship Id="rId67" Type="http://schemas.openxmlformats.org/officeDocument/2006/relationships/hyperlink" Target="https://wac.colostate.edu/resources/writing/guides/toulmin/" TargetMode="External"/><Relationship Id="rId20" Type="http://schemas.openxmlformats.org/officeDocument/2006/relationships/image" Target="media/image9.jpeg"/><Relationship Id="rId41" Type="http://schemas.openxmlformats.org/officeDocument/2006/relationships/hyperlink" Target="https://app.education.nsw.gov.au/digital-learning-selector/LearningActivity/Card/562" TargetMode="External"/><Relationship Id="rId54" Type="http://schemas.openxmlformats.org/officeDocument/2006/relationships/hyperlink" Target="https://education.nsw.gov.au/campaigns/inclusive-practice-hub/primary-school/teaching-strategies/differentiation" TargetMode="External"/><Relationship Id="rId62" Type="http://schemas.openxmlformats.org/officeDocument/2006/relationships/hyperlink" Target="https://education.nsw.gov.au/teaching-and-learning/curriculum/statewide-staffrooms" TargetMode="External"/><Relationship Id="rId70" Type="http://schemas.openxmlformats.org/officeDocument/2006/relationships/hyperlink" Target="https://education.nsw.gov.au/about-us/educational-data/cese/publications/practical-guides-for-educators-/what-works-best-in-pract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wac.colostate.edu/resources/writing/guides/toulmin/" TargetMode="External"/><Relationship Id="rId28" Type="http://schemas.openxmlformats.org/officeDocument/2006/relationships/footer" Target="footer3.xml"/><Relationship Id="rId36" Type="http://schemas.openxmlformats.org/officeDocument/2006/relationships/hyperlink" Target="https://quizlet.com/" TargetMode="External"/><Relationship Id="rId49" Type="http://schemas.openxmlformats.org/officeDocument/2006/relationships/hyperlink" Target="https://education.nsw.gov.au/teaching-and-learning/curriculum/multicultural-education/english-as-an-additional-language-or-dialect/planning-eald-support/english-language-proficiency" TargetMode="External"/><Relationship Id="rId57" Type="http://schemas.openxmlformats.org/officeDocument/2006/relationships/hyperlink" Target="https://education.nsw.gov.au/teaching-and-learning/high-potential-and-gifted-education/supporting-educators/implement/differentiation-adjustment-strategies" TargetMode="External"/><Relationship Id="rId10" Type="http://schemas.openxmlformats.org/officeDocument/2006/relationships/endnotes" Target="endnotes.xml"/><Relationship Id="rId31" Type="http://schemas.openxmlformats.org/officeDocument/2006/relationships/hyperlink" Target="https://app.education.nsw.gov.au/digital-learning-selector/LearningActivity/Card/543" TargetMode="External"/><Relationship Id="rId44" Type="http://schemas.openxmlformats.org/officeDocument/2006/relationships/hyperlink" Target="https://education.nsw.gov.au/about-us/educational-data/cese/publications/research-reports/what-works-best-2020-update" TargetMode="External"/><Relationship Id="rId52" Type="http://schemas.openxmlformats.org/officeDocument/2006/relationships/hyperlink" Target="https://education.nsw.gov.au/teaching-and-learning/disability-learning-and-support/personalised-support-for-learning/adjustments-to-teaching-and-learning" TargetMode="External"/><Relationship Id="rId60" Type="http://schemas.openxmlformats.org/officeDocument/2006/relationships/hyperlink" Target="https://educationstandards.nsw.edu.au/wps/portal/nesa/teacher-accreditation/meeting-requirements/the-standards/proficient-teacher" TargetMode="External"/><Relationship Id="rId65" Type="http://schemas.openxmlformats.org/officeDocument/2006/relationships/hyperlink" Target="https://www.aitsl.edu.au/teach/improve-practice/feedback"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image" Target="media/image7.jpeg"/><Relationship Id="rId39" Type="http://schemas.openxmlformats.org/officeDocument/2006/relationships/hyperlink" Target="https://app.education.nsw.gov.au/digital-learning-selector/LearningActivity/Browser?cache_id=1d29b" TargetMode="External"/><Relationship Id="rId34" Type="http://schemas.openxmlformats.org/officeDocument/2006/relationships/hyperlink" Target="https://app.education.nsw.gov.au/digital-learning-selector/LearningTool/Card/621" TargetMode="External"/><Relationship Id="rId50" Type="http://schemas.openxmlformats.org/officeDocument/2006/relationships/hyperlink" Target="https://education.nsw.gov.au/teaching-and-learning/curriculum/multicultural-education/english-as-an-additional-language-or-dialect/planning-eald-support/english-language-proficiency" TargetMode="External"/><Relationship Id="rId55" Type="http://schemas.openxmlformats.org/officeDocument/2006/relationships/hyperlink" Target="https://education.nsw.gov.au/teaching-and-learning/high-potential-and-gifted-education/supporting-educators/assess-and-identify" TargetMode="External"/><Relationship Id="rId7" Type="http://schemas.openxmlformats.org/officeDocument/2006/relationships/settings" Target="settings.xml"/><Relationship Id="rId71" Type="http://schemas.openxmlformats.org/officeDocument/2006/relationships/hyperlink" Target="https://www.researchgate.net/publication/258423377_Assessment_The_bridge_between_teaching_and_learnin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58E05-1344-4F12-AF52-275DEA2594B7}">
  <ds:schemaRefs>
    <ds:schemaRef ds:uri="http://schemas.microsoft.com/office/2006/metadata/properties"/>
    <ds:schemaRef ds:uri="http://schemas.microsoft.com/office/infopath/2007/PartnerControls"/>
    <ds:schemaRef ds:uri="71c5a270-2cab-4081-bd60-6681928412a9"/>
  </ds:schemaRefs>
</ds:datastoreItem>
</file>

<file path=customXml/itemProps2.xml><?xml version="1.0" encoding="utf-8"?>
<ds:datastoreItem xmlns:ds="http://schemas.openxmlformats.org/officeDocument/2006/customXml" ds:itemID="{9C3E6BC5-2C7A-4023-9F70-D55578FD14F8}"/>
</file>

<file path=customXml/itemProps3.xml><?xml version="1.0" encoding="utf-8"?>
<ds:datastoreItem xmlns:ds="http://schemas.openxmlformats.org/officeDocument/2006/customXml" ds:itemID="{B42CB07A-B0A7-48EF-8D6A-15BB535E3D01}">
  <ds:schemaRefs>
    <ds:schemaRef ds:uri="http://schemas.openxmlformats.org/officeDocument/2006/bibliography"/>
  </ds:schemaRefs>
</ds:datastoreItem>
</file>

<file path=customXml/itemProps4.xml><?xml version="1.0" encoding="utf-8"?>
<ds:datastoreItem xmlns:ds="http://schemas.openxmlformats.org/officeDocument/2006/customXml" ds:itemID="{8F5B5C41-0499-484F-88B9-4F20314BB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core 1 – assessment task</dc:title>
  <dc:subject/>
  <dc:creator>NSW Department of Education</dc:creator>
  <cp:keywords/>
  <dc:description/>
  <dcterms:created xsi:type="dcterms:W3CDTF">2022-11-13T22:13:00Z</dcterms:created>
  <dcterms:modified xsi:type="dcterms:W3CDTF">2022-11-13T22:13:00Z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