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A35E" w14:textId="25842D14" w:rsidR="00186B6E" w:rsidRDefault="006F00A4">
      <w:pPr>
        <w:pStyle w:val="Title"/>
      </w:pPr>
      <w:bookmarkStart w:id="0" w:name="_heading=h.gjdgxs" w:colFirst="0" w:colLast="0"/>
      <w:bookmarkEnd w:id="0"/>
      <w:r>
        <w:t xml:space="preserve">Assessment task </w:t>
      </w:r>
    </w:p>
    <w:p w14:paraId="4720A35F" w14:textId="04906E01" w:rsidR="00186B6E" w:rsidRDefault="00C16468">
      <w:pPr>
        <w:pStyle w:val="Heading1"/>
      </w:pPr>
      <w:r>
        <w:t>Stage 5</w:t>
      </w:r>
      <w:r w:rsidR="006F00A4">
        <w:t xml:space="preserve"> drama</w:t>
      </w:r>
    </w:p>
    <w:p w14:paraId="4720A360" w14:textId="23A09F4C" w:rsidR="00186B6E" w:rsidRDefault="00CC738F" w:rsidP="00730945">
      <w:pPr>
        <w:pStyle w:val="Heading2"/>
        <w:numPr>
          <w:ilvl w:val="1"/>
          <w:numId w:val="0"/>
        </w:numPr>
      </w:pPr>
      <w:r>
        <w:t>Place-based</w:t>
      </w:r>
      <w:r w:rsidR="0013075D">
        <w:t xml:space="preserve"> p</w:t>
      </w:r>
      <w:r w:rsidR="006F00A4">
        <w:t xml:space="preserve">laybuilding </w:t>
      </w:r>
    </w:p>
    <w:p w14:paraId="7A19318B" w14:textId="0CE15FCE" w:rsidR="08F723EE" w:rsidRDefault="08F723EE" w:rsidP="30C05203">
      <w:r w:rsidRPr="30C05203">
        <w:t xml:space="preserve">This assessment task is not designed as a stand-alone resource. It is for use with the 'Playbuilding with Aboriginal </w:t>
      </w:r>
      <w:r w:rsidR="45FE22AD" w:rsidRPr="30C05203">
        <w:t>Pedagogies</w:t>
      </w:r>
      <w:r w:rsidRPr="30C05203">
        <w:t>' resource. When discussing the significance of local place with students, teachers should be guided by the advice in this learning sequence.</w:t>
      </w:r>
    </w:p>
    <w:p w14:paraId="4720A362" w14:textId="77777777" w:rsidR="00186B6E" w:rsidRDefault="006F00A4" w:rsidP="00730945">
      <w:pPr>
        <w:pStyle w:val="Heading3"/>
        <w:numPr>
          <w:ilvl w:val="0"/>
          <w:numId w:val="0"/>
        </w:numPr>
      </w:pPr>
      <w:r>
        <w:t>Outcomes to be assessed</w:t>
      </w:r>
    </w:p>
    <w:tbl>
      <w:tblPr>
        <w:tblStyle w:val="a"/>
        <w:tblW w:w="9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  <w:tblCaption w:val="Stage 5 drama syllabus outcomes"/>
        <w:tblDescription w:val="A list of making, performing and appreciating outcomes assessed through this task."/>
      </w:tblPr>
      <w:tblGrid>
        <w:gridCol w:w="2238"/>
        <w:gridCol w:w="7334"/>
      </w:tblGrid>
      <w:tr w:rsidR="00186B6E" w14:paraId="4720A365" w14:textId="77777777" w:rsidTr="009701AD">
        <w:tc>
          <w:tcPr>
            <w:tcW w:w="2238" w:type="dxa"/>
            <w:tcBorders>
              <w:top w:val="single" w:sz="24" w:space="0" w:color="1F3864"/>
              <w:left w:val="single" w:sz="24" w:space="0" w:color="1F3864"/>
              <w:bottom w:val="single" w:sz="24" w:space="0" w:color="C00000"/>
              <w:right w:val="single" w:sz="24" w:space="0" w:color="1F3864"/>
            </w:tcBorders>
            <w:shd w:val="clear" w:color="auto" w:fill="1F3864"/>
          </w:tcPr>
          <w:p w14:paraId="4720A363" w14:textId="77777777" w:rsidR="00186B6E" w:rsidRPr="00CC08C8" w:rsidRDefault="006F0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276" w:lineRule="auto"/>
              <w:rPr>
                <w:b/>
                <w:color w:val="FFFFFF" w:themeColor="background1"/>
                <w:sz w:val="24"/>
                <w:szCs w:val="24"/>
              </w:rPr>
            </w:pPr>
            <w:bookmarkStart w:id="1" w:name="_GoBack" w:colFirst="0" w:colLast="2"/>
            <w:r w:rsidRPr="00CC08C8">
              <w:rPr>
                <w:b/>
                <w:color w:val="FFFFFF" w:themeColor="background1"/>
                <w:sz w:val="24"/>
                <w:szCs w:val="24"/>
              </w:rPr>
              <w:t>Practice</w:t>
            </w:r>
          </w:p>
        </w:tc>
        <w:tc>
          <w:tcPr>
            <w:tcW w:w="7334" w:type="dxa"/>
            <w:tcBorders>
              <w:top w:val="single" w:sz="24" w:space="0" w:color="1F3864"/>
              <w:left w:val="single" w:sz="24" w:space="0" w:color="1F3864"/>
              <w:bottom w:val="single" w:sz="24" w:space="0" w:color="C00000"/>
              <w:right w:val="single" w:sz="24" w:space="0" w:color="1F3864"/>
            </w:tcBorders>
            <w:shd w:val="clear" w:color="auto" w:fill="1F3864"/>
          </w:tcPr>
          <w:p w14:paraId="4720A364" w14:textId="77777777" w:rsidR="00186B6E" w:rsidRPr="00CC08C8" w:rsidRDefault="006F0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276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C08C8">
              <w:rPr>
                <w:b/>
                <w:color w:val="FFFFFF" w:themeColor="background1"/>
                <w:sz w:val="24"/>
                <w:szCs w:val="24"/>
              </w:rPr>
              <w:t>A student</w:t>
            </w:r>
          </w:p>
        </w:tc>
      </w:tr>
      <w:bookmarkEnd w:id="1"/>
      <w:tr w:rsidR="00186B6E" w14:paraId="4720A368" w14:textId="77777777" w:rsidTr="009701AD"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A366" w14:textId="77777777" w:rsidR="00186B6E" w:rsidRDefault="006F0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Making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A367" w14:textId="77777777" w:rsidR="00186B6E" w:rsidRDefault="006F00A4">
            <w:r>
              <w:t>5.1.2 contributes, selects, develops and structures ideas in improvisation and playbuilding</w:t>
            </w:r>
          </w:p>
        </w:tc>
      </w:tr>
      <w:tr w:rsidR="00186B6E" w14:paraId="4720A36B" w14:textId="77777777" w:rsidTr="009701AD"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720A369" w14:textId="77777777" w:rsidR="00186B6E" w:rsidRDefault="006F0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Performing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720A36A" w14:textId="77777777" w:rsidR="00186B6E" w:rsidRDefault="006F00A4">
            <w:pPr>
              <w:rPr>
                <w:color w:val="000000"/>
              </w:rPr>
            </w:pPr>
            <w:r>
              <w:t>5.2.1 applies acting and performance techniques expressively and collaboratively to communicate dramatic meaning</w:t>
            </w:r>
          </w:p>
        </w:tc>
      </w:tr>
      <w:tr w:rsidR="00186B6E" w14:paraId="4720A36E" w14:textId="77777777" w:rsidTr="009701AD"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A36C" w14:textId="77777777" w:rsidR="00186B6E" w:rsidRDefault="006F0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Appreciating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A36D" w14:textId="77777777" w:rsidR="00186B6E" w:rsidRDefault="006F00A4">
            <w:r>
              <w:t>5.3.1 responds to, reflects on and evaluates elements of drama, dramatic forms, performance styles, dramatic techniques and theatrical conventions.</w:t>
            </w:r>
          </w:p>
        </w:tc>
      </w:tr>
    </w:tbl>
    <w:p w14:paraId="4720A36F" w14:textId="77777777" w:rsidR="00186B6E" w:rsidRDefault="006F00A4">
      <w:pPr>
        <w:pBdr>
          <w:top w:val="single" w:sz="24" w:space="10" w:color="1C438B"/>
          <w:left w:val="single" w:sz="24" w:space="10" w:color="1C438B"/>
          <w:bottom w:val="single" w:sz="24" w:space="10" w:color="1C438B"/>
          <w:right w:val="single" w:sz="24" w:space="10" w:color="1C438B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Due date: </w:t>
      </w:r>
    </w:p>
    <w:p w14:paraId="4720A370" w14:textId="72062E67" w:rsidR="00186B6E" w:rsidRDefault="006F00A4" w:rsidP="00730945">
      <w:pPr>
        <w:pStyle w:val="Heading3"/>
        <w:numPr>
          <w:ilvl w:val="2"/>
          <w:numId w:val="0"/>
        </w:numPr>
      </w:pPr>
      <w:r>
        <w:t>Task description</w:t>
      </w:r>
    </w:p>
    <w:p w14:paraId="3DBC7170" w14:textId="0125A8EE" w:rsidR="00296C59" w:rsidRDefault="00EE61DE" w:rsidP="00730945">
      <w:pPr>
        <w:pStyle w:val="Heading4"/>
        <w:numPr>
          <w:ilvl w:val="3"/>
          <w:numId w:val="0"/>
        </w:numPr>
        <w:rPr>
          <w:noProof/>
        </w:rPr>
      </w:pPr>
      <w:commentRangeStart w:id="2"/>
      <w:commentRangeEnd w:id="2"/>
      <w:r>
        <w:rPr>
          <w:noProof/>
        </w:rPr>
        <w:drawing>
          <wp:inline distT="0" distB="0" distL="0" distR="0" wp14:anchorId="4DBC714B" wp14:editId="7012CDE7">
            <wp:extent cx="457200" cy="457200"/>
            <wp:effectExtent l="0" t="0" r="0" b="0"/>
            <wp:docPr id="3" name="Picture 3" descr="8 Ways of Aboriginal learning symbol for land 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Start w:id="3"/>
      <w:commentRangeEnd w:id="3"/>
      <w:r>
        <w:t xml:space="preserve"> </w:t>
      </w:r>
      <w:r w:rsidR="00730945">
        <w:t>P</w:t>
      </w:r>
      <w:r w:rsidR="00CC738F">
        <w:t>lace-based p</w:t>
      </w:r>
      <w:r w:rsidR="00730945">
        <w:t>laybuilding</w:t>
      </w:r>
      <w:r w:rsidR="00296C59">
        <w:t xml:space="preserve"> </w:t>
      </w:r>
    </w:p>
    <w:p w14:paraId="4720A372" w14:textId="64A02E68" w:rsidR="00186B6E" w:rsidRPr="004F2CDE" w:rsidRDefault="006F00A4">
      <w:pPr>
        <w:spacing w:line="360" w:lineRule="auto"/>
      </w:pPr>
      <w:r>
        <w:t xml:space="preserve">Students will </w:t>
      </w:r>
      <w:r w:rsidR="00730945">
        <w:t>collaborate</w:t>
      </w:r>
      <w:r>
        <w:t xml:space="preserve"> in groups of 3-6 to devise </w:t>
      </w:r>
      <w:r w:rsidR="00730945">
        <w:t>a</w:t>
      </w:r>
      <w:r>
        <w:t xml:space="preserve"> </w:t>
      </w:r>
      <w:r w:rsidR="00730945">
        <w:t>performance</w:t>
      </w:r>
      <w:r>
        <w:t xml:space="preserve"> in response t</w:t>
      </w:r>
      <w:r w:rsidR="0013075D">
        <w:t>o</w:t>
      </w:r>
      <w:r w:rsidR="00CC738F">
        <w:t xml:space="preserve"> </w:t>
      </w:r>
      <w:r w:rsidR="002306B6">
        <w:t>a</w:t>
      </w:r>
      <w:r w:rsidR="00CC738F">
        <w:t xml:space="preserve"> place that is significant to the group and the</w:t>
      </w:r>
      <w:r w:rsidR="00CC738F" w:rsidRPr="017A6B7A">
        <w:rPr>
          <w:color w:val="FF0000"/>
        </w:rPr>
        <w:t xml:space="preserve"> </w:t>
      </w:r>
      <w:r w:rsidR="00CC738F" w:rsidRPr="017A6B7A">
        <w:t>local</w:t>
      </w:r>
      <w:r w:rsidR="2D404A44" w:rsidRPr="017A6B7A">
        <w:t xml:space="preserve"> </w:t>
      </w:r>
      <w:r w:rsidR="00CC738F">
        <w:t xml:space="preserve">community. </w:t>
      </w:r>
      <w:r>
        <w:t xml:space="preserve">The </w:t>
      </w:r>
      <w:proofErr w:type="gramStart"/>
      <w:r w:rsidR="00582242">
        <w:t>4</w:t>
      </w:r>
      <w:r>
        <w:t>-</w:t>
      </w:r>
      <w:r w:rsidR="00582242">
        <w:t>6</w:t>
      </w:r>
      <w:r w:rsidR="00730945">
        <w:t xml:space="preserve"> </w:t>
      </w:r>
      <w:r>
        <w:t>minute</w:t>
      </w:r>
      <w:proofErr w:type="gramEnd"/>
      <w:r>
        <w:t xml:space="preserve"> group devised performance should </w:t>
      </w:r>
      <w:r w:rsidR="00CC738F">
        <w:t xml:space="preserve">share a story that is clearly linked to and inspired by </w:t>
      </w:r>
      <w:r w:rsidR="002306B6">
        <w:t>a</w:t>
      </w:r>
      <w:r w:rsidR="00CC738F">
        <w:t xml:space="preserve"> place. The structure of the story should be non-linear and may include flashbacks, a narrator and/or </w:t>
      </w:r>
      <w:r w:rsidR="00CC738F">
        <w:lastRenderedPageBreak/>
        <w:t>be retold from multiple points of view. Performances must include some use of movement</w:t>
      </w:r>
      <w:r w:rsidR="002A2FCB">
        <w:t xml:space="preserve"> and image</w:t>
      </w:r>
      <w:r w:rsidR="00CC738F">
        <w:t xml:space="preserve"> to communicate dramatic meaning non-verbally. </w:t>
      </w:r>
    </w:p>
    <w:p w14:paraId="4720A373" w14:textId="5F1EB1D0" w:rsidR="00186B6E" w:rsidRDefault="00EE61DE" w:rsidP="00730945">
      <w:pPr>
        <w:pStyle w:val="Heading4"/>
        <w:numPr>
          <w:ilvl w:val="3"/>
          <w:numId w:val="0"/>
        </w:num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096A18F2" wp14:editId="464BA5A6">
            <wp:extent cx="457200" cy="457200"/>
            <wp:effectExtent l="0" t="0" r="0" b="0"/>
            <wp:docPr id="1" name="Picture 1" descr="8 Ways of Aboriginal learning symbol for learning m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D1B55">
        <w:t>Learning map</w:t>
      </w:r>
      <w:r>
        <w:t xml:space="preserve"> </w:t>
      </w:r>
    </w:p>
    <w:p w14:paraId="4720A374" w14:textId="6950E075" w:rsidR="00186B6E" w:rsidRDefault="00BD1B55">
      <w:pPr>
        <w:spacing w:line="360" w:lineRule="auto"/>
      </w:pPr>
      <w:r>
        <w:t>In the lesson following their performance, e</w:t>
      </w:r>
      <w:r w:rsidR="006F00A4">
        <w:t xml:space="preserve">ach student must submit an individual </w:t>
      </w:r>
      <w:r w:rsidR="00B6178F">
        <w:t>learning map</w:t>
      </w:r>
      <w:r w:rsidR="006F00A4">
        <w:t xml:space="preserve"> which </w:t>
      </w:r>
      <w:r>
        <w:t>visually represents</w:t>
      </w:r>
      <w:r w:rsidR="00B6178F">
        <w:t xml:space="preserve"> the</w:t>
      </w:r>
      <w:r w:rsidR="002A2FCB">
        <w:t>ir</w:t>
      </w:r>
      <w:r w:rsidR="00B6178F">
        <w:t xml:space="preserve"> </w:t>
      </w:r>
      <w:r>
        <w:t xml:space="preserve">process of the </w:t>
      </w:r>
      <w:r w:rsidR="006F00A4">
        <w:t>performance taking shape from initial</w:t>
      </w:r>
      <w:r>
        <w:t xml:space="preserve"> ideas and exploration of </w:t>
      </w:r>
      <w:r w:rsidR="002306B6">
        <w:t>a</w:t>
      </w:r>
      <w:r>
        <w:t xml:space="preserve"> place, </w:t>
      </w:r>
      <w:r w:rsidR="006F00A4">
        <w:t xml:space="preserve">through to </w:t>
      </w:r>
      <w:r>
        <w:t xml:space="preserve">the </w:t>
      </w:r>
      <w:r w:rsidR="006F00A4">
        <w:t>final staging choices</w:t>
      </w:r>
      <w:r>
        <w:t xml:space="preserve"> and audience response to the performance</w:t>
      </w:r>
      <w:r w:rsidR="006F00A4">
        <w:t xml:space="preserve">. It should include: </w:t>
      </w:r>
    </w:p>
    <w:p w14:paraId="228E3D48" w14:textId="4A140944" w:rsidR="00BD1B55" w:rsidRPr="00BD1B55" w:rsidRDefault="6923B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ind w:hanging="368"/>
      </w:pPr>
      <w:r w:rsidRPr="58EF6DA8">
        <w:rPr>
          <w:color w:val="000000" w:themeColor="text1"/>
        </w:rPr>
        <w:t xml:space="preserve">a </w:t>
      </w:r>
      <w:r w:rsidR="457E4281" w:rsidRPr="58EF6DA8">
        <w:rPr>
          <w:color w:val="000000" w:themeColor="text1"/>
        </w:rPr>
        <w:t>starting point</w:t>
      </w:r>
    </w:p>
    <w:p w14:paraId="41739094" w14:textId="724E519F" w:rsidR="00BD1B55" w:rsidRDefault="457E4281" w:rsidP="002A2F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ind w:hanging="368"/>
      </w:pPr>
      <w:r w:rsidRPr="58EF6DA8">
        <w:rPr>
          <w:color w:val="000000" w:themeColor="text1"/>
        </w:rPr>
        <w:t>images</w:t>
      </w:r>
      <w:r>
        <w:t xml:space="preserve"> and symbols</w:t>
      </w:r>
    </w:p>
    <w:p w14:paraId="720E2C9B" w14:textId="6C2CB822" w:rsidR="006F00A4" w:rsidRDefault="457E4281" w:rsidP="002A2F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ind w:hanging="368"/>
      </w:pPr>
      <w:r>
        <w:t>land links</w:t>
      </w:r>
    </w:p>
    <w:p w14:paraId="112F3534" w14:textId="4549C082" w:rsidR="4E1E0CBE" w:rsidRDefault="4E1E0CBE" w:rsidP="58EF6DA8">
      <w:pPr>
        <w:numPr>
          <w:ilvl w:val="0"/>
          <w:numId w:val="2"/>
        </w:numPr>
        <w:spacing w:before="80" w:line="360" w:lineRule="auto"/>
        <w:ind w:hanging="368"/>
      </w:pPr>
      <w:r>
        <w:t>the techniques explored</w:t>
      </w:r>
    </w:p>
    <w:p w14:paraId="3F3C2FE2" w14:textId="75BA32FE" w:rsidR="00BD1B55" w:rsidRDefault="457E4281" w:rsidP="00BD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ind w:hanging="368"/>
      </w:pPr>
      <w:r>
        <w:t>changes in direction</w:t>
      </w:r>
    </w:p>
    <w:p w14:paraId="1BF4FB46" w14:textId="736E3ECD" w:rsidR="002A2FCB" w:rsidRDefault="1B755AFA" w:rsidP="00BD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ind w:hanging="368"/>
      </w:pPr>
      <w:r>
        <w:t xml:space="preserve">any </w:t>
      </w:r>
      <w:r w:rsidR="457E4281">
        <w:t>choices made</w:t>
      </w:r>
    </w:p>
    <w:p w14:paraId="175500D2" w14:textId="6ABA5D9E" w:rsidR="002A2FCB" w:rsidRDefault="5838378C" w:rsidP="00BD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ind w:hanging="368"/>
      </w:pPr>
      <w:r>
        <w:t xml:space="preserve">the </w:t>
      </w:r>
      <w:r w:rsidR="457E4281">
        <w:t>elements of drama used</w:t>
      </w:r>
    </w:p>
    <w:p w14:paraId="2ABF0368" w14:textId="7145480D" w:rsidR="00BD1B55" w:rsidRDefault="27C83B87" w:rsidP="00BD1B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ind w:hanging="368"/>
      </w:pPr>
      <w:r>
        <w:t xml:space="preserve">the </w:t>
      </w:r>
      <w:r w:rsidR="457E4281">
        <w:t>arrival at final performance.</w:t>
      </w:r>
    </w:p>
    <w:p w14:paraId="4720A37D" w14:textId="77777777" w:rsidR="00186B6E" w:rsidRDefault="006F00A4">
      <w:pPr>
        <w:rPr>
          <w:color w:val="041F42"/>
          <w:sz w:val="36"/>
          <w:szCs w:val="36"/>
        </w:rPr>
      </w:pPr>
      <w:r>
        <w:br w:type="page"/>
      </w:r>
    </w:p>
    <w:p w14:paraId="4720A37E" w14:textId="585B0A2A" w:rsidR="00186B6E" w:rsidRDefault="006F00A4">
      <w:pPr>
        <w:pStyle w:val="Heading4"/>
        <w:numPr>
          <w:ilvl w:val="3"/>
          <w:numId w:val="1"/>
        </w:numPr>
      </w:pPr>
      <w:r>
        <w:lastRenderedPageBreak/>
        <w:t xml:space="preserve">Marking criteria – </w:t>
      </w:r>
      <w:r w:rsidR="002A2FCB">
        <w:t>Place-based</w:t>
      </w:r>
      <w:r>
        <w:t xml:space="preserve"> performance </w:t>
      </w:r>
    </w:p>
    <w:tbl>
      <w:tblPr>
        <w:tblStyle w:val="a0"/>
        <w:tblW w:w="9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  <w:tblCaption w:val="Marking criteria for performance"/>
        <w:tblDescription w:val="Descriptions for levels of achievement in the performance component of this task. "/>
      </w:tblPr>
      <w:tblGrid>
        <w:gridCol w:w="1813"/>
        <w:gridCol w:w="7759"/>
      </w:tblGrid>
      <w:tr w:rsidR="00186B6E" w14:paraId="4720A381" w14:textId="77777777" w:rsidTr="20CF6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3" w:type="dxa"/>
          </w:tcPr>
          <w:p w14:paraId="4720A37F" w14:textId="682F9EBF" w:rsidR="00186B6E" w:rsidRDefault="00CC08C8">
            <w:r>
              <w:t>Level of achievement</w:t>
            </w:r>
          </w:p>
        </w:tc>
        <w:tc>
          <w:tcPr>
            <w:tcW w:w="7759" w:type="dxa"/>
          </w:tcPr>
          <w:p w14:paraId="4720A380" w14:textId="77777777" w:rsidR="00186B6E" w:rsidRDefault="006F00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</w:t>
            </w:r>
          </w:p>
        </w:tc>
      </w:tr>
      <w:tr w:rsidR="00186B6E" w14:paraId="4720A386" w14:textId="77777777" w:rsidTr="20CF6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79A91A5" w14:textId="12D1B528" w:rsidR="002545A9" w:rsidRPr="002545A9" w:rsidRDefault="002545A9" w:rsidP="002545A9">
            <w:pPr>
              <w:rPr>
                <w:color w:val="000000"/>
              </w:rPr>
            </w:pPr>
            <w:r w:rsidRPr="002545A9">
              <w:rPr>
                <w:color w:val="000000"/>
              </w:rPr>
              <w:t>Outstanding</w:t>
            </w:r>
          </w:p>
          <w:p w14:paraId="4720A382" w14:textId="25EDC0CB" w:rsidR="00186B6E" w:rsidRDefault="00186B6E"/>
        </w:tc>
        <w:tc>
          <w:tcPr>
            <w:tcW w:w="7759" w:type="dxa"/>
          </w:tcPr>
          <w:p w14:paraId="57F3B1B0" w14:textId="02ECD54C" w:rsidR="0085752B" w:rsidRDefault="0085752B" w:rsidP="0003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Outstanding contribution to a coherent and</w:t>
            </w:r>
            <w:r w:rsidR="009A3523">
              <w:t xml:space="preserve"> </w:t>
            </w:r>
            <w:r w:rsidR="00010CF2">
              <w:t>insightful</w:t>
            </w:r>
            <w:r w:rsidR="009A3523">
              <w:t xml:space="preserve"> theatrical response </w:t>
            </w:r>
            <w:r w:rsidR="00010CF2">
              <w:t xml:space="preserve">inspired by </w:t>
            </w:r>
            <w:r w:rsidR="002306B6">
              <w:t xml:space="preserve">a </w:t>
            </w:r>
            <w:r w:rsidR="00010CF2">
              <w:t>place</w:t>
            </w:r>
            <w:r w:rsidR="000321F8">
              <w:t>.</w:t>
            </w:r>
          </w:p>
          <w:p w14:paraId="519DE162" w14:textId="7D2A1DE0" w:rsidR="0085752B" w:rsidRDefault="00010CF2" w:rsidP="0003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85752B">
              <w:t>reative manipulation of non-linear structure</w:t>
            </w:r>
            <w:r>
              <w:t xml:space="preserve"> to powerfully engage the audience</w:t>
            </w:r>
            <w:r w:rsidR="0085752B">
              <w:t>.</w:t>
            </w:r>
          </w:p>
          <w:p w14:paraId="4720A385" w14:textId="7808D63B" w:rsidR="00841F7A" w:rsidRDefault="009A3523" w:rsidP="0003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Exemplary control of movement and/or voice in expressing dramatic meaning and interacting with the ensemble.</w:t>
            </w:r>
          </w:p>
        </w:tc>
      </w:tr>
      <w:tr w:rsidR="00186B6E" w14:paraId="4720A38B" w14:textId="77777777" w:rsidTr="20CF6C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720A387" w14:textId="2C64F8EE" w:rsidR="00186B6E" w:rsidRDefault="002545A9">
            <w:r>
              <w:t>High</w:t>
            </w:r>
          </w:p>
        </w:tc>
        <w:tc>
          <w:tcPr>
            <w:tcW w:w="7759" w:type="dxa"/>
          </w:tcPr>
          <w:p w14:paraId="50874BC9" w14:textId="785FCEDA" w:rsidR="00010CF2" w:rsidRDefault="3EDB73EC" w:rsidP="00032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Substantial contribution to a coherent and highly</w:t>
            </w:r>
            <w:r w:rsidR="692613B4">
              <w:t xml:space="preserve"> </w:t>
            </w:r>
            <w:r>
              <w:t xml:space="preserve">effective theatrical response to </w:t>
            </w:r>
            <w:r w:rsidR="002306B6">
              <w:t>a</w:t>
            </w:r>
            <w:r>
              <w:t xml:space="preserve"> place.</w:t>
            </w:r>
          </w:p>
          <w:p w14:paraId="71734D96" w14:textId="0BF2D034" w:rsidR="00010CF2" w:rsidRDefault="00010CF2" w:rsidP="00032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Skilled use of non-linear structure to effectively engage the audience.</w:t>
            </w:r>
          </w:p>
          <w:p w14:paraId="4720A38A" w14:textId="21293A04" w:rsidR="00186B6E" w:rsidRDefault="00010CF2" w:rsidP="00032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Substantial control of movement and/or voice in expressing dramatic meaning and interacting with the ensemble.</w:t>
            </w:r>
          </w:p>
        </w:tc>
      </w:tr>
      <w:tr w:rsidR="00186B6E" w14:paraId="4720A390" w14:textId="77777777" w:rsidTr="20CF6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720A38C" w14:textId="482A10D6" w:rsidR="00186B6E" w:rsidRDefault="002545A9">
            <w:r>
              <w:t>Sound</w:t>
            </w:r>
          </w:p>
        </w:tc>
        <w:tc>
          <w:tcPr>
            <w:tcW w:w="7759" w:type="dxa"/>
          </w:tcPr>
          <w:p w14:paraId="5219AABD" w14:textId="6FE7009B" w:rsidR="00010CF2" w:rsidRDefault="00010CF2" w:rsidP="0003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Adequate contribution to a largely coherent dramatic response to </w:t>
            </w:r>
            <w:r w:rsidR="002306B6">
              <w:t>a</w:t>
            </w:r>
            <w:r>
              <w:t xml:space="preserve"> place.</w:t>
            </w:r>
          </w:p>
          <w:p w14:paraId="3DB7F5B1" w14:textId="6996D3A9" w:rsidR="00010CF2" w:rsidRDefault="00010CF2" w:rsidP="0003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Sound use of non-linear structure to effectively engage the audience.</w:t>
            </w:r>
          </w:p>
          <w:p w14:paraId="4720A38F" w14:textId="23384776" w:rsidR="00186B6E" w:rsidRDefault="00010CF2" w:rsidP="0003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control of movement and/or voice in communicating dramatic meaning as part of an ensemble.</w:t>
            </w:r>
          </w:p>
        </w:tc>
      </w:tr>
      <w:tr w:rsidR="00186B6E" w14:paraId="4720A395" w14:textId="77777777" w:rsidTr="20CF6C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720A391" w14:textId="3BAF46AD" w:rsidR="00186B6E" w:rsidRDefault="002545A9">
            <w:r>
              <w:t>Basic</w:t>
            </w:r>
          </w:p>
        </w:tc>
        <w:tc>
          <w:tcPr>
            <w:tcW w:w="7759" w:type="dxa"/>
          </w:tcPr>
          <w:p w14:paraId="1C605417" w14:textId="3D9B187A" w:rsidR="00010CF2" w:rsidRDefault="00C43437" w:rsidP="00032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Inconsistent</w:t>
            </w:r>
            <w:r w:rsidR="00010CF2">
              <w:t xml:space="preserve"> contribution to a </w:t>
            </w:r>
            <w:r>
              <w:t xml:space="preserve">performance which lacks clear links to </w:t>
            </w:r>
            <w:r w:rsidR="002306B6">
              <w:t>a</w:t>
            </w:r>
            <w:r w:rsidR="00010CF2">
              <w:t xml:space="preserve"> place.</w:t>
            </w:r>
          </w:p>
          <w:p w14:paraId="3686B200" w14:textId="008564F1" w:rsidR="00010CF2" w:rsidRDefault="00C43437" w:rsidP="00032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Little attempt to</w:t>
            </w:r>
            <w:r w:rsidR="00010CF2">
              <w:t xml:space="preserve"> </w:t>
            </w:r>
            <w:r>
              <w:t>use</w:t>
            </w:r>
            <w:r w:rsidR="00010CF2">
              <w:t xml:space="preserve"> non-linear structure to </w:t>
            </w:r>
            <w:r>
              <w:t>create moments of audience engagement</w:t>
            </w:r>
            <w:r w:rsidR="00010CF2">
              <w:t>.</w:t>
            </w:r>
          </w:p>
          <w:p w14:paraId="4720A394" w14:textId="7D6A6357" w:rsidR="00186B6E" w:rsidRDefault="00010CF2" w:rsidP="00032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Varying use of movement and/or voice</w:t>
            </w:r>
            <w:r w:rsidR="00C43437">
              <w:t>, lacking awareness of ensemble.</w:t>
            </w:r>
          </w:p>
        </w:tc>
      </w:tr>
      <w:tr w:rsidR="00186B6E" w14:paraId="4720A39A" w14:textId="77777777" w:rsidTr="20CF6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720A396" w14:textId="5154CC4B" w:rsidR="00186B6E" w:rsidRDefault="002545A9">
            <w:r>
              <w:t>Limited</w:t>
            </w:r>
          </w:p>
        </w:tc>
        <w:tc>
          <w:tcPr>
            <w:tcW w:w="7759" w:type="dxa"/>
          </w:tcPr>
          <w:p w14:paraId="4720A398" w14:textId="0B57E6F6" w:rsidR="00186B6E" w:rsidRDefault="006F00A4" w:rsidP="0003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Little or no </w:t>
            </w:r>
            <w:r w:rsidR="00C43437">
              <w:t>evidence of engagement in the playbuilding process</w:t>
            </w:r>
            <w:r w:rsidR="00EE61DE">
              <w:t>.</w:t>
            </w:r>
          </w:p>
          <w:p w14:paraId="3C8AA34C" w14:textId="159835E2" w:rsidR="00186B6E" w:rsidRDefault="006F00A4" w:rsidP="0003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Little or no audience engagement</w:t>
            </w:r>
            <w:r w:rsidR="00EE61DE">
              <w:t>.</w:t>
            </w:r>
          </w:p>
          <w:p w14:paraId="4720A399" w14:textId="6ADF5A4D" w:rsidR="00C43437" w:rsidRDefault="00C43437" w:rsidP="00032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Minimal performance skills</w:t>
            </w:r>
            <w:r w:rsidR="00EE61DE">
              <w:t>.</w:t>
            </w:r>
            <w:r>
              <w:t xml:space="preserve"> </w:t>
            </w:r>
          </w:p>
        </w:tc>
      </w:tr>
    </w:tbl>
    <w:p w14:paraId="4720A39B" w14:textId="77777777" w:rsidR="00186B6E" w:rsidRDefault="006F00A4">
      <w:pPr>
        <w:rPr>
          <w:color w:val="041F42"/>
          <w:sz w:val="36"/>
          <w:szCs w:val="36"/>
        </w:rPr>
      </w:pPr>
      <w:r>
        <w:br w:type="page"/>
      </w:r>
    </w:p>
    <w:p w14:paraId="4720A39C" w14:textId="3CB1B2B0" w:rsidR="00186B6E" w:rsidRDefault="006F00A4">
      <w:pPr>
        <w:pStyle w:val="Heading4"/>
        <w:numPr>
          <w:ilvl w:val="3"/>
          <w:numId w:val="1"/>
        </w:numPr>
      </w:pPr>
      <w:r>
        <w:lastRenderedPageBreak/>
        <w:t xml:space="preserve">Marking criteria – </w:t>
      </w:r>
      <w:r w:rsidR="002A2FCB">
        <w:t>Learning map</w:t>
      </w:r>
      <w:r>
        <w:t xml:space="preserve"> submission</w:t>
      </w:r>
    </w:p>
    <w:tbl>
      <w:tblPr>
        <w:tblStyle w:val="a1"/>
        <w:tblW w:w="9542" w:type="dxa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  <w:tblCaption w:val="Marking criteria for learning map"/>
        <w:tblDescription w:val="Descriptions for levels of achievement in the submitted component of this task. "/>
      </w:tblPr>
      <w:tblGrid>
        <w:gridCol w:w="1808"/>
        <w:gridCol w:w="7734"/>
      </w:tblGrid>
      <w:tr w:rsidR="00186B6E" w14:paraId="4720A39F" w14:textId="77777777" w:rsidTr="45A1A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8" w:type="dxa"/>
          </w:tcPr>
          <w:p w14:paraId="4720A39D" w14:textId="1F42611A" w:rsidR="00186B6E" w:rsidRDefault="00CC08C8">
            <w:r>
              <w:t>Level of achievement</w:t>
            </w:r>
          </w:p>
        </w:tc>
        <w:tc>
          <w:tcPr>
            <w:tcW w:w="7734" w:type="dxa"/>
          </w:tcPr>
          <w:p w14:paraId="4720A39E" w14:textId="77777777" w:rsidR="00186B6E" w:rsidRDefault="006F00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</w:t>
            </w:r>
          </w:p>
        </w:tc>
      </w:tr>
      <w:tr w:rsidR="002545A9" w14:paraId="4720A3A3" w14:textId="77777777" w:rsidTr="45A1A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4FFCEF52" w14:textId="77777777" w:rsidR="002545A9" w:rsidRPr="002545A9" w:rsidRDefault="002545A9" w:rsidP="002545A9">
            <w:pPr>
              <w:rPr>
                <w:color w:val="000000"/>
              </w:rPr>
            </w:pPr>
            <w:r w:rsidRPr="002545A9">
              <w:rPr>
                <w:color w:val="000000"/>
              </w:rPr>
              <w:t>Outstanding</w:t>
            </w:r>
          </w:p>
          <w:p w14:paraId="4720A3A0" w14:textId="5ECDC18B" w:rsidR="002545A9" w:rsidRDefault="002545A9" w:rsidP="002545A9"/>
        </w:tc>
        <w:tc>
          <w:tcPr>
            <w:tcW w:w="7734" w:type="dxa"/>
          </w:tcPr>
          <w:p w14:paraId="2B2FFFB9" w14:textId="420FC8A4" w:rsidR="00991CE7" w:rsidRDefault="002545A9" w:rsidP="00254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 in-depth </w:t>
            </w:r>
            <w:r w:rsidR="00A86A42">
              <w:t>reflection</w:t>
            </w:r>
            <w:r w:rsidR="00991CE7">
              <w:t xml:space="preserve"> </w:t>
            </w:r>
            <w:r w:rsidR="00A86A42">
              <w:t>on</w:t>
            </w:r>
            <w:r>
              <w:t xml:space="preserve"> </w:t>
            </w:r>
            <w:r w:rsidR="00991CE7">
              <w:t>the playbuilding process</w:t>
            </w:r>
            <w:r>
              <w:t xml:space="preserve">, including </w:t>
            </w:r>
            <w:r w:rsidR="40B8CF94">
              <w:t>highly effective</w:t>
            </w:r>
            <w:r w:rsidR="00991CE7">
              <w:t xml:space="preserve"> use of images, symbols and words to reflect on the challenges faced, choices made </w:t>
            </w:r>
            <w:r>
              <w:t>and audience response</w:t>
            </w:r>
            <w:r w:rsidR="00991CE7">
              <w:t>.</w:t>
            </w:r>
          </w:p>
          <w:p w14:paraId="4720A3A2" w14:textId="5C3FDAA6" w:rsidR="00991CE7" w:rsidRDefault="00991CE7" w:rsidP="00254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 insightful visual representation of the techniques used and land links made during the </w:t>
            </w:r>
            <w:proofErr w:type="spellStart"/>
            <w:r>
              <w:t>playbuiliding</w:t>
            </w:r>
            <w:proofErr w:type="spellEnd"/>
            <w:r>
              <w:t xml:space="preserve"> process.</w:t>
            </w:r>
          </w:p>
        </w:tc>
      </w:tr>
      <w:tr w:rsidR="002545A9" w14:paraId="4720A3A7" w14:textId="77777777" w:rsidTr="45A1A0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4720A3A4" w14:textId="35760E9B" w:rsidR="002545A9" w:rsidRDefault="002545A9" w:rsidP="002545A9">
            <w:r>
              <w:t>High</w:t>
            </w:r>
          </w:p>
        </w:tc>
        <w:tc>
          <w:tcPr>
            <w:tcW w:w="7734" w:type="dxa"/>
          </w:tcPr>
          <w:p w14:paraId="13209565" w14:textId="5FE10AC7" w:rsidR="00991CE7" w:rsidRDefault="00991CE7" w:rsidP="00991C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</w:t>
            </w:r>
            <w:r w:rsidR="007E2CC0">
              <w:t>detailed</w:t>
            </w:r>
            <w:r>
              <w:t xml:space="preserve"> </w:t>
            </w:r>
            <w:r w:rsidR="00A86A42">
              <w:t>reflection</w:t>
            </w:r>
            <w:r>
              <w:t xml:space="preserve"> </w:t>
            </w:r>
            <w:r w:rsidR="00A86A42">
              <w:t>on</w:t>
            </w:r>
            <w:r>
              <w:t xml:space="preserve"> the playbuilding process, including effective use of images, symbols and words to reflect on the challenges faced, choices made and audience response.</w:t>
            </w:r>
          </w:p>
          <w:p w14:paraId="4720A3A6" w14:textId="4059211F" w:rsidR="002545A9" w:rsidRDefault="00991CE7" w:rsidP="002545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</w:t>
            </w:r>
            <w:r w:rsidR="5E3BE9FA">
              <w:t>highly effective</w:t>
            </w:r>
            <w:r>
              <w:t xml:space="preserve"> visual representation of the techniques used and land links made during the </w:t>
            </w:r>
            <w:proofErr w:type="spellStart"/>
            <w:r>
              <w:t>playbuiliding</w:t>
            </w:r>
            <w:proofErr w:type="spellEnd"/>
            <w:r>
              <w:t xml:space="preserve"> process.</w:t>
            </w:r>
          </w:p>
        </w:tc>
      </w:tr>
      <w:tr w:rsidR="002545A9" w14:paraId="4720A3AB" w14:textId="77777777" w:rsidTr="45A1A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4720A3A8" w14:textId="0D1B26C7" w:rsidR="002545A9" w:rsidRDefault="002545A9" w:rsidP="002545A9">
            <w:r>
              <w:t>Sound</w:t>
            </w:r>
          </w:p>
        </w:tc>
        <w:tc>
          <w:tcPr>
            <w:tcW w:w="7734" w:type="dxa"/>
          </w:tcPr>
          <w:p w14:paraId="79AE1B49" w14:textId="23D16CA8" w:rsidR="00A86A42" w:rsidRDefault="00A86A42" w:rsidP="00A86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adequate record of the playbuilding process, including some use of images, symbols and words to reflect on the challenges faced, choices made and audience response.</w:t>
            </w:r>
          </w:p>
          <w:p w14:paraId="4720A3AA" w14:textId="617A6204" w:rsidR="002545A9" w:rsidRDefault="00A86A42" w:rsidP="00254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 adequate visual representation with an indication of some techniques used and land links made during the </w:t>
            </w:r>
            <w:proofErr w:type="spellStart"/>
            <w:r>
              <w:t>playbuiliding</w:t>
            </w:r>
            <w:proofErr w:type="spellEnd"/>
            <w:r>
              <w:t xml:space="preserve"> process.</w:t>
            </w:r>
          </w:p>
        </w:tc>
      </w:tr>
      <w:tr w:rsidR="002545A9" w14:paraId="4720A3AE" w14:textId="77777777" w:rsidTr="45A1A0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4720A3AC" w14:textId="65AB6B4B" w:rsidR="002545A9" w:rsidRDefault="002545A9" w:rsidP="002545A9">
            <w:r>
              <w:t>Basic</w:t>
            </w:r>
          </w:p>
        </w:tc>
        <w:tc>
          <w:tcPr>
            <w:tcW w:w="7734" w:type="dxa"/>
          </w:tcPr>
          <w:p w14:paraId="4720A3AD" w14:textId="047757A8" w:rsidR="002545A9" w:rsidRDefault="00A86A42" w:rsidP="00A86A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basic visual or written outline of the playbuilding process with little indication of land links made.</w:t>
            </w:r>
          </w:p>
        </w:tc>
      </w:tr>
      <w:tr w:rsidR="002545A9" w14:paraId="4720A3B1" w14:textId="77777777" w:rsidTr="45A1A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4720A3AF" w14:textId="7C4015A0" w:rsidR="002545A9" w:rsidRDefault="002545A9" w:rsidP="002545A9">
            <w:r>
              <w:t>Limited</w:t>
            </w:r>
          </w:p>
        </w:tc>
        <w:tc>
          <w:tcPr>
            <w:tcW w:w="7734" w:type="dxa"/>
          </w:tcPr>
          <w:p w14:paraId="4720A3B0" w14:textId="46442643" w:rsidR="002545A9" w:rsidRDefault="002545A9" w:rsidP="00254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Minimal or no meaningful record of the </w:t>
            </w:r>
            <w:r w:rsidR="00A86A42">
              <w:t>playbuilding</w:t>
            </w:r>
            <w:r>
              <w:t xml:space="preserve"> process</w:t>
            </w:r>
            <w:r w:rsidR="00EE61DE">
              <w:t>.</w:t>
            </w:r>
          </w:p>
        </w:tc>
      </w:tr>
    </w:tbl>
    <w:p w14:paraId="4720A3B2" w14:textId="77777777" w:rsidR="00186B6E" w:rsidRDefault="00186B6E"/>
    <w:sectPr w:rsidR="00186B6E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709" w:gutter="0"/>
      <w:pgNumType w:start="1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8A69E6B" w16cex:dateUtc="2021-07-20T00:01:15.93Z"/>
  <w16cex:commentExtensible w16cex:durableId="52E02D12" w16cex:dateUtc="2021-07-20T00:03:45.956Z"/>
  <w16cex:commentExtensible w16cex:durableId="1FE77452" w16cex:dateUtc="2021-07-20T00:04:34.862Z"/>
  <w16cex:commentExtensible w16cex:durableId="3A33DBBE" w16cex:dateUtc="2021-07-26T04:28:38.253Z"/>
  <w16cex:commentExtensible w16cex:durableId="0379F6D2" w16cex:dateUtc="2021-08-04T05:49:38.867Z"/>
  <w16cex:commentExtensible w16cex:durableId="11AFBC30" w16cex:dateUtc="2021-08-15T22:03:23.58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0A3BD" w14:textId="77777777" w:rsidR="007256E9" w:rsidRDefault="006F00A4">
      <w:pPr>
        <w:spacing w:before="0" w:line="240" w:lineRule="auto"/>
      </w:pPr>
      <w:r>
        <w:separator/>
      </w:r>
    </w:p>
  </w:endnote>
  <w:endnote w:type="continuationSeparator" w:id="0">
    <w:p w14:paraId="4720A3BF" w14:textId="77777777" w:rsidR="007256E9" w:rsidRDefault="006F00A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A3B3" w14:textId="1B1F904F" w:rsidR="00186B6E" w:rsidRDefault="006F00A4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spacing w:before="480"/>
      <w:ind w:left="-567" w:right="-567"/>
      <w:rPr>
        <w:color w:val="000000"/>
        <w:sz w:val="18"/>
        <w:szCs w:val="18"/>
      </w:rPr>
    </w:pPr>
    <w:r>
      <w:rPr>
        <w:color w:val="000000"/>
        <w:sz w:val="18"/>
        <w:szCs w:val="18"/>
        <w:shd w:val="clear" w:color="auto" w:fill="E6E6E6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  <w:shd w:val="clear" w:color="auto" w:fill="E6E6E6"/>
      </w:rPr>
      <w:fldChar w:fldCharType="separate"/>
    </w:r>
    <w:r w:rsidR="00730945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  <w:shd w:val="clear" w:color="auto" w:fill="E6E6E6"/>
      </w:rPr>
      <w:fldChar w:fldCharType="end"/>
    </w:r>
    <w:r>
      <w:rPr>
        <w:color w:val="000000"/>
        <w:sz w:val="18"/>
        <w:szCs w:val="18"/>
      </w:rPr>
      <w:tab/>
    </w:r>
    <w:r w:rsidR="004F2CDE">
      <w:rPr>
        <w:color w:val="000000"/>
        <w:sz w:val="18"/>
        <w:szCs w:val="18"/>
      </w:rPr>
      <w:t>Place-based playbuilding</w:t>
    </w:r>
    <w:r>
      <w:rPr>
        <w:color w:val="000000"/>
        <w:sz w:val="18"/>
        <w:szCs w:val="18"/>
      </w:rPr>
      <w:t xml:space="preserve"> assessment task – </w:t>
    </w:r>
    <w:r w:rsidR="004F2CDE">
      <w:rPr>
        <w:color w:val="000000"/>
        <w:sz w:val="18"/>
        <w:szCs w:val="18"/>
      </w:rPr>
      <w:t>Stage 5</w:t>
    </w:r>
    <w:r>
      <w:rPr>
        <w:color w:val="000000"/>
        <w:sz w:val="18"/>
        <w:szCs w:val="18"/>
      </w:rPr>
      <w:t xml:space="preserve"> drama</w:t>
    </w:r>
  </w:p>
  <w:p w14:paraId="4720A3B4" w14:textId="77777777" w:rsidR="00186B6E" w:rsidRDefault="00186B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A3B5" w14:textId="3FA2A886" w:rsidR="00186B6E" w:rsidRDefault="006F00A4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spacing w:before="480"/>
      <w:ind w:left="-567" w:right="-567"/>
      <w:rPr>
        <w:color w:val="000000"/>
        <w:sz w:val="18"/>
        <w:szCs w:val="18"/>
      </w:rPr>
    </w:pPr>
    <w:r>
      <w:rPr>
        <w:color w:val="000000"/>
        <w:sz w:val="18"/>
        <w:szCs w:val="18"/>
      </w:rPr>
      <w:t>© NSW Department of Education, Mar-21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  <w:shd w:val="clear" w:color="auto" w:fill="E6E6E6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  <w:shd w:val="clear" w:color="auto" w:fill="E6E6E6"/>
      </w:rPr>
      <w:fldChar w:fldCharType="separate"/>
    </w:r>
    <w:r w:rsidR="00730945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  <w:shd w:val="clear" w:color="auto" w:fill="E6E6E6"/>
      </w:rPr>
      <w:fldChar w:fldCharType="end"/>
    </w:r>
  </w:p>
  <w:p w14:paraId="4720A3B6" w14:textId="77777777" w:rsidR="00186B6E" w:rsidRDefault="00186B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A3B8" w14:textId="77777777" w:rsidR="00186B6E" w:rsidRDefault="006F00A4">
    <w:pPr>
      <w:pBdr>
        <w:top w:val="nil"/>
        <w:left w:val="nil"/>
        <w:bottom w:val="nil"/>
        <w:right w:val="nil"/>
        <w:between w:val="nil"/>
      </w:pBdr>
      <w:tabs>
        <w:tab w:val="right" w:pos="10199"/>
      </w:tabs>
      <w:ind w:left="-567" w:right="-574"/>
      <w:rPr>
        <w:b/>
        <w:color w:val="002060"/>
        <w:sz w:val="28"/>
        <w:szCs w:val="28"/>
      </w:rPr>
    </w:pPr>
    <w:r>
      <w:rPr>
        <w:b/>
        <w:color w:val="002060"/>
      </w:rPr>
      <w:t>education.nsw.gov.au</w:t>
    </w:r>
    <w:r>
      <w:rPr>
        <w:b/>
        <w:color w:val="002060"/>
        <w:sz w:val="28"/>
        <w:szCs w:val="28"/>
      </w:rPr>
      <w:tab/>
    </w:r>
    <w:r>
      <w:rPr>
        <w:b/>
        <w:noProof/>
        <w:color w:val="002060"/>
        <w:sz w:val="28"/>
        <w:szCs w:val="28"/>
        <w:shd w:val="clear" w:color="auto" w:fill="E6E6E6"/>
      </w:rPr>
      <w:drawing>
        <wp:inline distT="0" distB="0" distL="0" distR="0" wp14:anchorId="4720A3B9" wp14:editId="4720A3BA">
          <wp:extent cx="507600" cy="540000"/>
          <wp:effectExtent l="0" t="0" r="0" b="0"/>
          <wp:docPr id="5" name="image1.png" descr="NSW Governmen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SW Governmen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0A3B9" w14:textId="77777777" w:rsidR="007256E9" w:rsidRDefault="006F00A4">
      <w:pPr>
        <w:spacing w:before="0" w:line="240" w:lineRule="auto"/>
      </w:pPr>
      <w:r>
        <w:separator/>
      </w:r>
    </w:p>
  </w:footnote>
  <w:footnote w:type="continuationSeparator" w:id="0">
    <w:p w14:paraId="4720A3BB" w14:textId="77777777" w:rsidR="007256E9" w:rsidRDefault="006F00A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A3B7" w14:textId="77777777" w:rsidR="00186B6E" w:rsidRDefault="006F00A4">
    <w:pPr>
      <w:pBdr>
        <w:top w:val="nil"/>
        <w:left w:val="nil"/>
        <w:bottom w:val="single" w:sz="8" w:space="10" w:color="D0CECE"/>
        <w:right w:val="nil"/>
        <w:between w:val="nil"/>
      </w:pBdr>
      <w:spacing w:before="0" w:after="240"/>
      <w:rPr>
        <w:b/>
        <w:color w:val="002060"/>
      </w:rPr>
    </w:pPr>
    <w:r>
      <w:rPr>
        <w:b/>
        <w:color w:val="002060"/>
      </w:rP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C52"/>
    <w:multiLevelType w:val="hybridMultilevel"/>
    <w:tmpl w:val="F2B49B34"/>
    <w:lvl w:ilvl="0" w:tplc="76E26132">
      <w:start w:val="1"/>
      <w:numFmt w:val="bullet"/>
      <w:lvlText w:val="●"/>
      <w:lvlJc w:val="left"/>
      <w:pPr>
        <w:ind w:left="652" w:hanging="367"/>
      </w:pPr>
      <w:rPr>
        <w:rFonts w:ascii="Noto Sans Symbols" w:hAnsi="Noto Sans Symbols" w:hint="default"/>
      </w:rPr>
    </w:lvl>
    <w:lvl w:ilvl="1" w:tplc="16EA5292">
      <w:start w:val="1"/>
      <w:numFmt w:val="lowerLetter"/>
      <w:lvlText w:val="%2)"/>
      <w:lvlJc w:val="left"/>
      <w:pPr>
        <w:ind w:left="1004" w:hanging="360"/>
      </w:pPr>
    </w:lvl>
    <w:lvl w:ilvl="2" w:tplc="06A071C2">
      <w:start w:val="1"/>
      <w:numFmt w:val="lowerRoman"/>
      <w:lvlText w:val="%3)"/>
      <w:lvlJc w:val="left"/>
      <w:pPr>
        <w:ind w:left="1364" w:hanging="360"/>
      </w:pPr>
    </w:lvl>
    <w:lvl w:ilvl="3" w:tplc="BCFA6620">
      <w:start w:val="1"/>
      <w:numFmt w:val="decimal"/>
      <w:lvlText w:val="(%4)"/>
      <w:lvlJc w:val="left"/>
      <w:pPr>
        <w:ind w:left="1724" w:hanging="360"/>
      </w:pPr>
    </w:lvl>
    <w:lvl w:ilvl="4" w:tplc="58760468">
      <w:start w:val="1"/>
      <w:numFmt w:val="lowerLetter"/>
      <w:lvlText w:val="(%5)"/>
      <w:lvlJc w:val="left"/>
      <w:pPr>
        <w:ind w:left="2084" w:hanging="360"/>
      </w:pPr>
    </w:lvl>
    <w:lvl w:ilvl="5" w:tplc="7FE26522">
      <w:start w:val="1"/>
      <w:numFmt w:val="lowerRoman"/>
      <w:lvlText w:val="(%6)"/>
      <w:lvlJc w:val="left"/>
      <w:pPr>
        <w:ind w:left="2444" w:hanging="360"/>
      </w:pPr>
    </w:lvl>
    <w:lvl w:ilvl="6" w:tplc="53EAA1FC">
      <w:start w:val="1"/>
      <w:numFmt w:val="decimal"/>
      <w:lvlText w:val="%7."/>
      <w:lvlJc w:val="left"/>
      <w:pPr>
        <w:ind w:left="2804" w:hanging="360"/>
      </w:pPr>
    </w:lvl>
    <w:lvl w:ilvl="7" w:tplc="C054EA50">
      <w:start w:val="1"/>
      <w:numFmt w:val="lowerLetter"/>
      <w:lvlText w:val="%8."/>
      <w:lvlJc w:val="left"/>
      <w:pPr>
        <w:ind w:left="3164" w:hanging="360"/>
      </w:pPr>
    </w:lvl>
    <w:lvl w:ilvl="8" w:tplc="B338179C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4A270266"/>
    <w:multiLevelType w:val="multilevel"/>
    <w:tmpl w:val="6BA889C2"/>
    <w:lvl w:ilvl="0">
      <w:start w:val="1"/>
      <w:numFmt w:val="decimal"/>
      <w:lvlText w:val="%1."/>
      <w:lvlJc w:val="left"/>
      <w:pPr>
        <w:ind w:left="652" w:hanging="367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"/>
      <w:lvlJc w:val="left"/>
      <w:pPr>
        <w:ind w:left="284" w:firstLine="0"/>
      </w:pPr>
    </w:lvl>
    <w:lvl w:ilvl="2">
      <w:start w:val="1"/>
      <w:numFmt w:val="decimal"/>
      <w:lvlText w:val=""/>
      <w:lvlJc w:val="left"/>
      <w:pPr>
        <w:ind w:left="284" w:firstLine="0"/>
      </w:pPr>
    </w:lvl>
    <w:lvl w:ilvl="3">
      <w:start w:val="1"/>
      <w:numFmt w:val="decimal"/>
      <w:lvlText w:val=""/>
      <w:lvlJc w:val="left"/>
      <w:pPr>
        <w:ind w:left="284" w:firstLine="0"/>
      </w:pPr>
    </w:lvl>
    <w:lvl w:ilvl="4">
      <w:start w:val="1"/>
      <w:numFmt w:val="decimal"/>
      <w:lvlText w:val=""/>
      <w:lvlJc w:val="left"/>
      <w:pPr>
        <w:ind w:left="284" w:firstLine="0"/>
      </w:pPr>
    </w:lvl>
    <w:lvl w:ilvl="5">
      <w:start w:val="1"/>
      <w:numFmt w:val="decimal"/>
      <w:lvlText w:val=""/>
      <w:lvlJc w:val="left"/>
      <w:pPr>
        <w:ind w:left="284" w:firstLine="0"/>
      </w:pPr>
    </w:lvl>
    <w:lvl w:ilvl="6">
      <w:start w:val="1"/>
      <w:numFmt w:val="decimal"/>
      <w:lvlText w:val=""/>
      <w:lvlJc w:val="left"/>
      <w:pPr>
        <w:ind w:left="284" w:firstLine="0"/>
      </w:pPr>
    </w:lvl>
    <w:lvl w:ilvl="7">
      <w:start w:val="1"/>
      <w:numFmt w:val="decimal"/>
      <w:lvlText w:val=""/>
      <w:lvlJc w:val="left"/>
      <w:pPr>
        <w:ind w:left="284" w:firstLine="0"/>
      </w:pPr>
    </w:lvl>
    <w:lvl w:ilvl="8">
      <w:start w:val="1"/>
      <w:numFmt w:val="decimal"/>
      <w:lvlText w:val=""/>
      <w:lvlJc w:val="left"/>
      <w:pPr>
        <w:ind w:left="284" w:firstLine="0"/>
      </w:pPr>
    </w:lvl>
  </w:abstractNum>
  <w:abstractNum w:abstractNumId="2" w15:restartNumberingAfterBreak="0">
    <w:nsid w:val="5D997CD8"/>
    <w:multiLevelType w:val="multilevel"/>
    <w:tmpl w:val="5C6E66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xNDI1MjaxNLcwMTRW0lEKTi0uzszPAykwrAUAzYJBniwAAAA="/>
  </w:docVars>
  <w:rsids>
    <w:rsidRoot w:val="00186B6E"/>
    <w:rsid w:val="00010CF2"/>
    <w:rsid w:val="000321F8"/>
    <w:rsid w:val="0013075D"/>
    <w:rsid w:val="00186B6E"/>
    <w:rsid w:val="002306B6"/>
    <w:rsid w:val="002545A9"/>
    <w:rsid w:val="00296C59"/>
    <w:rsid w:val="002A2FCB"/>
    <w:rsid w:val="002D448F"/>
    <w:rsid w:val="002E7B4D"/>
    <w:rsid w:val="00332EF9"/>
    <w:rsid w:val="004D274C"/>
    <w:rsid w:val="004F2CDE"/>
    <w:rsid w:val="00582242"/>
    <w:rsid w:val="005D5D14"/>
    <w:rsid w:val="006238ED"/>
    <w:rsid w:val="006F00A4"/>
    <w:rsid w:val="007256E9"/>
    <w:rsid w:val="00730945"/>
    <w:rsid w:val="007E2CC0"/>
    <w:rsid w:val="00841F7A"/>
    <w:rsid w:val="0085752B"/>
    <w:rsid w:val="00944705"/>
    <w:rsid w:val="009701AD"/>
    <w:rsid w:val="00991CE7"/>
    <w:rsid w:val="009A3523"/>
    <w:rsid w:val="009D033E"/>
    <w:rsid w:val="00A86A42"/>
    <w:rsid w:val="00B17B6B"/>
    <w:rsid w:val="00B6178F"/>
    <w:rsid w:val="00BD1B55"/>
    <w:rsid w:val="00C16468"/>
    <w:rsid w:val="00C43437"/>
    <w:rsid w:val="00CC08C8"/>
    <w:rsid w:val="00CC738F"/>
    <w:rsid w:val="00EE61DE"/>
    <w:rsid w:val="00F73D36"/>
    <w:rsid w:val="017A6B7A"/>
    <w:rsid w:val="08F723EE"/>
    <w:rsid w:val="11D88396"/>
    <w:rsid w:val="12BD360B"/>
    <w:rsid w:val="1A158D5C"/>
    <w:rsid w:val="1B755AFA"/>
    <w:rsid w:val="20CF6C23"/>
    <w:rsid w:val="263F32A8"/>
    <w:rsid w:val="270C754F"/>
    <w:rsid w:val="27C83B87"/>
    <w:rsid w:val="29F358E2"/>
    <w:rsid w:val="2B060CAD"/>
    <w:rsid w:val="2D404A44"/>
    <w:rsid w:val="2DC109A6"/>
    <w:rsid w:val="2E919C4F"/>
    <w:rsid w:val="30C05203"/>
    <w:rsid w:val="313E2043"/>
    <w:rsid w:val="3B1EFAF2"/>
    <w:rsid w:val="3EDB73EC"/>
    <w:rsid w:val="40B8CF94"/>
    <w:rsid w:val="43F16C1E"/>
    <w:rsid w:val="457E4281"/>
    <w:rsid w:val="45A1A0F6"/>
    <w:rsid w:val="45FE22AD"/>
    <w:rsid w:val="46281312"/>
    <w:rsid w:val="475E1132"/>
    <w:rsid w:val="4B99EF5D"/>
    <w:rsid w:val="4E1E0CBE"/>
    <w:rsid w:val="5838378C"/>
    <w:rsid w:val="58EF6DA8"/>
    <w:rsid w:val="5AC68AC8"/>
    <w:rsid w:val="5E3BE9FA"/>
    <w:rsid w:val="6049F6DF"/>
    <w:rsid w:val="6923B1FD"/>
    <w:rsid w:val="692613B4"/>
    <w:rsid w:val="7EE0D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A35E"/>
  <w15:docId w15:val="{210EC221-A3D9-4CCF-A6D6-3628D7BD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AU" w:eastAsia="en-AU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</w:style>
  <w:style w:type="paragraph" w:styleId="Heading1">
    <w:name w:val="heading 1"/>
    <w:aliases w:val="ŠHeading 1"/>
    <w:basedOn w:val="Normal"/>
    <w:next w:val="Normal"/>
    <w:link w:val="Heading1Char"/>
    <w:uiPriority w:val="9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9"/>
    <w:unhideWhenUsed/>
    <w:qFormat/>
    <w:rsid w:val="00F13777"/>
    <w:pPr>
      <w:keepNext/>
      <w:keepLines/>
      <w:numPr>
        <w:ilvl w:val="1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9"/>
    <w:unhideWhenUsed/>
    <w:qFormat/>
    <w:rsid w:val="00F13777"/>
    <w:pPr>
      <w:keepNext/>
      <w:keepLines/>
      <w:numPr>
        <w:ilvl w:val="2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unhideWhenUsed/>
    <w:qFormat/>
    <w:rsid w:val="0033147A"/>
    <w:pPr>
      <w:keepNext/>
      <w:keepLines/>
      <w:numPr>
        <w:ilvl w:val="3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9"/>
    <w:unhideWhenUsed/>
    <w:qFormat/>
    <w:rsid w:val="00F13777"/>
    <w:pPr>
      <w:keepNext/>
      <w:keepLines/>
      <w:numPr>
        <w:ilvl w:val="4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"/>
    <w:semiHidden/>
    <w:unhideWhenUsed/>
    <w:qFormat/>
    <w:rsid w:val="009C575A"/>
    <w:pPr>
      <w:keepNext/>
      <w:keepLines/>
      <w:numPr>
        <w:ilvl w:val="5"/>
        <w:numId w:val="3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tabs>
        <w:tab w:val="left" w:pos="1134"/>
        <w:tab w:val="num" w:pos="1440"/>
      </w:tabs>
      <w:adjustRightInd w:val="0"/>
      <w:snapToGrid w:val="0"/>
      <w:spacing w:before="40" w:line="300" w:lineRule="auto"/>
      <w:ind w:left="1440" w:hanging="720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tabs>
        <w:tab w:val="left" w:pos="1134"/>
        <w:tab w:val="num" w:pos="1440"/>
      </w:tabs>
      <w:snapToGrid w:val="0"/>
      <w:spacing w:before="40" w:line="300" w:lineRule="auto"/>
      <w:ind w:left="1440" w:hanging="72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6"/>
      </w:numPr>
      <w:adjustRightInd w:val="0"/>
      <w:snapToGrid w:val="0"/>
      <w:spacing w:before="80"/>
    </w:pPr>
  </w:style>
  <w:style w:type="character" w:styleId="Strong">
    <w:name w:val="Strong"/>
    <w:aliases w:val="ŠStrong bold,ŠStrong emphasis"/>
    <w:basedOn w:val="DefaultParagraphFont"/>
    <w:uiPriority w:val="28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0"/>
      </w:numPr>
      <w:tabs>
        <w:tab w:val="num" w:pos="720"/>
      </w:tabs>
      <w:ind w:left="720" w:hanging="720"/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character" w:customStyle="1" w:styleId="TitleChar">
    <w:name w:val="Title Char"/>
    <w:aliases w:val="ŠTitle Char"/>
    <w:basedOn w:val="DefaultParagraphFont"/>
    <w:link w:val="Title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paragraph" w:customStyle="1" w:styleId="IOSbodytext2017">
    <w:name w:val="IOS body text 2017"/>
    <w:basedOn w:val="Normal"/>
    <w:qFormat/>
    <w:rsid w:val="00DC03C4"/>
    <w:pPr>
      <w:spacing w:line="300" w:lineRule="atLeast"/>
    </w:pPr>
    <w:rPr>
      <w:rFonts w:eastAsia="SimSun" w:cs="Times New Roman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03C4"/>
    <w:rPr>
      <w:color w:val="954F72" w:themeColor="followedHyperlink"/>
      <w:u w:val="single"/>
    </w:rPr>
  </w:style>
  <w:style w:type="paragraph" w:customStyle="1" w:styleId="Tabletext">
    <w:name w:val="ŠTable text"/>
    <w:basedOn w:val="Normal"/>
    <w:uiPriority w:val="23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link w:val="IOSbodytext"/>
    <w:rsid w:val="00DC03C4"/>
    <w:rPr>
      <w:rFonts w:ascii="Arial" w:eastAsia="SimSun" w:hAnsi="Arial" w:cs="Times New Roman"/>
      <w:lang w:val="en-AU" w:eastAsia="zh-CN"/>
    </w:rPr>
  </w:style>
  <w:style w:type="paragraph" w:styleId="ListParagraph">
    <w:name w:val="List Paragraph"/>
    <w:basedOn w:val="Normal"/>
    <w:uiPriority w:val="34"/>
    <w:qFormat/>
    <w:rsid w:val="00DC03C4"/>
    <w:pPr>
      <w:spacing w:before="0" w:line="240" w:lineRule="auto"/>
      <w:ind w:left="720"/>
      <w:contextualSpacing/>
    </w:pPr>
    <w:rPr>
      <w:rFonts w:asciiTheme="minorHAnsi" w:hAnsiTheme="minorHAnsi"/>
    </w:rPr>
  </w:style>
  <w:style w:type="paragraph" w:customStyle="1" w:styleId="Entry">
    <w:name w:val="Entry"/>
    <w:basedOn w:val="Normal"/>
    <w:qFormat/>
    <w:rsid w:val="008A563F"/>
    <w:pPr>
      <w:spacing w:before="0" w:line="240" w:lineRule="auto"/>
    </w:pPr>
    <w:rPr>
      <w:rFonts w:asciiTheme="minorHAnsi" w:hAnsiTheme="minorHAnsi"/>
      <w:b/>
      <w:sz w:val="20"/>
      <w:szCs w:val="20"/>
      <w:lang w:val="en-US"/>
    </w:rPr>
  </w:style>
  <w:style w:type="paragraph" w:customStyle="1" w:styleId="Label">
    <w:name w:val="Label"/>
    <w:basedOn w:val="Normal"/>
    <w:qFormat/>
    <w:rsid w:val="008A563F"/>
    <w:pPr>
      <w:spacing w:before="0" w:line="240" w:lineRule="auto"/>
      <w:jc w:val="right"/>
    </w:pPr>
    <w:rPr>
      <w:rFonts w:asciiTheme="majorHAnsi" w:hAnsiTheme="majorHAnsi"/>
      <w:b/>
      <w:sz w:val="20"/>
      <w:szCs w:val="20"/>
      <w:lang w:val="en-US"/>
    </w:rPr>
  </w:style>
  <w:style w:type="paragraph" w:customStyle="1" w:styleId="Dotty">
    <w:name w:val="Dotty"/>
    <w:qFormat/>
    <w:rsid w:val="008A563F"/>
    <w:pPr>
      <w:tabs>
        <w:tab w:val="num" w:pos="720"/>
      </w:tabs>
      <w:spacing w:before="0" w:after="100" w:line="240" w:lineRule="auto"/>
      <w:ind w:left="227" w:hanging="170"/>
    </w:pPr>
    <w:rPr>
      <w:rFonts w:asciiTheme="majorHAnsi" w:hAnsiTheme="majorHAnsi"/>
      <w:b/>
      <w:sz w:val="20"/>
      <w:szCs w:val="20"/>
    </w:rPr>
  </w:style>
  <w:style w:type="paragraph" w:customStyle="1" w:styleId="Titles">
    <w:name w:val="Titles"/>
    <w:basedOn w:val="Normal"/>
    <w:qFormat/>
    <w:rsid w:val="008A563F"/>
    <w:pPr>
      <w:spacing w:before="0" w:after="120" w:line="240" w:lineRule="auto"/>
      <w:ind w:right="134"/>
      <w:jc w:val="center"/>
    </w:pPr>
    <w:rPr>
      <w:rFonts w:asciiTheme="majorHAnsi" w:hAnsiTheme="majorHAnsi"/>
      <w:b/>
      <w:spacing w:val="80"/>
      <w:sz w:val="36"/>
      <w:szCs w:val="36"/>
      <w:lang w:val="en-US"/>
    </w:rPr>
  </w:style>
  <w:style w:type="character" w:customStyle="1" w:styleId="normaltextrun1">
    <w:name w:val="normaltextrun1"/>
    <w:basedOn w:val="DefaultParagraphFont"/>
    <w:rsid w:val="008A563F"/>
  </w:style>
  <w:style w:type="character" w:customStyle="1" w:styleId="eop">
    <w:name w:val="eop"/>
    <w:basedOn w:val="DefaultParagraphFont"/>
    <w:rsid w:val="008A563F"/>
  </w:style>
  <w:style w:type="paragraph" w:customStyle="1" w:styleId="paragraph1">
    <w:name w:val="paragraph1"/>
    <w:basedOn w:val="Normal"/>
    <w:rsid w:val="008A563F"/>
    <w:pPr>
      <w:spacing w:before="0" w:line="240" w:lineRule="auto"/>
    </w:pPr>
    <w:rPr>
      <w:rFonts w:ascii="Times New Roman" w:eastAsia="Times New Roman" w:hAnsi="Times New Roman" w:cs="Times New Roman"/>
    </w:rPr>
  </w:style>
  <w:style w:type="paragraph" w:customStyle="1" w:styleId="DoEbodytext2018">
    <w:name w:val="DoE body text 2018"/>
    <w:basedOn w:val="Normal"/>
    <w:qFormat/>
    <w:rsid w:val="006F7F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character" w:customStyle="1" w:styleId="DoEstrongemphasis2018">
    <w:name w:val="DoE strong emphasis 2018"/>
    <w:basedOn w:val="DefaultParagraphFont"/>
    <w:uiPriority w:val="1"/>
    <w:qFormat/>
    <w:rsid w:val="006F7FF4"/>
    <w:rPr>
      <w:b/>
      <w:noProof w:val="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7C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3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E6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E6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E6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E67"/>
    <w:rPr>
      <w:rFonts w:ascii="Segoe UI" w:hAnsi="Segoe UI" w:cs="Segoe UI"/>
      <w:sz w:val="18"/>
      <w:szCs w:val="18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before="80" w:after="80" w:line="240" w:lineRule="auto"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a0">
    <w:basedOn w:val="TableNormal"/>
    <w:pPr>
      <w:widowControl w:val="0"/>
      <w:spacing w:before="80" w:after="80" w:line="240" w:lineRule="auto"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keepNext w:val="0"/>
        <w:keepLines w:val="0"/>
        <w:widowControl w:val="0"/>
        <w:spacing w:before="0" w:after="0" w:line="240" w:lineRule="auto"/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24" w:space="0" w:color="1F3864"/>
          <w:left w:val="single" w:sz="24" w:space="0" w:color="1F3864"/>
          <w:bottom w:val="single" w:sz="24" w:space="0" w:color="C00000"/>
          <w:right w:val="single" w:sz="24" w:space="0" w:color="1F3864"/>
          <w:insideH w:val="single" w:sz="24" w:space="0" w:color="1F3864"/>
          <w:insideV w:val="single" w:sz="24" w:space="0" w:color="1F3864"/>
        </w:tcBorders>
        <w:shd w:val="clear" w:color="auto" w:fill="1F3864"/>
      </w:tcPr>
    </w:tblStylePr>
    <w:tblStylePr w:type="lastRow">
      <w:pPr>
        <w:keepNext w:val="0"/>
        <w:keepLines w:val="0"/>
        <w:widowControl w:val="0"/>
        <w:spacing w:line="240" w:lineRule="auto"/>
      </w:pPr>
    </w:tblStylePr>
    <w:tblStylePr w:type="firstCol">
      <w:pPr>
        <w:keepNext w:val="0"/>
        <w:keepLines w:val="0"/>
        <w:widowControl w:val="0"/>
        <w:spacing w:before="0" w:after="0" w:line="240" w:lineRule="auto"/>
      </w:pPr>
      <w:rPr>
        <w:rFonts w:ascii="Arial" w:eastAsia="Arial" w:hAnsi="Arial" w:cs="Arial"/>
        <w:b/>
        <w:sz w:val="22"/>
        <w:szCs w:val="22"/>
      </w:rPr>
    </w:tblStylePr>
    <w:tblStylePr w:type="lastCol">
      <w:pPr>
        <w:keepNext w:val="0"/>
        <w:keepLines w:val="0"/>
        <w:widowControl w:val="0"/>
        <w:spacing w:line="240" w:lineRule="auto"/>
      </w:pPr>
    </w:tblStylePr>
    <w:tblStylePr w:type="band1Vert">
      <w:pPr>
        <w:keepNext w:val="0"/>
        <w:keepLines w:val="0"/>
        <w:widowControl w:val="0"/>
        <w:spacing w:before="192" w:after="192" w:line="240" w:lineRule="auto"/>
      </w:pPr>
      <w:rPr>
        <w:rFonts w:ascii="Arial" w:eastAsia="Arial" w:hAnsi="Arial" w:cs="Arial"/>
        <w:sz w:val="22"/>
        <w:szCs w:val="22"/>
      </w:rPr>
    </w:tblStylePr>
    <w:tblStylePr w:type="band2Vert">
      <w:pPr>
        <w:keepNext w:val="0"/>
        <w:keepLines w:val="0"/>
        <w:widowControl w:val="0"/>
        <w:spacing w:before="192" w:after="192" w:line="240" w:lineRule="auto"/>
      </w:pPr>
    </w:tblStylePr>
    <w:tblStylePr w:type="band1Horz">
      <w:pPr>
        <w:keepNext w:val="0"/>
        <w:keepLines w:val="0"/>
        <w:widowControl w:val="0"/>
        <w:spacing w:before="0" w:after="0" w:line="240" w:lineRule="auto"/>
      </w:p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pPr>
        <w:keepNext w:val="0"/>
        <w:keepLines w:val="0"/>
        <w:widowControl w:val="0"/>
        <w:spacing w:before="0" w:after="0" w:line="240" w:lineRule="auto"/>
      </w:pPr>
      <w:rPr>
        <w:rFonts w:ascii="Arial" w:eastAsia="Arial" w:hAnsi="Arial" w:cs="Arial"/>
        <w:color w:val="00000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E7E6E6"/>
      </w:tcPr>
    </w:tblStylePr>
    <w:tblStylePr w:type="neCell">
      <w:pPr>
        <w:keepNext w:val="0"/>
        <w:keepLines w:val="0"/>
        <w:widowControl w:val="0"/>
        <w:spacing w:before="192" w:after="192" w:line="240" w:lineRule="auto"/>
      </w:pPr>
    </w:tblStylePr>
    <w:tblStylePr w:type="nwCell">
      <w:pPr>
        <w:keepNext w:val="0"/>
        <w:keepLines w:val="0"/>
        <w:widowControl w:val="0"/>
        <w:spacing w:before="192" w:after="192" w:line="240" w:lineRule="auto"/>
      </w:pPr>
    </w:tblStylePr>
    <w:tblStylePr w:type="seCell">
      <w:pPr>
        <w:keepNext w:val="0"/>
        <w:keepLines w:val="0"/>
        <w:widowControl w:val="0"/>
        <w:spacing w:before="192" w:after="192" w:line="240" w:lineRule="auto"/>
      </w:pPr>
    </w:tblStylePr>
    <w:tblStylePr w:type="swCell">
      <w:pPr>
        <w:keepNext w:val="0"/>
        <w:keepLines w:val="0"/>
        <w:widowControl w:val="0"/>
        <w:spacing w:before="192" w:after="192" w:line="240" w:lineRule="auto"/>
      </w:pPr>
    </w:tblStylePr>
  </w:style>
  <w:style w:type="table" w:customStyle="1" w:styleId="a1">
    <w:basedOn w:val="TableNormal"/>
    <w:pPr>
      <w:widowControl w:val="0"/>
      <w:spacing w:before="80" w:after="80" w:line="240" w:lineRule="auto"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keepNext w:val="0"/>
        <w:keepLines w:val="0"/>
        <w:widowControl w:val="0"/>
        <w:spacing w:before="0" w:after="0" w:line="240" w:lineRule="auto"/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24" w:space="0" w:color="1F3864"/>
          <w:left w:val="single" w:sz="24" w:space="0" w:color="1F3864"/>
          <w:bottom w:val="single" w:sz="24" w:space="0" w:color="C00000"/>
          <w:right w:val="single" w:sz="24" w:space="0" w:color="1F3864"/>
          <w:insideH w:val="single" w:sz="24" w:space="0" w:color="1F3864"/>
          <w:insideV w:val="single" w:sz="24" w:space="0" w:color="1F3864"/>
        </w:tcBorders>
        <w:shd w:val="clear" w:color="auto" w:fill="1F3864"/>
      </w:tcPr>
    </w:tblStylePr>
    <w:tblStylePr w:type="lastRow">
      <w:pPr>
        <w:keepNext w:val="0"/>
        <w:keepLines w:val="0"/>
        <w:widowControl w:val="0"/>
        <w:spacing w:line="240" w:lineRule="auto"/>
      </w:pPr>
    </w:tblStylePr>
    <w:tblStylePr w:type="firstCol">
      <w:pPr>
        <w:keepNext w:val="0"/>
        <w:keepLines w:val="0"/>
        <w:widowControl w:val="0"/>
        <w:spacing w:before="0" w:after="0" w:line="240" w:lineRule="auto"/>
      </w:pPr>
      <w:rPr>
        <w:rFonts w:ascii="Arial" w:eastAsia="Arial" w:hAnsi="Arial" w:cs="Arial"/>
        <w:b/>
        <w:sz w:val="22"/>
        <w:szCs w:val="22"/>
      </w:rPr>
    </w:tblStylePr>
    <w:tblStylePr w:type="lastCol">
      <w:pPr>
        <w:keepNext w:val="0"/>
        <w:keepLines w:val="0"/>
        <w:widowControl w:val="0"/>
        <w:spacing w:line="240" w:lineRule="auto"/>
      </w:pPr>
    </w:tblStylePr>
    <w:tblStylePr w:type="band1Vert">
      <w:pPr>
        <w:keepNext w:val="0"/>
        <w:keepLines w:val="0"/>
        <w:widowControl w:val="0"/>
        <w:spacing w:before="192" w:after="192" w:line="240" w:lineRule="auto"/>
      </w:pPr>
      <w:rPr>
        <w:rFonts w:ascii="Arial" w:eastAsia="Arial" w:hAnsi="Arial" w:cs="Arial"/>
        <w:sz w:val="22"/>
        <w:szCs w:val="22"/>
      </w:rPr>
    </w:tblStylePr>
    <w:tblStylePr w:type="band2Vert">
      <w:pPr>
        <w:keepNext w:val="0"/>
        <w:keepLines w:val="0"/>
        <w:widowControl w:val="0"/>
        <w:spacing w:before="192" w:after="192" w:line="240" w:lineRule="auto"/>
      </w:pPr>
    </w:tblStylePr>
    <w:tblStylePr w:type="band1Horz">
      <w:pPr>
        <w:keepNext w:val="0"/>
        <w:keepLines w:val="0"/>
        <w:widowControl w:val="0"/>
        <w:spacing w:before="0" w:after="0" w:line="240" w:lineRule="auto"/>
      </w:p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pPr>
        <w:keepNext w:val="0"/>
        <w:keepLines w:val="0"/>
        <w:widowControl w:val="0"/>
        <w:spacing w:before="0" w:after="0" w:line="240" w:lineRule="auto"/>
      </w:pPr>
      <w:rPr>
        <w:rFonts w:ascii="Arial" w:eastAsia="Arial" w:hAnsi="Arial" w:cs="Arial"/>
        <w:color w:val="00000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E7E6E6"/>
      </w:tcPr>
    </w:tblStylePr>
    <w:tblStylePr w:type="neCell">
      <w:pPr>
        <w:keepNext w:val="0"/>
        <w:keepLines w:val="0"/>
        <w:widowControl w:val="0"/>
        <w:spacing w:before="192" w:after="192" w:line="240" w:lineRule="auto"/>
      </w:pPr>
    </w:tblStylePr>
    <w:tblStylePr w:type="nwCell">
      <w:pPr>
        <w:keepNext w:val="0"/>
        <w:keepLines w:val="0"/>
        <w:widowControl w:val="0"/>
        <w:spacing w:before="192" w:after="192" w:line="240" w:lineRule="auto"/>
      </w:pPr>
    </w:tblStylePr>
    <w:tblStylePr w:type="seCell">
      <w:pPr>
        <w:keepNext w:val="0"/>
        <w:keepLines w:val="0"/>
        <w:widowControl w:val="0"/>
        <w:spacing w:before="192" w:after="192" w:line="240" w:lineRule="auto"/>
      </w:pPr>
    </w:tblStylePr>
    <w:tblStylePr w:type="swCell">
      <w:pPr>
        <w:keepNext w:val="0"/>
        <w:keepLines w:val="0"/>
        <w:widowControl w:val="0"/>
        <w:spacing w:before="192" w:after="192" w:line="240" w:lineRule="auto"/>
      </w:p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064EEA90-242E-4954-A047-1BA23CB893EB}">
    <t:Anchor>
      <t:Comment id="614474252"/>
    </t:Anchor>
    <t:History>
      <t:Event id="{5FE7AE15-6638-4796-B772-E20EE187D950}" time="2021-08-04T05:49:38.951Z">
        <t:Attribution userId="S::ravenna.gregory@det.nsw.edu.au::f5c11ae7-6dec-403e-a7cc-ae83440d4b4a" userProvider="AD" userName="Ravenna GREGORY"/>
        <t:Anchor>
          <t:Comment id="58324690"/>
        </t:Anchor>
        <t:Create/>
      </t:Event>
      <t:Event id="{FC6DCF98-018C-4D7B-AACB-1639401382E9}" time="2021-08-04T05:49:38.951Z">
        <t:Attribution userId="S::ravenna.gregory@det.nsw.edu.au::f5c11ae7-6dec-403e-a7cc-ae83440d4b4a" userProvider="AD" userName="Ravenna GREGORY"/>
        <t:Anchor>
          <t:Comment id="58324690"/>
        </t:Anchor>
        <t:Assign userId="S::jacquelyn.king1@det.nsw.edu.au::d8b064bb-b302-46ab-9bb5-5991f720e55b" userProvider="AD" userName="Jackie King"/>
      </t:Event>
      <t:Event id="{267CD2C8-D7CC-47EB-8498-1ABA6DD9CDAE}" time="2021-08-04T05:49:38.951Z">
        <t:Attribution userId="S::ravenna.gregory@det.nsw.edu.au::f5c11ae7-6dec-403e-a7cc-ae83440d4b4a" userProvider="AD" userName="Ravenna GREGORY"/>
        <t:Anchor>
          <t:Comment id="58324690"/>
        </t:Anchor>
        <t:SetTitle title="I would prefer the whole 8 ways image in that case as really want to make clear that there is a single focus of each component. @Jackie King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71f15e827ceb4ef5" Type="http://schemas.microsoft.com/office/2019/05/relationships/documenttasks" Target="task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e05f3c6196134ee0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68a1cc4d-aeca-43a7-966e-c96902739e45">
      <UserInfo>
        <DisplayName/>
        <AccountId xsi:nil="true"/>
        <AccountType/>
      </UserInfo>
    </Member_Groups>
    <NotebookType xmlns="68a1cc4d-aeca-43a7-966e-c96902739e45" xsi:nil="true"/>
    <AppVersion xmlns="68a1cc4d-aeca-43a7-966e-c96902739e45" xsi:nil="true"/>
    <Invited_Leaders xmlns="68a1cc4d-aeca-43a7-966e-c96902739e45" xsi:nil="true"/>
    <Members xmlns="68a1cc4d-aeca-43a7-966e-c96902739e45">
      <UserInfo>
        <DisplayName/>
        <AccountId xsi:nil="true"/>
        <AccountType/>
      </UserInfo>
    </Members>
    <Self_Registration_Enabled xmlns="68a1cc4d-aeca-43a7-966e-c96902739e45" xsi:nil="true"/>
    <Has_Leaders_Only_SectionGroup xmlns="68a1cc4d-aeca-43a7-966e-c96902739e45" xsi:nil="true"/>
    <TeamsChannelId xmlns="68a1cc4d-aeca-43a7-966e-c96902739e45" xsi:nil="true"/>
    <Is_Collaboration_Space_Locked xmlns="68a1cc4d-aeca-43a7-966e-c96902739e45" xsi:nil="true"/>
    <Teams_Channel_Section_Location xmlns="68a1cc4d-aeca-43a7-966e-c96902739e45" xsi:nil="true"/>
    <CultureName xmlns="68a1cc4d-aeca-43a7-966e-c96902739e45" xsi:nil="true"/>
    <Leaders xmlns="68a1cc4d-aeca-43a7-966e-c96902739e45">
      <UserInfo>
        <DisplayName/>
        <AccountId xsi:nil="true"/>
        <AccountType/>
      </UserInfo>
    </Leaders>
    <IsNotebookLocked xmlns="68a1cc4d-aeca-43a7-966e-c96902739e45" xsi:nil="true"/>
    <DefaultSectionNames xmlns="68a1cc4d-aeca-43a7-966e-c96902739e45" xsi:nil="true"/>
    <Invited_Members xmlns="68a1cc4d-aeca-43a7-966e-c96902739e45" xsi:nil="true"/>
    <Templates xmlns="68a1cc4d-aeca-43a7-966e-c96902739e45" xsi:nil="true"/>
    <FolderType xmlns="68a1cc4d-aeca-43a7-966e-c96902739e45" xsi:nil="true"/>
    <Math_Settings xmlns="68a1cc4d-aeca-43a7-966e-c96902739e45" xsi:nil="true"/>
    <Owner xmlns="68a1cc4d-aeca-43a7-966e-c96902739e45">
      <UserInfo>
        <DisplayName/>
        <AccountId xsi:nil="true"/>
        <AccountType/>
      </UserInfo>
    </Owner>
    <Distribution_Groups xmlns="68a1cc4d-aeca-43a7-966e-c96902739e45" xsi:nil="true"/>
    <LMS_Mappings xmlns="68a1cc4d-aeca-43a7-966e-c96902739e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3D96415DCD4BB019856EC1CC25EB" ma:contentTypeVersion="34" ma:contentTypeDescription="Create a new document." ma:contentTypeScope="" ma:versionID="65089093e48ac1a8128feca2b782bde3">
  <xsd:schema xmlns:xsd="http://www.w3.org/2001/XMLSchema" xmlns:xs="http://www.w3.org/2001/XMLSchema" xmlns:p="http://schemas.microsoft.com/office/2006/metadata/properties" xmlns:ns2="68a1cc4d-aeca-43a7-966e-c96902739e45" xmlns:ns3="cd075059-443a-463f-882b-1c7fab14284f" targetNamespace="http://schemas.microsoft.com/office/2006/metadata/properties" ma:root="true" ma:fieldsID="6a71d6c9615c22d71d02c9963b77f84d" ns2:_="" ns3:_="">
    <xsd:import namespace="68a1cc4d-aeca-43a7-966e-c96902739e45"/>
    <xsd:import namespace="cd075059-443a-463f-882b-1c7fab142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1cc4d-aeca-43a7-966e-c96902739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5059-443a-463f-882b-1c7fab142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0SidgB5qBjwdzKA3rE2vzTQFyg==">AMUW2mXJu68qV75TiD8TYa696Y3Ux6jyGPTWHkH+7qOcvKg87+CEtZO5Z6RvNA2fEfkQyszO+67UMdtp45hHHJJZYG4OcfFRD4GBJ4PK7VV0iBi92WkjZBfjwUr2AJdvLGdrULJI82YG</go:docsCustomData>
</go:gDocsCustomXmlDataStorage>
</file>

<file path=customXml/itemProps1.xml><?xml version="1.0" encoding="utf-8"?>
<ds:datastoreItem xmlns:ds="http://schemas.openxmlformats.org/officeDocument/2006/customXml" ds:itemID="{29DE27F1-DAC2-4723-AF65-C38FAA2796E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cd075059-443a-463f-882b-1c7fab14284f"/>
    <ds:schemaRef ds:uri="68a1cc4d-aeca-43a7-966e-c96902739e4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9B930C-6D9C-4AA0-A893-6B39F1E4D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E47D5-FEB7-4718-871C-028761BA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1cc4d-aeca-43a7-966e-c96902739e45"/>
    <ds:schemaRef ds:uri="cd075059-443a-463f-882b-1c7fab142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task - Aboriginal pedagogies in drama S5</vt:lpstr>
    </vt:vector>
  </TitlesOfParts>
  <Company>NSW Department of Education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task - Aboriginal pedagogies in drama S5</dc:title>
  <dc:creator>NSW Department of Education</dc:creator>
  <cp:keywords>Aboriginal, drama, Stage 5</cp:keywords>
  <cp:lastModifiedBy>Cathryn Horvat</cp:lastModifiedBy>
  <cp:revision>29</cp:revision>
  <dcterms:created xsi:type="dcterms:W3CDTF">2021-03-23T23:38:00Z</dcterms:created>
  <dcterms:modified xsi:type="dcterms:W3CDTF">2021-08-26T23:09:00Z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0x010100383E3D96415DCD4BB019856EC1CC25EB</vt:lpwstr>
  </property>
</Properties>
</file>