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305BBE09" w:rsidR="00ED3B04" w:rsidRPr="001450C0" w:rsidRDefault="00910707" w:rsidP="00910707">
      <w:pPr>
        <w:pStyle w:val="Pre-Title"/>
        <w:spacing w:after="1320"/>
      </w:pPr>
      <w:r>
        <w:t>202</w:t>
      </w:r>
      <w:r w:rsidR="009B51D0">
        <w:t>5</w:t>
      </w:r>
      <w:r>
        <w:t xml:space="preserve"> </w:t>
      </w:r>
      <w:r w:rsidR="00ED3B04" w:rsidRPr="001450C0">
        <w:t xml:space="preserve">Premier’s </w:t>
      </w:r>
      <w:r w:rsidR="004D3AEE">
        <w:t xml:space="preserve">NESA Quality Teaching </w:t>
      </w:r>
      <w:r w:rsidR="00ED3B04" w:rsidRPr="001450C0">
        <w:t>Scholarship</w:t>
      </w:r>
    </w:p>
    <w:p w14:paraId="0011C0C3" w14:textId="502B49D2" w:rsidR="00ED3B04" w:rsidRPr="00C509F6" w:rsidRDefault="00807E4C" w:rsidP="00C509F6">
      <w:pPr>
        <w:pStyle w:val="Title"/>
      </w:pPr>
      <w:r>
        <w:t>Artificial Intelligence in Education</w:t>
      </w:r>
    </w:p>
    <w:p w14:paraId="441CB682" w14:textId="277BA9D1" w:rsidR="00ED3B04" w:rsidRPr="001450C0" w:rsidRDefault="00807E4C" w:rsidP="00ED3B04">
      <w:pPr>
        <w:pStyle w:val="Subtitle"/>
        <w:rPr>
          <w:rFonts w:eastAsia="Tahoma"/>
        </w:rPr>
      </w:pPr>
      <w:r>
        <w:rPr>
          <w:rFonts w:eastAsia="Tahoma"/>
        </w:rPr>
        <w:t>Global case studies and emerging practices</w:t>
      </w:r>
    </w:p>
    <w:p w14:paraId="1C925F83" w14:textId="725603ED" w:rsidR="00ED3B04" w:rsidRPr="00943538" w:rsidRDefault="00807E4C" w:rsidP="00910707">
      <w:pPr>
        <w:pStyle w:val="Author"/>
        <w:spacing w:before="1320"/>
      </w:pPr>
      <w:r>
        <w:t>Simone Hirsch</w:t>
      </w:r>
    </w:p>
    <w:p w14:paraId="3666F43D" w14:textId="4C469F8F" w:rsidR="00ED3B04" w:rsidRDefault="00807E4C" w:rsidP="00910707">
      <w:pPr>
        <w:spacing w:after="0"/>
      </w:pPr>
      <w:r>
        <w:t>Rowena Public School, Tirriwirri Public School, Black Mountain Public School</w:t>
      </w:r>
    </w:p>
    <w:p w14:paraId="26B4A539" w14:textId="7DDC7E6E" w:rsidR="00ED3B04" w:rsidRDefault="00ED3B04" w:rsidP="00910707">
      <w:pPr>
        <w:pStyle w:val="Sponsor"/>
        <w:spacing w:before="1320"/>
      </w:pPr>
      <w:r w:rsidRPr="001450C0">
        <w:t>Sponsored by</w:t>
      </w:r>
      <w:r w:rsidR="00807E4C">
        <w:t xml:space="preserve"> the New South Wales Education Standards Authority</w:t>
      </w:r>
    </w:p>
    <w:p w14:paraId="7B33461C" w14:textId="3A921A6D" w:rsidR="00EC0ED6" w:rsidRDefault="00807E4C" w:rsidP="000255B4">
      <w:r w:rsidRPr="00D07A7F">
        <w:rPr>
          <w:noProof/>
        </w:rPr>
        <w:drawing>
          <wp:inline distT="114300" distB="114300" distL="114300" distR="114300" wp14:anchorId="7379E369" wp14:editId="261632D3">
            <wp:extent cx="1046798" cy="1098619"/>
            <wp:effectExtent l="0" t="0" r="0" b="0"/>
            <wp:docPr id="1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3" name="image3.png">
                      <a:extLst>
                        <a:ext uri="{C183D7F6-B498-43B3-948B-1728B52AA6E4}">
                          <adec:decorative xmlns:adec="http://schemas.microsoft.com/office/drawing/2017/decorative" val="1"/>
                        </a:ext>
                      </a:extLst>
                    </pic:cNvPr>
                    <pic:cNvPicPr preferRelativeResize="0"/>
                  </pic:nvPicPr>
                  <pic:blipFill>
                    <a:blip r:embed="rId12"/>
                    <a:srcRect/>
                    <a:stretch>
                      <a:fillRect/>
                    </a:stretch>
                  </pic:blipFill>
                  <pic:spPr>
                    <a:xfrm>
                      <a:off x="0" y="0"/>
                      <a:ext cx="1046798" cy="1098619"/>
                    </a:xfrm>
                    <a:prstGeom prst="rect">
                      <a:avLst/>
                    </a:prstGeom>
                    <a:ln/>
                  </pic:spPr>
                </pic:pic>
              </a:graphicData>
            </a:graphic>
          </wp:inline>
        </w:drawing>
      </w:r>
    </w:p>
    <w:p w14:paraId="7915882B" w14:textId="272AC739" w:rsidR="00F1653C" w:rsidRPr="00EC0ED6" w:rsidRDefault="00F1653C" w:rsidP="000255B4">
      <w:pPr>
        <w:sectPr w:rsidR="00F1653C" w:rsidRPr="00EC0ED6" w:rsidSect="00720CAA">
          <w:headerReference w:type="even" r:id="rId13"/>
          <w:headerReference w:type="default" r:id="rId14"/>
          <w:footerReference w:type="even" r:id="rId15"/>
          <w:footerReference w:type="default" r:id="rId16"/>
          <w:headerReference w:type="first" r:id="rId17"/>
          <w:footerReference w:type="first" r:id="rId18"/>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2A3DC271" w14:textId="77777777" w:rsidR="00807E4C" w:rsidRDefault="00807E4C" w:rsidP="00807E4C">
      <w:r w:rsidRPr="00DE3B8F">
        <w:t>This report examines how Artificial Intelligence (AI) is being integrated into education across different contexts, with a particular focus on schools and universities experimenting with new models of teaching, learning, and assessment. The study was undertaken to explore practical examples of AI in action, identify the challenges and opportunities that arise, and consider how educators can embed AI in ways that are both ethical and sustainable.</w:t>
      </w:r>
    </w:p>
    <w:p w14:paraId="60F7DB8B" w14:textId="77777777" w:rsidR="00807E4C" w:rsidRDefault="00807E4C" w:rsidP="00807E4C">
      <w:r w:rsidRPr="00DE3B8F">
        <w:t>The central focus of the study was to investigate how AI is reshaping classroom practice, professional learning, and assessment.</w:t>
      </w:r>
      <w:r w:rsidRPr="0014039D">
        <w:t xml:space="preserve"> By reviewing authentic examples of AI in education and drawing on conversations with practitioners, the study captured how early adopters have used AI in classrooms and what this now means for the future of education.</w:t>
      </w:r>
    </w:p>
    <w:p w14:paraId="7B797224" w14:textId="77777777" w:rsidR="00807E4C" w:rsidRPr="00807E4C" w:rsidRDefault="00807E4C" w:rsidP="00807E4C">
      <w:r w:rsidRPr="00DE3B8F">
        <w:t>The findings that follow draw on these diverse perspectives, illustrating both the promise and the complexity of AI in education. The report shares examples of practice, highlights ethical considerations, and points to the skills and structures needed to ensure that AI amplifies, rather than diminishes, the human dimensions of teaching and learning.</w:t>
      </w:r>
      <w:r>
        <w:t xml:space="preserve"> </w:t>
      </w:r>
    </w:p>
    <w:p w14:paraId="7BD98AC6" w14:textId="77777777" w:rsidR="00ED3B04" w:rsidRPr="00ED3B04" w:rsidRDefault="005935DB" w:rsidP="00ED3B04">
      <w:pPr>
        <w:pStyle w:val="Heading1"/>
      </w:pPr>
      <w:r>
        <w:t>Focus of Study</w:t>
      </w:r>
    </w:p>
    <w:p w14:paraId="73892374" w14:textId="4BBB48ED" w:rsidR="00807E4C" w:rsidRDefault="00807E4C" w:rsidP="00FB15FB">
      <w:pPr>
        <w:rPr>
          <w:shd w:val="clear" w:color="auto" w:fill="FFFFFF"/>
        </w:rPr>
      </w:pPr>
      <w:r w:rsidRPr="00DE3B8F">
        <w:rPr>
          <w:shd w:val="clear" w:color="auto" w:fill="FFFFFF"/>
        </w:rPr>
        <w:t>The focus of this study was to investigate how AI is being used in schools and what this means for teachers, students, and systems</w:t>
      </w:r>
      <w:r>
        <w:rPr>
          <w:shd w:val="clear" w:color="auto" w:fill="FFFFFF"/>
        </w:rPr>
        <w:t>. Beyond</w:t>
      </w:r>
      <w:r w:rsidRPr="00DE3B8F">
        <w:rPr>
          <w:shd w:val="clear" w:color="auto" w:fill="FFFFFF"/>
        </w:rPr>
        <w:t xml:space="preserve"> policy statements and broad claims, </w:t>
      </w:r>
      <w:r>
        <w:rPr>
          <w:shd w:val="clear" w:color="auto" w:fill="FFFFFF"/>
        </w:rPr>
        <w:t>the study aimed to</w:t>
      </w:r>
      <w:r w:rsidRPr="00DE3B8F">
        <w:rPr>
          <w:shd w:val="clear" w:color="auto" w:fill="FFFFFF"/>
        </w:rPr>
        <w:t xml:space="preserve"> capture real examples of AI in classrooms around the world. Th</w:t>
      </w:r>
      <w:r>
        <w:rPr>
          <w:shd w:val="clear" w:color="auto" w:fill="FFFFFF"/>
        </w:rPr>
        <w:t xml:space="preserve">is included </w:t>
      </w:r>
      <w:r w:rsidRPr="00DE3B8F">
        <w:rPr>
          <w:shd w:val="clear" w:color="auto" w:fill="FFFFFF"/>
        </w:rPr>
        <w:t>how educators are trialling AI, what new approaches are emerging, and how these are reshaping teaching practice, assessment, and professional learning.</w:t>
      </w:r>
      <w:r>
        <w:rPr>
          <w:shd w:val="clear" w:color="auto" w:fill="FFFFFF"/>
        </w:rPr>
        <w:t xml:space="preserve"> </w:t>
      </w:r>
      <w:r w:rsidRPr="00DE3B8F">
        <w:rPr>
          <w:shd w:val="clear" w:color="auto" w:fill="FFFFFF"/>
        </w:rPr>
        <w:t>A key part of the inquiry was to explore the structures that schools are putting in place to support AI</w:t>
      </w:r>
      <w:r>
        <w:rPr>
          <w:shd w:val="clear" w:color="auto" w:fill="FFFFFF"/>
        </w:rPr>
        <w:t xml:space="preserve"> </w:t>
      </w:r>
      <w:r w:rsidRPr="00DE3B8F">
        <w:rPr>
          <w:shd w:val="clear" w:color="auto" w:fill="FFFFFF"/>
        </w:rPr>
        <w:t>integration. Equity was also central</w:t>
      </w:r>
      <w:r>
        <w:rPr>
          <w:shd w:val="clear" w:color="auto" w:fill="FFFFFF"/>
        </w:rPr>
        <w:t xml:space="preserve"> to uncover how</w:t>
      </w:r>
      <w:r w:rsidRPr="00DE3B8F">
        <w:rPr>
          <w:shd w:val="clear" w:color="auto" w:fill="FFFFFF"/>
        </w:rPr>
        <w:t xml:space="preserve"> schools and communities are creating opportunities for access in disadvantaged or low-resource contexts.</w:t>
      </w:r>
      <w:r>
        <w:rPr>
          <w:shd w:val="clear" w:color="auto" w:fill="FFFFFF"/>
        </w:rPr>
        <w:t xml:space="preserve"> </w:t>
      </w:r>
      <w:r w:rsidRPr="00DE3B8F">
        <w:rPr>
          <w:shd w:val="clear" w:color="auto" w:fill="FFFFFF"/>
        </w:rPr>
        <w:t>By focusing on these areas, the study aimed to provide insights into the conditions that make AI effective and the challenges that remain for schools.</w:t>
      </w:r>
    </w:p>
    <w:p w14:paraId="18D30A07" w14:textId="77777777" w:rsidR="00ED3B04" w:rsidRPr="00ED3B04" w:rsidRDefault="005935DB" w:rsidP="00943538">
      <w:pPr>
        <w:pStyle w:val="Heading1"/>
      </w:pPr>
      <w:r>
        <w:t>Significant Learning</w:t>
      </w:r>
    </w:p>
    <w:p w14:paraId="5A086F5B" w14:textId="09DF517D" w:rsidR="00807E4C" w:rsidRPr="00807E4C" w:rsidRDefault="00807E4C" w:rsidP="00807E4C">
      <w:pPr>
        <w:pStyle w:val="Heading3"/>
      </w:pPr>
      <w:r w:rsidRPr="00807E4C">
        <w:t xml:space="preserve">Transdisciplinary learning and </w:t>
      </w:r>
      <w:r w:rsidR="00AD5F70" w:rsidRPr="00807E4C">
        <w:t>project-based</w:t>
      </w:r>
      <w:r w:rsidRPr="00807E4C">
        <w:t xml:space="preserve"> learning models</w:t>
      </w:r>
    </w:p>
    <w:p w14:paraId="10A4EC39" w14:textId="44C9648F" w:rsidR="00807E4C" w:rsidRPr="00807E4C" w:rsidRDefault="00807E4C" w:rsidP="00807E4C">
      <w:pPr>
        <w:rPr>
          <w:shd w:val="clear" w:color="auto" w:fill="FFFFFF"/>
        </w:rPr>
      </w:pPr>
      <w:r w:rsidRPr="00807E4C">
        <w:rPr>
          <w:shd w:val="clear" w:color="auto" w:fill="FFFFFF"/>
        </w:rPr>
        <w:t xml:space="preserve">The integration of AI into classroom practice is already reshaping the structure of lessons. In some schools, AI is taught as a </w:t>
      </w:r>
      <w:proofErr w:type="gramStart"/>
      <w:r w:rsidRPr="00807E4C">
        <w:rPr>
          <w:shd w:val="clear" w:color="auto" w:fill="FFFFFF"/>
        </w:rPr>
        <w:t>subject in its own right</w:t>
      </w:r>
      <w:proofErr w:type="gramEnd"/>
      <w:r w:rsidRPr="00807E4C">
        <w:rPr>
          <w:shd w:val="clear" w:color="auto" w:fill="FFFFFF"/>
        </w:rPr>
        <w:t xml:space="preserve">. In others, it is woven into Transdisciplinary and Project Based Learning models, becoming part of programming across all Key Learning Areas. </w:t>
      </w:r>
    </w:p>
    <w:p w14:paraId="22070B58" w14:textId="6904BDE9" w:rsidR="00807E4C" w:rsidRPr="00807E4C" w:rsidRDefault="00807E4C" w:rsidP="00807E4C">
      <w:pPr>
        <w:rPr>
          <w:shd w:val="clear" w:color="auto" w:fill="FFFFFF"/>
        </w:rPr>
      </w:pPr>
      <w:r w:rsidRPr="00807E4C">
        <w:rPr>
          <w:shd w:val="clear" w:color="auto" w:fill="FFFFFF"/>
        </w:rPr>
        <w:t>Explicit AI courses are sometimes provided as discrete subjects. At the same time, these courses often serve as starting points for cross-curricular inquiry learning. At the Franklin School in New Jersey, for example, a Year 9 skills class introduces students to large language models and the ethics of training data and acceptable use. Ja</w:t>
      </w:r>
      <w:r w:rsidR="00E54024">
        <w:rPr>
          <w:shd w:val="clear" w:color="auto" w:fill="FFFFFF"/>
        </w:rPr>
        <w:t>y</w:t>
      </w:r>
      <w:r w:rsidRPr="00807E4C">
        <w:rPr>
          <w:shd w:val="clear" w:color="auto" w:fill="FFFFFF"/>
        </w:rPr>
        <w:t>mes Dec</w:t>
      </w:r>
      <w:r w:rsidR="008636E6">
        <w:rPr>
          <w:shd w:val="clear" w:color="auto" w:fill="FFFFFF"/>
        </w:rPr>
        <w:t xml:space="preserve"> (Director of Innovation, </w:t>
      </w:r>
      <w:r w:rsidR="00635CF0">
        <w:rPr>
          <w:shd w:val="clear" w:color="auto" w:fill="FFFFFF"/>
        </w:rPr>
        <w:t xml:space="preserve">Franklin </w:t>
      </w:r>
      <w:r w:rsidR="008636E6">
        <w:rPr>
          <w:shd w:val="clear" w:color="auto" w:fill="FFFFFF"/>
        </w:rPr>
        <w:t>S</w:t>
      </w:r>
      <w:r w:rsidR="00635CF0">
        <w:rPr>
          <w:shd w:val="clear" w:color="auto" w:fill="FFFFFF"/>
        </w:rPr>
        <w:t>chool</w:t>
      </w:r>
      <w:r w:rsidR="008636E6">
        <w:rPr>
          <w:shd w:val="clear" w:color="auto" w:fill="FFFFFF"/>
        </w:rPr>
        <w:t>)</w:t>
      </w:r>
      <w:r w:rsidR="00D4703F">
        <w:rPr>
          <w:shd w:val="clear" w:color="auto" w:fill="FFFFFF"/>
        </w:rPr>
        <w:t xml:space="preserve"> </w:t>
      </w:r>
      <w:r w:rsidRPr="00807E4C">
        <w:rPr>
          <w:shd w:val="clear" w:color="auto" w:fill="FFFFFF"/>
        </w:rPr>
        <w:t>explained that the knowledge developed here is quickly applied across disciplines.</w:t>
      </w:r>
    </w:p>
    <w:p w14:paraId="034AF122" w14:textId="7F199EA8" w:rsidR="00807E4C" w:rsidRPr="00807E4C" w:rsidRDefault="00807E4C" w:rsidP="00807E4C">
      <w:pPr>
        <w:rPr>
          <w:shd w:val="clear" w:color="auto" w:fill="FFFFFF"/>
        </w:rPr>
      </w:pPr>
      <w:r w:rsidRPr="00807E4C">
        <w:rPr>
          <w:shd w:val="clear" w:color="auto" w:fill="FFFFFF"/>
        </w:rPr>
        <w:t xml:space="preserve">Electives such as Creative Applications of AI give students practical experience. They learn prompting for story writing, generate images for illustrations, and create audio resources such as sound effects, music, and text-to-speech. Most of this work is carried out on free or open-source </w:t>
      </w:r>
      <w:r w:rsidRPr="00807E4C">
        <w:rPr>
          <w:shd w:val="clear" w:color="auto" w:fill="FFFFFF"/>
        </w:rPr>
        <w:lastRenderedPageBreak/>
        <w:t xml:space="preserve">tools through </w:t>
      </w:r>
      <w:hyperlink r:id="rId19" w:tooltip="Hugging Face" w:history="1">
        <w:r w:rsidRPr="00BC687C">
          <w:rPr>
            <w:rStyle w:val="Hyperlink"/>
            <w:shd w:val="clear" w:color="auto" w:fill="FFFFFF"/>
          </w:rPr>
          <w:t>Hugging Face</w:t>
        </w:r>
      </w:hyperlink>
      <w:r w:rsidRPr="00807E4C">
        <w:rPr>
          <w:shd w:val="clear" w:color="auto" w:fill="FFFFFF"/>
        </w:rPr>
        <w:t>, with only a few paid demonstrations. Importantly, ethical issues such as plagiarism, training on unlicensed media, and voice cloning are discussed directly with students.</w:t>
      </w:r>
    </w:p>
    <w:p w14:paraId="6D1167BC" w14:textId="0633EED0" w:rsidR="00807E4C" w:rsidRPr="00807E4C" w:rsidRDefault="00D916E6" w:rsidP="00807E4C">
      <w:pPr>
        <w:rPr>
          <w:shd w:val="clear" w:color="auto" w:fill="FFFFFF"/>
        </w:rPr>
      </w:pPr>
      <w:r>
        <w:rPr>
          <w:shd w:val="clear" w:color="auto" w:fill="FFFFFF"/>
        </w:rPr>
        <w:t>Dec noted that</w:t>
      </w:r>
      <w:r w:rsidR="00807E4C" w:rsidRPr="00807E4C">
        <w:rPr>
          <w:shd w:val="clear" w:color="auto" w:fill="FFFFFF"/>
        </w:rPr>
        <w:t xml:space="preserve"> engagement is highest when projects are student-driven. Bias occasionally emerges</w:t>
      </w:r>
      <w:r w:rsidR="00BC687C">
        <w:rPr>
          <w:shd w:val="clear" w:color="auto" w:fill="FFFFFF"/>
        </w:rPr>
        <w:t xml:space="preserve"> – </w:t>
      </w:r>
      <w:r w:rsidR="00807E4C" w:rsidRPr="00807E4C">
        <w:rPr>
          <w:shd w:val="clear" w:color="auto" w:fill="FFFFFF"/>
        </w:rPr>
        <w:t>for example</w:t>
      </w:r>
      <w:r w:rsidR="00BC687C">
        <w:rPr>
          <w:shd w:val="clear" w:color="auto" w:fill="FFFFFF"/>
        </w:rPr>
        <w:t>,</w:t>
      </w:r>
      <w:r w:rsidR="00807E4C" w:rsidRPr="00807E4C">
        <w:rPr>
          <w:shd w:val="clear" w:color="auto" w:fill="FFFFFF"/>
        </w:rPr>
        <w:t xml:space="preserve"> in image generation</w:t>
      </w:r>
      <w:r w:rsidR="00BC687C">
        <w:rPr>
          <w:shd w:val="clear" w:color="auto" w:fill="FFFFFF"/>
        </w:rPr>
        <w:t xml:space="preserve"> – </w:t>
      </w:r>
      <w:r w:rsidR="00807E4C" w:rsidRPr="00807E4C">
        <w:rPr>
          <w:shd w:val="clear" w:color="auto" w:fill="FFFFFF"/>
        </w:rPr>
        <w:t xml:space="preserve">which provides opportunities for class discussion. The final “vibe-coding” phase of the program involves learners building video games through large language </w:t>
      </w:r>
      <w:r w:rsidR="00BC687C">
        <w:rPr>
          <w:shd w:val="clear" w:color="auto" w:fill="FFFFFF"/>
        </w:rPr>
        <w:t>model-assisted</w:t>
      </w:r>
      <w:r w:rsidR="00807E4C" w:rsidRPr="00807E4C">
        <w:rPr>
          <w:shd w:val="clear" w:color="auto" w:fill="FFFFFF"/>
        </w:rPr>
        <w:t xml:space="preserve"> programming, inspired by The Learner’s Apprentice (Kahn, 2025). Here, assessment focuses on the prompts and processes that students develop, rather than the final AI outputs. Teachers deliberately avoid AI detectors, relying instead on professional judgment and oral presentations.</w:t>
      </w:r>
    </w:p>
    <w:p w14:paraId="4FC594F4" w14:textId="77777777" w:rsidR="00807E4C" w:rsidRPr="00807E4C" w:rsidRDefault="00807E4C" w:rsidP="00807E4C">
      <w:pPr>
        <w:rPr>
          <w:shd w:val="clear" w:color="auto" w:fill="FFFFFF"/>
        </w:rPr>
      </w:pPr>
      <w:r w:rsidRPr="00807E4C">
        <w:rPr>
          <w:shd w:val="clear" w:color="auto" w:fill="FFFFFF"/>
        </w:rPr>
        <w:t>Beyond coursework, students also experiment with AI in transdisciplinary projects and hackathons. One project involved creating a robot dog with vision tracking. Another sought to reduce the number of birds flying into windows at the school. Students combined robotics and AI to design a bird-strike deterrent prototype. Movement sensors triggered audio recordings of predator calls whenever birds approached the building. The project produced an authentic learning experience that also addressed a real environmental problem at the school.</w:t>
      </w:r>
    </w:p>
    <w:p w14:paraId="69F03692" w14:textId="5C1E2762" w:rsidR="00807E4C" w:rsidRPr="00807E4C" w:rsidRDefault="00807E4C" w:rsidP="00807E4C">
      <w:pPr>
        <w:rPr>
          <w:shd w:val="clear" w:color="auto" w:fill="FFFFFF"/>
        </w:rPr>
      </w:pPr>
      <w:r w:rsidRPr="00807E4C">
        <w:rPr>
          <w:shd w:val="clear" w:color="auto" w:fill="FFFFFF"/>
        </w:rPr>
        <w:t xml:space="preserve">Underpinning the Transdisciplinary model at Franklin is the Skills Curriculum, which all students take for two hours a week. </w:t>
      </w:r>
      <w:r w:rsidR="00BC687C">
        <w:rPr>
          <w:shd w:val="clear" w:color="auto" w:fill="FFFFFF"/>
        </w:rPr>
        <w:t>It aims</w:t>
      </w:r>
      <w:r w:rsidRPr="00807E4C">
        <w:rPr>
          <w:shd w:val="clear" w:color="auto" w:fill="FFFFFF"/>
        </w:rPr>
        <w:t xml:space="preserve"> to prepare learners with the mindset and tools to tackle complex, real-world challenges. At the centre are skills such as Systems Thinking, Futures Thinking, Agile Thinking, Artificial Intelligence, and Complex Problem Solving. Each of these strands culminates in a transdisciplinary project. Teachers from across subject areas work together to ensure these skills are embedded in the foundation of their programs.</w:t>
      </w:r>
    </w:p>
    <w:p w14:paraId="3F6A6863" w14:textId="77777777" w:rsidR="00807E4C" w:rsidRPr="00807E4C" w:rsidRDefault="00807E4C" w:rsidP="00807E4C">
      <w:pPr>
        <w:rPr>
          <w:shd w:val="clear" w:color="auto" w:fill="FFFFFF"/>
        </w:rPr>
      </w:pPr>
      <w:r w:rsidRPr="00807E4C">
        <w:rPr>
          <w:shd w:val="clear" w:color="auto" w:fill="FFFFFF"/>
        </w:rPr>
        <w:t>The Alpha School in Miami has taken a different approach. It does not teach AI literacy in isolation. Instead, AI is integrated to support Project Based Learning. Student timetables are organised around a “Two Hour Learning” model, where core academics are completed with AI tutors in about two hours each day. The purpose is to accelerate mastery of foundational subjects and leave the rest of the day open for projects, clubs, sport, and life-skills workshops.</w:t>
      </w:r>
    </w:p>
    <w:p w14:paraId="703386A3" w14:textId="77777777" w:rsidR="00807E4C" w:rsidRPr="00807E4C" w:rsidRDefault="00807E4C" w:rsidP="00807E4C">
      <w:pPr>
        <w:rPr>
          <w:shd w:val="clear" w:color="auto" w:fill="FFFFFF"/>
        </w:rPr>
      </w:pPr>
      <w:r w:rsidRPr="00807E4C">
        <w:rPr>
          <w:shd w:val="clear" w:color="auto" w:fill="FFFFFF"/>
        </w:rPr>
        <w:t>The AI element is known as the “App Stack.” Here, several adaptive tutors, each addressing different learning areas, are worked on independently by students each morning. Progress and learning directions are monitored off-site by teachers, some of whom work remotely, including an academic coordinator based in Australia. In the classroom, students are supported by “Guides,” who are not trained teachers. Their role is to mentor and coach, building rapport and helping students strengthen self-efficacy in reaching their goals.</w:t>
      </w:r>
    </w:p>
    <w:p w14:paraId="03C111E8" w14:textId="17833A1E" w:rsidR="00807E4C" w:rsidRPr="00807E4C" w:rsidRDefault="00807E4C" w:rsidP="00807E4C">
      <w:pPr>
        <w:rPr>
          <w:shd w:val="clear" w:color="auto" w:fill="FFFFFF"/>
        </w:rPr>
      </w:pPr>
      <w:r w:rsidRPr="00807E4C">
        <w:rPr>
          <w:shd w:val="clear" w:color="auto" w:fill="FFFFFF"/>
        </w:rPr>
        <w:t>Project</w:t>
      </w:r>
      <w:r w:rsidR="005E0F80">
        <w:rPr>
          <w:shd w:val="clear" w:color="auto" w:fill="FFFFFF"/>
        </w:rPr>
        <w:t>-b</w:t>
      </w:r>
      <w:r w:rsidRPr="00807E4C">
        <w:rPr>
          <w:shd w:val="clear" w:color="auto" w:fill="FFFFFF"/>
        </w:rPr>
        <w:t>ased Learning then shapes the remainder of the school day. Entrepreneurial projects are student-directed and provide genuine real-world experiences. In addition, every five weeks new initiatives are offered, often run in partnership with external companies. Recent examples included fencing and pottery, with activities linked back to core skills such as critical thinking, collaboration, creativity, and resilience.</w:t>
      </w:r>
    </w:p>
    <w:p w14:paraId="715B55D5" w14:textId="77777777" w:rsidR="00807E4C" w:rsidRPr="00807E4C" w:rsidRDefault="00807E4C" w:rsidP="00807E4C">
      <w:pPr>
        <w:pStyle w:val="Heading3"/>
      </w:pPr>
      <w:r w:rsidRPr="00807E4C">
        <w:t>Leading the establishment of AI integration in a school</w:t>
      </w:r>
    </w:p>
    <w:p w14:paraId="57F8BD4B" w14:textId="77777777" w:rsidR="00807E4C" w:rsidRPr="00807E4C" w:rsidRDefault="00807E4C" w:rsidP="00807E4C">
      <w:pPr>
        <w:rPr>
          <w:shd w:val="clear" w:color="auto" w:fill="FFFFFF"/>
        </w:rPr>
      </w:pPr>
      <w:r w:rsidRPr="00807E4C">
        <w:rPr>
          <w:shd w:val="clear" w:color="auto" w:fill="FFFFFF"/>
        </w:rPr>
        <w:t xml:space="preserve">Across several interviews, educators described staff development models and day-to-day practices that aim to make AI use routine rather than exceptional. At Pymble Ladies’ College, Jake Turnbull has embedded AI tools into the school’s portals, produced weekly explainer videos, and set up informal “techie </w:t>
      </w:r>
      <w:proofErr w:type="spellStart"/>
      <w:r w:rsidRPr="00807E4C">
        <w:rPr>
          <w:shd w:val="clear" w:color="auto" w:fill="FFFFFF"/>
        </w:rPr>
        <w:t>breakies</w:t>
      </w:r>
      <w:proofErr w:type="spellEnd"/>
      <w:r w:rsidRPr="00807E4C">
        <w:rPr>
          <w:shd w:val="clear" w:color="auto" w:fill="FFFFFF"/>
        </w:rPr>
        <w:t xml:space="preserve">” and lunchtime drop-ins. He also runs a five-week AI Champions program, held fortnightly, where small groups of staff trial ideas and report back. Interestingly, he found that some unlikely staff members became the most active champions, while others </w:t>
      </w:r>
      <w:r w:rsidRPr="00807E4C">
        <w:rPr>
          <w:shd w:val="clear" w:color="auto" w:fill="FFFFFF"/>
        </w:rPr>
        <w:lastRenderedPageBreak/>
        <w:t>disengaged. His experience shows how practical, low-barrier entry points can encourage staff who might not see themselves as early adopters to grow into confident leaders of AI integration.</w:t>
      </w:r>
    </w:p>
    <w:p w14:paraId="7C82DC41" w14:textId="291D0823" w:rsidR="00807E4C" w:rsidRPr="00807E4C" w:rsidRDefault="00807E4C" w:rsidP="00807E4C">
      <w:pPr>
        <w:rPr>
          <w:shd w:val="clear" w:color="auto" w:fill="FFFFFF"/>
        </w:rPr>
      </w:pPr>
      <w:r w:rsidRPr="00807E4C">
        <w:rPr>
          <w:shd w:val="clear" w:color="auto" w:fill="FFFFFF"/>
        </w:rPr>
        <w:t>Other voices were more cautious. Erik Ellefsen from Baylor University described the current phase of AI adoption in schools as a “Wild West.” He noted that uptake is often inconsistent and fragmented. Many top-down initiatives are launched but not sustained, creating confusion rather than lasting change. In his view, schools need structured professional learning anchored in shared standards and practical questions</w:t>
      </w:r>
      <w:r w:rsidR="00BC687C">
        <w:rPr>
          <w:shd w:val="clear" w:color="auto" w:fill="FFFFFF"/>
        </w:rPr>
        <w:t>,</w:t>
      </w:r>
      <w:r w:rsidRPr="00807E4C">
        <w:rPr>
          <w:shd w:val="clear" w:color="auto" w:fill="FFFFFF"/>
        </w:rPr>
        <w:t xml:space="preserve"> such as: Who is using AI? What works? Why does it work?</w:t>
      </w:r>
    </w:p>
    <w:p w14:paraId="4348AD0A" w14:textId="77777777" w:rsidR="00807E4C" w:rsidRPr="00807E4C" w:rsidRDefault="00807E4C" w:rsidP="00807E4C">
      <w:pPr>
        <w:rPr>
          <w:shd w:val="clear" w:color="auto" w:fill="FFFFFF"/>
        </w:rPr>
      </w:pPr>
      <w:r w:rsidRPr="00807E4C">
        <w:rPr>
          <w:shd w:val="clear" w:color="auto" w:fill="FFFFFF"/>
        </w:rPr>
        <w:t xml:space="preserve">Interviewees repeated the importance of practical, teacher-driven professional learning. Juliana </w:t>
      </w:r>
      <w:proofErr w:type="spellStart"/>
      <w:r w:rsidRPr="00807E4C">
        <w:rPr>
          <w:shd w:val="clear" w:color="auto" w:fill="FFFFFF"/>
        </w:rPr>
        <w:t>Peloche</w:t>
      </w:r>
      <w:proofErr w:type="spellEnd"/>
      <w:r w:rsidRPr="00807E4C">
        <w:rPr>
          <w:shd w:val="clear" w:color="auto" w:fill="FFFFFF"/>
        </w:rPr>
        <w:t xml:space="preserve"> from Edith Cowan University was critical of professional development sessions that skim the surface and fail to prepare teachers for real classroom needs. She emphasised that teachers need resources co-designed with industry and schools. These must go beyond simple persistence and instead build the skills to use AI responsibly and ethically with students.</w:t>
      </w:r>
    </w:p>
    <w:p w14:paraId="5623232F" w14:textId="6CC47AF8" w:rsidR="00807E4C" w:rsidRPr="00807E4C" w:rsidRDefault="00807E4C" w:rsidP="00807E4C">
      <w:pPr>
        <w:rPr>
          <w:shd w:val="clear" w:color="auto" w:fill="FFFFFF"/>
        </w:rPr>
      </w:pPr>
      <w:r w:rsidRPr="00807E4C">
        <w:rPr>
          <w:shd w:val="clear" w:color="auto" w:fill="FFFFFF"/>
        </w:rPr>
        <w:t xml:space="preserve">Chris Buswell from STEM Punks also stressed the need for system-aware approaches. He argued that schools often push forward with AI initiatives that do not take teacher capacity into account, which leads to uneven implementation. To counter this, he recommended small, regular steps such as weekly curated AI tips or trusted educator networks. These make professional learning more sustainable </w:t>
      </w:r>
      <w:r w:rsidR="00D4703F" w:rsidRPr="00807E4C">
        <w:rPr>
          <w:shd w:val="clear" w:color="auto" w:fill="FFFFFF"/>
        </w:rPr>
        <w:t>and</w:t>
      </w:r>
      <w:r w:rsidRPr="00807E4C">
        <w:rPr>
          <w:shd w:val="clear" w:color="auto" w:fill="FFFFFF"/>
        </w:rPr>
        <w:t xml:space="preserve"> recognise and value teachers’ contributions.</w:t>
      </w:r>
    </w:p>
    <w:p w14:paraId="1D09B804" w14:textId="77777777" w:rsidR="00807E4C" w:rsidRPr="00807E4C" w:rsidRDefault="00807E4C" w:rsidP="00807E4C">
      <w:pPr>
        <w:rPr>
          <w:shd w:val="clear" w:color="auto" w:fill="FFFFFF"/>
        </w:rPr>
      </w:pPr>
      <w:r w:rsidRPr="00807E4C">
        <w:rPr>
          <w:shd w:val="clear" w:color="auto" w:fill="FFFFFF"/>
        </w:rPr>
        <w:t>Mandy DePriest from AI for Education in New York encouraged leaders to move away from fear-based responses and focus instead on building staff confidence through dialogue. She explained that when professional learning frames AI as an extension of long-standing goals like creativity, collaboration, and communication, teachers are more likely to see its value.</w:t>
      </w:r>
    </w:p>
    <w:p w14:paraId="18E5212F" w14:textId="77777777" w:rsidR="00807E4C" w:rsidRPr="00807E4C" w:rsidRDefault="00807E4C" w:rsidP="00807E4C">
      <w:pPr>
        <w:rPr>
          <w:shd w:val="clear" w:color="auto" w:fill="FFFFFF"/>
        </w:rPr>
      </w:pPr>
      <w:r w:rsidRPr="00807E4C">
        <w:rPr>
          <w:shd w:val="clear" w:color="auto" w:fill="FFFFFF"/>
        </w:rPr>
        <w:t>Taken together, these accounts highlight the importance of contextually relevant professional learning. Teachers need opportunities not only to try new tools but also to reflect on how those tools align with their teaching practice and their students’ needs. Whether through grassroots initiatives, co-designed resources, networked supports, or dialogue and framing, the message is consistent: AI integration is most successful when professional learning is practical, sustained, and grounded in trust.</w:t>
      </w:r>
    </w:p>
    <w:p w14:paraId="6041D823" w14:textId="77777777" w:rsidR="00807E4C" w:rsidRPr="00807E4C" w:rsidRDefault="00807E4C" w:rsidP="00807E4C">
      <w:pPr>
        <w:pStyle w:val="Heading3"/>
      </w:pPr>
      <w:r w:rsidRPr="00807E4C">
        <w:t>Aligning pedagogy with AI integration</w:t>
      </w:r>
    </w:p>
    <w:p w14:paraId="590DA54F" w14:textId="77777777" w:rsidR="00807E4C" w:rsidRPr="00807E4C" w:rsidRDefault="00807E4C" w:rsidP="00807E4C">
      <w:pPr>
        <w:rPr>
          <w:shd w:val="clear" w:color="auto" w:fill="FFFFFF"/>
        </w:rPr>
      </w:pPr>
      <w:r w:rsidRPr="00807E4C">
        <w:rPr>
          <w:shd w:val="clear" w:color="auto" w:fill="FFFFFF"/>
        </w:rPr>
        <w:t>Interviewees also described parallel efforts to bring pedagogy and assessment into line with AI-era practices. Matthew Esterman drew on The Hidden Lives of Learners (</w:t>
      </w:r>
      <w:proofErr w:type="spellStart"/>
      <w:r w:rsidRPr="00807E4C">
        <w:rPr>
          <w:shd w:val="clear" w:color="auto" w:fill="FFFFFF"/>
        </w:rPr>
        <w:t>Nuthall</w:t>
      </w:r>
      <w:proofErr w:type="spellEnd"/>
      <w:r w:rsidRPr="00807E4C">
        <w:rPr>
          <w:shd w:val="clear" w:color="auto" w:fill="FFFFFF"/>
        </w:rPr>
        <w:t>, 2007) to stress the importance of keeping the student experience at the centre. He questioned the value of legacy tasks such as lengthy report comments, suggesting that change should be framed through short, resonant provocations and practical professional learning opportunities: “take a few ideas… make it real.”</w:t>
      </w:r>
    </w:p>
    <w:p w14:paraId="7B8BA56E" w14:textId="77777777" w:rsidR="00807E4C" w:rsidRPr="00807E4C" w:rsidRDefault="00807E4C" w:rsidP="00807E4C">
      <w:pPr>
        <w:rPr>
          <w:shd w:val="clear" w:color="auto" w:fill="FFFFFF"/>
        </w:rPr>
      </w:pPr>
      <w:r w:rsidRPr="00807E4C">
        <w:rPr>
          <w:shd w:val="clear" w:color="auto" w:fill="FFFFFF"/>
        </w:rPr>
        <w:t>Maria Dolce from UNSW COGE outlined an Achievement Integrated Model that combines diagnostic tools such as Raven’s Matrices with short, game-based interventions and metacognitive strategies. She brought gifted-education techniques into prompt design, stressed the importance of ethical use, and adjusted prompts carefully to suit classroom contexts.</w:t>
      </w:r>
    </w:p>
    <w:p w14:paraId="37567615" w14:textId="141AA478" w:rsidR="00807E4C" w:rsidRPr="00807E4C" w:rsidRDefault="00807E4C" w:rsidP="00807E4C">
      <w:pPr>
        <w:rPr>
          <w:shd w:val="clear" w:color="auto" w:fill="FFFFFF"/>
        </w:rPr>
      </w:pPr>
      <w:r w:rsidRPr="00807E4C">
        <w:rPr>
          <w:shd w:val="clear" w:color="auto" w:fill="FFFFFF"/>
        </w:rPr>
        <w:t>Tim Dasey from MIT Lincoln Laboratory pointed to the likelihood of school leaders one day managing teams of AI agents. He suggested this would shift the main challenge from communication to management. He described these emerging “agentic” systems as the next step in the conversation beyond today’s generative AI tools like ChatGPT. Dasey also noted that AI can</w:t>
      </w:r>
      <w:r w:rsidR="00BC687C">
        <w:rPr>
          <w:shd w:val="clear" w:color="auto" w:fill="FFFFFF"/>
        </w:rPr>
        <w:t>,</w:t>
      </w:r>
      <w:r w:rsidRPr="00807E4C">
        <w:rPr>
          <w:shd w:val="clear" w:color="auto" w:fill="FFFFFF"/>
        </w:rPr>
        <w:t xml:space="preserve"> in some cases</w:t>
      </w:r>
      <w:r w:rsidR="00BC687C">
        <w:rPr>
          <w:shd w:val="clear" w:color="auto" w:fill="FFFFFF"/>
        </w:rPr>
        <w:t>,</w:t>
      </w:r>
      <w:r w:rsidRPr="00807E4C">
        <w:rPr>
          <w:shd w:val="clear" w:color="auto" w:fill="FFFFFF"/>
        </w:rPr>
        <w:t xml:space="preserve"> be less biased than people, but emphasised that users still need clearer guidance on how to deal with bias when it does appear. To help teachers adapt to their evolving </w:t>
      </w:r>
      <w:r w:rsidRPr="00807E4C">
        <w:rPr>
          <w:shd w:val="clear" w:color="auto" w:fill="FFFFFF"/>
        </w:rPr>
        <w:lastRenderedPageBreak/>
        <w:t>role, he argued for collective experimentation and professional comfort with uncertainty, rather than isolated learning.</w:t>
      </w:r>
      <w:r w:rsidRPr="00EF5BD4">
        <w:rPr>
          <w:shd w:val="clear" w:color="auto" w:fill="FFFFFF"/>
        </w:rPr>
        <w:t xml:space="preserve"> </w:t>
      </w:r>
    </w:p>
    <w:p w14:paraId="4A52CB70" w14:textId="77777777" w:rsidR="00807E4C" w:rsidRPr="00807E4C" w:rsidRDefault="00807E4C" w:rsidP="00807E4C">
      <w:pPr>
        <w:pStyle w:val="Heading3"/>
      </w:pPr>
      <w:r w:rsidRPr="00807E4C">
        <w:t>Equity, access and AI tool choice</w:t>
      </w:r>
    </w:p>
    <w:p w14:paraId="655362A6" w14:textId="77777777" w:rsidR="00807E4C" w:rsidRPr="00807E4C" w:rsidRDefault="00807E4C" w:rsidP="00807E4C">
      <w:pPr>
        <w:rPr>
          <w:shd w:val="clear" w:color="auto" w:fill="FFFFFF"/>
        </w:rPr>
      </w:pPr>
      <w:r w:rsidRPr="00807E4C">
        <w:rPr>
          <w:shd w:val="clear" w:color="auto" w:fill="FFFFFF"/>
        </w:rPr>
        <w:t xml:space="preserve">Ryan Elwell from the ACT Education Directorate drew attention to the gap between one-to-one device programs and the restricted access many schools place on generative AI tools. He warned that limiting use to fixed “use cases” risks narrowing students’ thinking and shutting down innovation. As a way forward, he argued for scalable professional learning, curated resources, and opt-in case studies tagged by classroom context so teachers can see how AI is being applied in settings </w:t>
      </w:r>
      <w:proofErr w:type="gramStart"/>
      <w:r w:rsidRPr="00807E4C">
        <w:rPr>
          <w:shd w:val="clear" w:color="auto" w:fill="FFFFFF"/>
        </w:rPr>
        <w:t>similar to</w:t>
      </w:r>
      <w:proofErr w:type="gramEnd"/>
      <w:r w:rsidRPr="00807E4C">
        <w:rPr>
          <w:shd w:val="clear" w:color="auto" w:fill="FFFFFF"/>
        </w:rPr>
        <w:t xml:space="preserve"> their own.</w:t>
      </w:r>
    </w:p>
    <w:p w14:paraId="4AFC67C6" w14:textId="77777777" w:rsidR="00807E4C" w:rsidRPr="00807E4C" w:rsidRDefault="00807E4C" w:rsidP="00807E4C">
      <w:pPr>
        <w:rPr>
          <w:shd w:val="clear" w:color="auto" w:fill="FFFFFF"/>
        </w:rPr>
      </w:pPr>
      <w:r w:rsidRPr="00807E4C">
        <w:rPr>
          <w:shd w:val="clear" w:color="auto" w:fill="FFFFFF"/>
        </w:rPr>
        <w:t>A similar emphasis on collaboration came from Sandra Abegglen at the University of Calgary. Through a crowd-sourced higher education project, she invited educators and students to contribute classroom examples and reflections. These contributions were then developed into short essays that offered working definitions of AI literacy. The approach showed how collective voices can both shape understanding and provide practical resources for others to reuse.</w:t>
      </w:r>
    </w:p>
    <w:p w14:paraId="5025FF3B" w14:textId="77777777" w:rsidR="00807E4C" w:rsidRPr="00807E4C" w:rsidRDefault="00807E4C" w:rsidP="00807E4C">
      <w:pPr>
        <w:rPr>
          <w:shd w:val="clear" w:color="auto" w:fill="FFFFFF"/>
        </w:rPr>
      </w:pPr>
      <w:r w:rsidRPr="00807E4C">
        <w:rPr>
          <w:shd w:val="clear" w:color="auto" w:fill="FFFFFF"/>
        </w:rPr>
        <w:t>Sarah Howard, based at Vrije Universiteit Brussel and the University of Leeds, focused on choosing tools according to the task. She distinguished between open-ended learning and foundational skills, using the SAMR framework to illustrate how AI can add value in different contexts. She noted that even unreliable outputs can prompt better questions and build critical thinking. At the same time, she cautioned that teachers risk becoming “data workers” if AI increases their administrative load rather than reducing it.</w:t>
      </w:r>
    </w:p>
    <w:p w14:paraId="5CBD4E47" w14:textId="77777777" w:rsidR="00807E4C" w:rsidRPr="00807E4C" w:rsidRDefault="00807E4C" w:rsidP="00807E4C">
      <w:pPr>
        <w:rPr>
          <w:shd w:val="clear" w:color="auto" w:fill="FFFFFF"/>
        </w:rPr>
      </w:pPr>
      <w:r w:rsidRPr="00807E4C">
        <w:rPr>
          <w:shd w:val="clear" w:color="auto" w:fill="FFFFFF"/>
        </w:rPr>
        <w:t>These perspectives were reinforced by Mandy DePriest from AI for Education in New York. She urged leaders to move beyond fear-based reactions and to frame AI in ways that connect with established goals such as creativity, collaboration, and communication. When professional learning highlights these continuities, teachers are more confident about using AI in their classrooms.</w:t>
      </w:r>
    </w:p>
    <w:p w14:paraId="6570DD72" w14:textId="77777777" w:rsidR="00807E4C" w:rsidRPr="00807E4C" w:rsidRDefault="00807E4C" w:rsidP="00807E4C">
      <w:pPr>
        <w:rPr>
          <w:shd w:val="clear" w:color="auto" w:fill="FFFFFF"/>
        </w:rPr>
      </w:pPr>
      <w:r w:rsidRPr="00807E4C">
        <w:rPr>
          <w:shd w:val="clear" w:color="auto" w:fill="FFFFFF"/>
        </w:rPr>
        <w:t>Across these interviews, one message was consistent: AI literacy is now a pressing need for both educators and students. AI literacy means being able to understand how AI works, interact effectively with systems, evaluate outputs critically, and consider the ethical implications of use (Ng, Leung, Chu and Qiao, 2021). By contrast, AI fluency (sometimes called AI Dexterity) is often described as the capacity to apply AI strategically in organisational contexts, from identifying problems that AI can address to making informed, collaborative decisions based on AI-driven insights (Campbell, Nguyen, Bonsignore, Carter-Browne and Neubauer, 2023).</w:t>
      </w:r>
    </w:p>
    <w:p w14:paraId="7FFAC01E" w14:textId="77777777" w:rsidR="00807E4C" w:rsidRPr="00807E4C" w:rsidRDefault="00807E4C" w:rsidP="00807E4C">
      <w:pPr>
        <w:pStyle w:val="Heading3"/>
      </w:pPr>
      <w:r w:rsidRPr="00807E4C">
        <w:t>The changing role of the teacher</w:t>
      </w:r>
    </w:p>
    <w:p w14:paraId="51A92C4B" w14:textId="445CF315" w:rsidR="00807E4C" w:rsidRPr="00807E4C" w:rsidRDefault="00807E4C" w:rsidP="00807E4C">
      <w:pPr>
        <w:rPr>
          <w:shd w:val="clear" w:color="auto" w:fill="FFFFFF"/>
        </w:rPr>
      </w:pPr>
      <w:r w:rsidRPr="00807E4C">
        <w:rPr>
          <w:shd w:val="clear" w:color="auto" w:fill="FFFFFF"/>
        </w:rPr>
        <w:t>Tim Dasey from MIT Lincoln Laboratory proposed six pillars for an AI curriculum: how to use AI, how AI is built, the kinds of tasks it can perform, AI in society, future societal shifts, and ethics. He argued that ethics should not be taught as a separate unit but woven into every discussion. According to Dasey, the questions teachers ask most often are not about how to operate AI tools like ChatGPT but about how to respond to their colleagues’ ethical concerns. His work</w:t>
      </w:r>
      <w:r w:rsidR="00BC687C">
        <w:rPr>
          <w:shd w:val="clear" w:color="auto" w:fill="FFFFFF"/>
        </w:rPr>
        <w:t xml:space="preserve"> </w:t>
      </w:r>
      <w:r w:rsidRPr="00807E4C">
        <w:rPr>
          <w:shd w:val="clear" w:color="auto" w:fill="FFFFFF"/>
        </w:rPr>
        <w:t>focuses on countering fear, mixed messages, and myths that can stall progress.</w:t>
      </w:r>
    </w:p>
    <w:p w14:paraId="62151A94" w14:textId="5F1C0551" w:rsidR="00807E4C" w:rsidRPr="00807E4C" w:rsidRDefault="00807E4C" w:rsidP="00807E4C">
      <w:pPr>
        <w:rPr>
          <w:shd w:val="clear" w:color="auto" w:fill="FFFFFF"/>
        </w:rPr>
      </w:pPr>
      <w:r w:rsidRPr="00807E4C">
        <w:rPr>
          <w:shd w:val="clear" w:color="auto" w:fill="FFFFFF"/>
        </w:rPr>
        <w:t>Dasey anticipates a growing separation between content delivery and learning facilitation. He believes teachers will increasingly act as mentors, psychologists, and cognitive coaches. In this role, educators will need skills such as self-awareness, Socratic questioning, gamification, and the ability to help students adapt and transfer their learning across contexts.</w:t>
      </w:r>
    </w:p>
    <w:p w14:paraId="5EA977BB" w14:textId="1AE25A3C" w:rsidR="00807E4C" w:rsidRPr="00807E4C" w:rsidRDefault="00807E4C" w:rsidP="00807E4C">
      <w:pPr>
        <w:rPr>
          <w:shd w:val="clear" w:color="auto" w:fill="FFFFFF"/>
        </w:rPr>
      </w:pPr>
      <w:r w:rsidRPr="00807E4C">
        <w:rPr>
          <w:shd w:val="clear" w:color="auto" w:fill="FFFFFF"/>
        </w:rPr>
        <w:lastRenderedPageBreak/>
        <w:t xml:space="preserve">Research suggests that AI can support this shift. </w:t>
      </w:r>
      <w:proofErr w:type="spellStart"/>
      <w:r w:rsidRPr="00807E4C">
        <w:rPr>
          <w:shd w:val="clear" w:color="auto" w:fill="FFFFFF"/>
        </w:rPr>
        <w:t>Erlenwein</w:t>
      </w:r>
      <w:proofErr w:type="spellEnd"/>
      <w:r w:rsidRPr="00807E4C">
        <w:rPr>
          <w:shd w:val="clear" w:color="auto" w:fill="FFFFFF"/>
        </w:rPr>
        <w:t xml:space="preserve"> et al. (2025) show that educational chatbots can be designed around principles such as Socratic dialogue. These engage learners in open-ended, probing conversations that uncover assumptions and promote reflection rather than just supplying answers. Prototype “Socratic tutors” use carefully crafted role prompts and guiding frameworks</w:t>
      </w:r>
      <w:r w:rsidR="00BC687C">
        <w:rPr>
          <w:shd w:val="clear" w:color="auto" w:fill="FFFFFF"/>
        </w:rPr>
        <w:t xml:space="preserve"> – </w:t>
      </w:r>
      <w:r w:rsidRPr="00807E4C">
        <w:rPr>
          <w:shd w:val="clear" w:color="auto" w:fill="FFFFFF"/>
        </w:rPr>
        <w:t>cycles of questioning, self-explanation, and reflection</w:t>
      </w:r>
      <w:r w:rsidR="00BC687C">
        <w:rPr>
          <w:shd w:val="clear" w:color="auto" w:fill="FFFFFF"/>
        </w:rPr>
        <w:t xml:space="preserve"> – </w:t>
      </w:r>
      <w:r w:rsidRPr="00807E4C">
        <w:rPr>
          <w:shd w:val="clear" w:color="auto" w:fill="FFFFFF"/>
        </w:rPr>
        <w:t>to build metacognition and deepen understanding (</w:t>
      </w:r>
      <w:proofErr w:type="spellStart"/>
      <w:r w:rsidRPr="00807E4C">
        <w:rPr>
          <w:shd w:val="clear" w:color="auto" w:fill="FFFFFF"/>
        </w:rPr>
        <w:t>Erlenwein</w:t>
      </w:r>
      <w:proofErr w:type="spellEnd"/>
      <w:r w:rsidRPr="00807E4C">
        <w:rPr>
          <w:shd w:val="clear" w:color="auto" w:fill="FFFFFF"/>
        </w:rPr>
        <w:t xml:space="preserve"> et al., 2025).</w:t>
      </w:r>
    </w:p>
    <w:p w14:paraId="26632437" w14:textId="77777777" w:rsidR="00807E4C" w:rsidRPr="00807E4C" w:rsidRDefault="00807E4C" w:rsidP="00807E4C">
      <w:pPr>
        <w:rPr>
          <w:shd w:val="clear" w:color="auto" w:fill="FFFFFF"/>
        </w:rPr>
      </w:pPr>
      <w:r w:rsidRPr="00807E4C">
        <w:rPr>
          <w:shd w:val="clear" w:color="auto" w:fill="FFFFFF"/>
        </w:rPr>
        <w:t xml:space="preserve">Building on this idea, Danny Liu and his team at the University of Sydney developed the </w:t>
      </w:r>
      <w:proofErr w:type="spellStart"/>
      <w:r w:rsidRPr="00807E4C">
        <w:rPr>
          <w:shd w:val="clear" w:color="auto" w:fill="FFFFFF"/>
        </w:rPr>
        <w:t>Cogniti</w:t>
      </w:r>
      <w:proofErr w:type="spellEnd"/>
      <w:r w:rsidRPr="00807E4C">
        <w:rPr>
          <w:shd w:val="clear" w:color="auto" w:fill="FFFFFF"/>
        </w:rPr>
        <w:t xml:space="preserve"> platform. </w:t>
      </w:r>
      <w:proofErr w:type="spellStart"/>
      <w:r w:rsidRPr="00807E4C">
        <w:rPr>
          <w:shd w:val="clear" w:color="auto" w:fill="FFFFFF"/>
        </w:rPr>
        <w:t>Cogniti</w:t>
      </w:r>
      <w:proofErr w:type="spellEnd"/>
      <w:r w:rsidRPr="00807E4C">
        <w:rPr>
          <w:shd w:val="clear" w:color="auto" w:fill="FFFFFF"/>
        </w:rPr>
        <w:t xml:space="preserve"> allows educators to create institution-hosted AI agents with explicit roles and reusable prompt templates that script Socratic tutor behaviours. These agents ask follow-up questions to check or extend understanding, deliberately withhold answers to encourage productive struggle, and prompt learners to reflect with questions such as “What leads you to that conclusion?” or “Can you explain further?” (</w:t>
      </w:r>
      <w:proofErr w:type="spellStart"/>
      <w:r w:rsidRPr="00807E4C">
        <w:rPr>
          <w:shd w:val="clear" w:color="auto" w:fill="FFFFFF"/>
        </w:rPr>
        <w:t>Cogniti</w:t>
      </w:r>
      <w:proofErr w:type="spellEnd"/>
      <w:r w:rsidRPr="00807E4C">
        <w:rPr>
          <w:shd w:val="clear" w:color="auto" w:fill="FFFFFF"/>
        </w:rPr>
        <w:t>, n.d.).</w:t>
      </w:r>
    </w:p>
    <w:p w14:paraId="74035CEE" w14:textId="77777777" w:rsidR="00807E4C" w:rsidRPr="00807E4C" w:rsidRDefault="00807E4C" w:rsidP="00807E4C">
      <w:pPr>
        <w:pStyle w:val="Heading3"/>
      </w:pPr>
      <w:r w:rsidRPr="00807E4C">
        <w:t>Humanity and pedagogy within innovative practices</w:t>
      </w:r>
    </w:p>
    <w:p w14:paraId="401100B6" w14:textId="77777777" w:rsidR="00807E4C" w:rsidRPr="00807E4C" w:rsidRDefault="00807E4C" w:rsidP="00807E4C">
      <w:pPr>
        <w:rPr>
          <w:shd w:val="clear" w:color="auto" w:fill="FFFFFF"/>
        </w:rPr>
      </w:pPr>
      <w:r w:rsidRPr="00807E4C">
        <w:rPr>
          <w:shd w:val="clear" w:color="auto" w:fill="FFFFFF"/>
        </w:rPr>
        <w:t>Tim Gander from Auckland University of Technology described a path for innovation that is not constrained by geography. He explained his work on an equity map designed to target support where it is most needed. His doctoral research focused on “adaptive competence” in initial teacher education, which he defined as the ability to judge any tool, including AI, by how well it supports teaching and learning outcomes. Gander stressed that AI literacy should always be anchored in teaching purpose rather than novelty.</w:t>
      </w:r>
    </w:p>
    <w:p w14:paraId="67550F78" w14:textId="77777777" w:rsidR="00807E4C" w:rsidRPr="00807E4C" w:rsidRDefault="00807E4C" w:rsidP="00807E4C">
      <w:pPr>
        <w:rPr>
          <w:shd w:val="clear" w:color="auto" w:fill="FFFFFF"/>
        </w:rPr>
      </w:pPr>
      <w:r w:rsidRPr="00807E4C">
        <w:rPr>
          <w:shd w:val="clear" w:color="auto" w:fill="FFFFFF"/>
        </w:rPr>
        <w:t xml:space="preserve">At the national level, he highlighted a positive move away from prescriptive accountability systems towards guideline-based, trust-led approaches that give teachers greater autonomy. He also emphasised the importance of collaboration. To this end, he founded a Community of Practice that began with exploring tools such as OpenAI Playground and later expanded into the co-design of assessments. Alongside this, Gander supported a crowdsourced national AI integration map to connect examples of practice, reduce “bubble” work, and link teachers, researchers, and industry. This project was combined with a six-month challenge, offering a prize for the best classroom cases collected. Across </w:t>
      </w:r>
      <w:proofErr w:type="gramStart"/>
      <w:r w:rsidRPr="00807E4C">
        <w:rPr>
          <w:shd w:val="clear" w:color="auto" w:fill="FFFFFF"/>
        </w:rPr>
        <w:t>all of</w:t>
      </w:r>
      <w:proofErr w:type="gramEnd"/>
      <w:r w:rsidRPr="00807E4C">
        <w:rPr>
          <w:shd w:val="clear" w:color="auto" w:fill="FFFFFF"/>
        </w:rPr>
        <w:t xml:space="preserve"> these activities, he consistently prioritised practice, pedagogy, and people over platforms.</w:t>
      </w:r>
    </w:p>
    <w:p w14:paraId="453F6821" w14:textId="77777777" w:rsidR="00807E4C" w:rsidRPr="00807E4C" w:rsidRDefault="00807E4C" w:rsidP="00807E4C">
      <w:pPr>
        <w:rPr>
          <w:shd w:val="clear" w:color="auto" w:fill="FFFFFF"/>
        </w:rPr>
      </w:pPr>
      <w:r w:rsidRPr="00807E4C">
        <w:rPr>
          <w:shd w:val="clear" w:color="auto" w:fill="FFFFFF"/>
        </w:rPr>
        <w:t xml:space="preserve">Alongside these system-level strategies, Henry Ly from </w:t>
      </w:r>
      <w:proofErr w:type="spellStart"/>
      <w:r w:rsidRPr="00807E4C">
        <w:rPr>
          <w:shd w:val="clear" w:color="auto" w:fill="FFFFFF"/>
        </w:rPr>
        <w:t>LearnAIAnywhere</w:t>
      </w:r>
      <w:proofErr w:type="spellEnd"/>
      <w:r w:rsidRPr="00807E4C">
        <w:rPr>
          <w:shd w:val="clear" w:color="auto" w:fill="FFFFFF"/>
        </w:rPr>
        <w:t xml:space="preserve"> described how community-based digital hubs in Uganda are using low-cost technologies and AI to support learners in under-resourced environments. His example demonstrates that equity is not only about devices in high-income countries but also about connectivity, relevance, and access to culturally appropriate resources in low-resource contexts.</w:t>
      </w:r>
    </w:p>
    <w:p w14:paraId="2C8A854B" w14:textId="5B05D61B" w:rsidR="00807E4C" w:rsidRPr="00807E4C" w:rsidRDefault="00807E4C" w:rsidP="00807E4C">
      <w:pPr>
        <w:rPr>
          <w:shd w:val="clear" w:color="auto" w:fill="FFFFFF"/>
        </w:rPr>
      </w:pPr>
      <w:r w:rsidRPr="00807E4C">
        <w:rPr>
          <w:shd w:val="clear" w:color="auto" w:fill="FFFFFF"/>
        </w:rPr>
        <w:t xml:space="preserve">This focus on practice and pedagogy connects with the work of many educators who are experimenting directly in the classroom. Some are adopting AI within Design Thinking approaches, while others are adapting existing teaching strategies. Pierre Naeyart from the University of Sydney, for example, used the </w:t>
      </w:r>
      <w:proofErr w:type="spellStart"/>
      <w:r w:rsidRPr="00807E4C">
        <w:rPr>
          <w:shd w:val="clear" w:color="auto" w:fill="FFFFFF"/>
        </w:rPr>
        <w:t>Cogniti</w:t>
      </w:r>
      <w:proofErr w:type="spellEnd"/>
      <w:r w:rsidRPr="00807E4C">
        <w:rPr>
          <w:shd w:val="clear" w:color="auto" w:fill="FFFFFF"/>
        </w:rPr>
        <w:t xml:space="preserve"> platform to create Think Pair Chatbot Share, a reworking of the traditional Think Pair Share method. This innovation gave students the chance to practise with an AI chatbot before sharing ideas with their peers. </w:t>
      </w:r>
      <w:proofErr w:type="spellStart"/>
      <w:r w:rsidRPr="00807E4C">
        <w:rPr>
          <w:shd w:val="clear" w:color="auto" w:fill="FFFFFF"/>
        </w:rPr>
        <w:t>Naeyart</w:t>
      </w:r>
      <w:proofErr w:type="spellEnd"/>
      <w:r w:rsidRPr="00807E4C">
        <w:rPr>
          <w:shd w:val="clear" w:color="auto" w:fill="FFFFFF"/>
        </w:rPr>
        <w:t xml:space="preserve"> noted that while some learners experienced “chatbot fatigue” and disengaged, others</w:t>
      </w:r>
      <w:r w:rsidR="00B97F37">
        <w:rPr>
          <w:shd w:val="clear" w:color="auto" w:fill="FFFFFF"/>
        </w:rPr>
        <w:t xml:space="preserve">, </w:t>
      </w:r>
      <w:r w:rsidRPr="00807E4C">
        <w:rPr>
          <w:shd w:val="clear" w:color="auto" w:fill="FFFFFF"/>
        </w:rPr>
        <w:t>especially those with social anxiety</w:t>
      </w:r>
      <w:r w:rsidR="00BC687C">
        <w:rPr>
          <w:shd w:val="clear" w:color="auto" w:fill="FFFFFF"/>
        </w:rPr>
        <w:t xml:space="preserve"> – </w:t>
      </w:r>
      <w:r w:rsidRPr="00807E4C">
        <w:rPr>
          <w:shd w:val="clear" w:color="auto" w:fill="FFFFFF"/>
        </w:rPr>
        <w:t xml:space="preserve">became more confident participants in group discussions </w:t>
      </w:r>
      <w:proofErr w:type="gramStart"/>
      <w:r w:rsidRPr="00807E4C">
        <w:rPr>
          <w:shd w:val="clear" w:color="auto" w:fill="FFFFFF"/>
        </w:rPr>
        <w:t>as a result of</w:t>
      </w:r>
      <w:proofErr w:type="gramEnd"/>
      <w:r w:rsidRPr="00807E4C">
        <w:rPr>
          <w:shd w:val="clear" w:color="auto" w:fill="FFFFFF"/>
        </w:rPr>
        <w:t xml:space="preserve"> this scaffolded approach.</w:t>
      </w:r>
    </w:p>
    <w:p w14:paraId="592856C7" w14:textId="77777777" w:rsidR="00807E4C" w:rsidRPr="00807E4C" w:rsidRDefault="00807E4C" w:rsidP="00807E4C">
      <w:pPr>
        <w:rPr>
          <w:shd w:val="clear" w:color="auto" w:fill="FFFFFF"/>
        </w:rPr>
      </w:pPr>
      <w:r w:rsidRPr="00807E4C">
        <w:rPr>
          <w:shd w:val="clear" w:color="auto" w:fill="FFFFFF"/>
        </w:rPr>
        <w:t xml:space="preserve">Design Thinking was also emphasised by several interviewees </w:t>
      </w:r>
      <w:proofErr w:type="gramStart"/>
      <w:r w:rsidRPr="00807E4C">
        <w:rPr>
          <w:shd w:val="clear" w:color="auto" w:fill="FFFFFF"/>
        </w:rPr>
        <w:t>as a way to</w:t>
      </w:r>
      <w:proofErr w:type="gramEnd"/>
      <w:r w:rsidRPr="00807E4C">
        <w:rPr>
          <w:shd w:val="clear" w:color="auto" w:fill="FFFFFF"/>
        </w:rPr>
        <w:t xml:space="preserve"> ensure AI empowers learners rather than overwhelming them. Lance Cummings from the University of North Carolina Wilmington explained how AI is reshaping writing instruction, shifting the teacher’s role from a marker of correctness to a coach guiding students’ metacognition and self-direction. Similarly, </w:t>
      </w:r>
      <w:r w:rsidRPr="00807E4C">
        <w:rPr>
          <w:shd w:val="clear" w:color="auto" w:fill="FFFFFF"/>
        </w:rPr>
        <w:lastRenderedPageBreak/>
        <w:t>Sabba Quidwai, formerly at USC and Apple Education, argued that design thinking gives schools a framework for moving beyond tool-driven adoption and towards creativity, problem solving, and student agency.</w:t>
      </w:r>
    </w:p>
    <w:p w14:paraId="7B95E389" w14:textId="77777777" w:rsidR="00807E4C" w:rsidRPr="00807E4C" w:rsidRDefault="00807E4C" w:rsidP="00807E4C">
      <w:pPr>
        <w:rPr>
          <w:shd w:val="clear" w:color="auto" w:fill="FFFFFF"/>
        </w:rPr>
      </w:pPr>
      <w:r w:rsidRPr="00807E4C">
        <w:rPr>
          <w:shd w:val="clear" w:color="auto" w:fill="FFFFFF"/>
        </w:rPr>
        <w:t>Dr Kelly Stephens from the University of Newcastle warned that if design is not carefully considered, AI risks hijacking pedagogy and shifting power away from teachers and students. She called for co-design with educators and learners to ensure that AI continues to support human agency rather than undermine it.</w:t>
      </w:r>
    </w:p>
    <w:p w14:paraId="4046F768" w14:textId="136915C6" w:rsidR="00807E4C" w:rsidRPr="00807E4C" w:rsidRDefault="00807E4C" w:rsidP="00807E4C">
      <w:pPr>
        <w:rPr>
          <w:shd w:val="clear" w:color="auto" w:fill="FFFFFF"/>
        </w:rPr>
      </w:pPr>
      <w:r w:rsidRPr="00807E4C">
        <w:rPr>
          <w:shd w:val="clear" w:color="auto" w:fill="FFFFFF"/>
        </w:rPr>
        <w:t xml:space="preserve">In contrast to these socially and pedagogically focused approaches, Henno Kotze from Alpha School in Miami described a model that is more </w:t>
      </w:r>
      <w:proofErr w:type="gramStart"/>
      <w:r w:rsidRPr="00807E4C">
        <w:rPr>
          <w:shd w:val="clear" w:color="auto" w:fill="FFFFFF"/>
        </w:rPr>
        <w:t>structured</w:t>
      </w:r>
      <w:proofErr w:type="gramEnd"/>
      <w:r w:rsidRPr="00807E4C">
        <w:rPr>
          <w:shd w:val="clear" w:color="auto" w:fill="FFFFFF"/>
        </w:rPr>
        <w:t xml:space="preserve"> and </w:t>
      </w:r>
      <w:r w:rsidR="00B97F37" w:rsidRPr="00807E4C">
        <w:rPr>
          <w:shd w:val="clear" w:color="auto" w:fill="FFFFFF"/>
        </w:rPr>
        <w:t>data driven</w:t>
      </w:r>
      <w:r w:rsidRPr="00807E4C">
        <w:rPr>
          <w:shd w:val="clear" w:color="auto" w:fill="FFFFFF"/>
        </w:rPr>
        <w:t xml:space="preserve">. At Alpha, mastery-based progression is supported through an automated curriculum and an app stack of AI tutors, coordinated by remote academic staff and supported on site by Guides. Kotze explained that this approach allows learning to be personalised at scale, freeing up time for projects and student-directed activities. His account provides a sharp contrast to the equity-driven innovations of Gander and the social-emotional scaffolding described by </w:t>
      </w:r>
      <w:proofErr w:type="spellStart"/>
      <w:r w:rsidRPr="00807E4C">
        <w:rPr>
          <w:shd w:val="clear" w:color="auto" w:fill="FFFFFF"/>
        </w:rPr>
        <w:t>Naeyart</w:t>
      </w:r>
      <w:proofErr w:type="spellEnd"/>
      <w:r w:rsidRPr="00807E4C">
        <w:rPr>
          <w:shd w:val="clear" w:color="auto" w:fill="FFFFFF"/>
        </w:rPr>
        <w:t>.</w:t>
      </w:r>
    </w:p>
    <w:p w14:paraId="7D8E1556" w14:textId="77777777" w:rsidR="00807E4C" w:rsidRPr="00807E4C" w:rsidRDefault="00807E4C" w:rsidP="00807E4C">
      <w:pPr>
        <w:rPr>
          <w:shd w:val="clear" w:color="auto" w:fill="FFFFFF"/>
        </w:rPr>
      </w:pPr>
      <w:r w:rsidRPr="00807E4C">
        <w:rPr>
          <w:shd w:val="clear" w:color="auto" w:fill="FFFFFF"/>
        </w:rPr>
        <w:t xml:space="preserve">Dr Pauldy </w:t>
      </w:r>
      <w:proofErr w:type="spellStart"/>
      <w:r w:rsidRPr="00807E4C">
        <w:rPr>
          <w:shd w:val="clear" w:color="auto" w:fill="FFFFFF"/>
        </w:rPr>
        <w:t>Otermans</w:t>
      </w:r>
      <w:proofErr w:type="spellEnd"/>
      <w:r w:rsidRPr="00807E4C">
        <w:rPr>
          <w:shd w:val="clear" w:color="auto" w:fill="FFFFFF"/>
        </w:rPr>
        <w:t xml:space="preserve"> from the </w:t>
      </w:r>
      <w:proofErr w:type="spellStart"/>
      <w:r w:rsidRPr="00807E4C">
        <w:rPr>
          <w:shd w:val="clear" w:color="auto" w:fill="FFFFFF"/>
        </w:rPr>
        <w:t>Otermans</w:t>
      </w:r>
      <w:proofErr w:type="spellEnd"/>
      <w:r w:rsidRPr="00807E4C">
        <w:rPr>
          <w:shd w:val="clear" w:color="auto" w:fill="FFFFFF"/>
        </w:rPr>
        <w:t xml:space="preserve"> Institute in the UK presented the “AI Teacher,” a human-designed, AI-driven avatar tutor that condenses up to 300 pages of uploaded materials into digestible lessons. Teachers review and release these lessons, maintaining control over content, structure, and publication. The system is built on cognitive learning principles, designed to scaffold working memory, keep students focused, and redirect off-topic responses. It can stay strictly linked to uploaded sources or, when permitted, extend to its wider model knowledge.</w:t>
      </w:r>
    </w:p>
    <w:p w14:paraId="4ED58C29" w14:textId="77777777" w:rsidR="00807E4C" w:rsidRPr="00807E4C" w:rsidRDefault="00807E4C" w:rsidP="00807E4C">
      <w:pPr>
        <w:rPr>
          <w:shd w:val="clear" w:color="auto" w:fill="FFFFFF"/>
        </w:rPr>
      </w:pPr>
      <w:r w:rsidRPr="00807E4C">
        <w:rPr>
          <w:shd w:val="clear" w:color="auto" w:fill="FFFFFF"/>
        </w:rPr>
        <w:t xml:space="preserve">Teachers also receive analytics such as question logs and common misunderstandings. In classroom trials, </w:t>
      </w:r>
      <w:proofErr w:type="spellStart"/>
      <w:r w:rsidRPr="00807E4C">
        <w:rPr>
          <w:shd w:val="clear" w:color="auto" w:fill="FFFFFF"/>
        </w:rPr>
        <w:t>Otermans</w:t>
      </w:r>
      <w:proofErr w:type="spellEnd"/>
      <w:r w:rsidRPr="00807E4C">
        <w:rPr>
          <w:shd w:val="clear" w:color="auto" w:fill="FFFFFF"/>
        </w:rPr>
        <w:t xml:space="preserve"> reported that 64 percent of students completed a nine-week program and asked more questions than they would normally pose in class. The platform prioritises privacy by running on-device rather than in the cloud, and it integrates with PowerPoint to support lesson preparation. </w:t>
      </w:r>
      <w:proofErr w:type="spellStart"/>
      <w:r w:rsidRPr="00807E4C">
        <w:rPr>
          <w:shd w:val="clear" w:color="auto" w:fill="FFFFFF"/>
        </w:rPr>
        <w:t>Otermans</w:t>
      </w:r>
      <w:proofErr w:type="spellEnd"/>
      <w:r w:rsidRPr="00807E4C">
        <w:rPr>
          <w:shd w:val="clear" w:color="auto" w:fill="FFFFFF"/>
        </w:rPr>
        <w:t xml:space="preserve"> contrasted the rapid adoption of AI in corporate contexts with slower movements in education, pointing to policy lag and institutional risk aversion. Her work is positioned towards building AI tools that are trustworthy and safe for classrooms.</w:t>
      </w:r>
    </w:p>
    <w:p w14:paraId="3F06250A" w14:textId="77777777" w:rsidR="00ED3B04" w:rsidRPr="00ED3B04" w:rsidRDefault="00ED3B04" w:rsidP="001B4C3C">
      <w:pPr>
        <w:pStyle w:val="Heading1"/>
        <w:rPr>
          <w:highlight w:val="white"/>
        </w:rPr>
      </w:pPr>
      <w:r w:rsidRPr="00ED3B04">
        <w:rPr>
          <w:highlight w:val="white"/>
        </w:rPr>
        <w:t>Conclusion</w:t>
      </w:r>
    </w:p>
    <w:p w14:paraId="291F2CD8" w14:textId="4699BBCB" w:rsidR="00B7562D" w:rsidRPr="00B7562D" w:rsidRDefault="00B7562D" w:rsidP="00B7562D">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B7562D">
        <w:rPr>
          <w:highlight w:val="white"/>
        </w:rPr>
        <w:t xml:space="preserve">The findings show that while AI is already reshaping classrooms, it brings with it complex ethical considerations. Beyond the familiar problem of “hallucinations,” where AI confidently provides misleading or incorrect information, more serious risks appear when models are deliberately corrupted or weaponised. Dr Mike Sharples (Open University, UK) warned that malicious actors can plant flawed training data that leads to unsafe </w:t>
      </w:r>
      <w:r w:rsidR="00B97F37" w:rsidRPr="00B7562D">
        <w:rPr>
          <w:highlight w:val="white"/>
        </w:rPr>
        <w:t>recommendations or</w:t>
      </w:r>
      <w:r w:rsidRPr="00B7562D">
        <w:rPr>
          <w:highlight w:val="white"/>
        </w:rPr>
        <w:t xml:space="preserve"> embed “sleeper” behaviours that remain hidden until triggered by a specific prompt. Protecting against these risks requires more than surface error catching. Schools need enterprise-level protections or locally hosted </w:t>
      </w:r>
      <w:r w:rsidR="00B97F37" w:rsidRPr="00B7562D">
        <w:rPr>
          <w:highlight w:val="white"/>
        </w:rPr>
        <w:t>open-source</w:t>
      </w:r>
      <w:r w:rsidRPr="00B7562D">
        <w:rPr>
          <w:highlight w:val="white"/>
        </w:rPr>
        <w:t xml:space="preserve"> models, along with clear rules about how student inputs are stored and used. Just as importantly, there must be an ongoing culture of vigilance, so that risks are monitored well after a tool is adopted.</w:t>
      </w:r>
    </w:p>
    <w:p w14:paraId="2C081690" w14:textId="315158CE" w:rsidR="00B7562D" w:rsidRPr="00B7562D" w:rsidRDefault="00B7562D" w:rsidP="00B7562D">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7562D">
        <w:rPr>
          <w:highlight w:val="white"/>
        </w:rPr>
        <w:t>At the same time, AI’s rapid improvements in accuracy</w:t>
      </w:r>
      <w:r w:rsidR="00D04307">
        <w:rPr>
          <w:shd w:val="clear" w:color="auto" w:fill="FFFFFF"/>
        </w:rPr>
        <w:t xml:space="preserve"> – </w:t>
      </w:r>
      <w:r w:rsidRPr="00B7562D">
        <w:rPr>
          <w:highlight w:val="white"/>
        </w:rPr>
        <w:t>now supported by reasoning chains and real time web access</w:t>
      </w:r>
      <w:r w:rsidR="00D04307">
        <w:rPr>
          <w:shd w:val="clear" w:color="auto" w:fill="FFFFFF"/>
        </w:rPr>
        <w:t xml:space="preserve"> – </w:t>
      </w:r>
      <w:r w:rsidRPr="00B7562D">
        <w:rPr>
          <w:highlight w:val="white"/>
        </w:rPr>
        <w:t>have encouraged some schools and universities to adopt chatbots as official learning supports. This raises a critical question: will AI replace authentic learning, or enhance it? The most effective use</w:t>
      </w:r>
      <w:r w:rsidR="00D04307">
        <w:rPr>
          <w:highlight w:val="white"/>
        </w:rPr>
        <w:t>r</w:t>
      </w:r>
      <w:r w:rsidRPr="00B7562D">
        <w:rPr>
          <w:highlight w:val="white"/>
        </w:rPr>
        <w:t xml:space="preserve">s position AI as a </w:t>
      </w:r>
      <w:r w:rsidR="00D04307">
        <w:rPr>
          <w:highlight w:val="white"/>
        </w:rPr>
        <w:t>just-in-time</w:t>
      </w:r>
      <w:r w:rsidRPr="00B7562D">
        <w:rPr>
          <w:highlight w:val="white"/>
        </w:rPr>
        <w:t xml:space="preserve"> assistant, offering hints, reframing questions, and suggesting next steps rather than providing complete answers. In practice, some leaders are already using AI to expose the assumptions hidden in student queries, helping learners reflect more deeply instead of settling for quick responses.</w:t>
      </w:r>
    </w:p>
    <w:p w14:paraId="4D566B37" w14:textId="77777777" w:rsidR="00B7562D" w:rsidRPr="00B7562D" w:rsidRDefault="00B7562D" w:rsidP="00B7562D">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7562D">
        <w:rPr>
          <w:highlight w:val="white"/>
        </w:rPr>
        <w:lastRenderedPageBreak/>
        <w:t>There is also an urgent need to build robust critical AI literacy. Both students and educators need skills to evaluate AI outputs for bias, check sources, and understand broader social and ethical implications. This means recognising the limits of algorithms, interrogating data sets, and engaging in ongoing debate about the role of AI in education and society.</w:t>
      </w:r>
    </w:p>
    <w:p w14:paraId="075BF776" w14:textId="1CBA8191" w:rsidR="00B7562D" w:rsidRPr="00B7562D" w:rsidRDefault="00B7562D" w:rsidP="00B7562D">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7562D">
        <w:rPr>
          <w:highlight w:val="white"/>
        </w:rPr>
        <w:t>Assessment practices are undergoing change as well. Traditional high stakes essays and exams</w:t>
      </w:r>
      <w:r w:rsidR="00D04307">
        <w:rPr>
          <w:shd w:val="clear" w:color="auto" w:fill="FFFFFF"/>
        </w:rPr>
        <w:t xml:space="preserve"> – </w:t>
      </w:r>
      <w:r w:rsidRPr="00B7562D">
        <w:rPr>
          <w:highlight w:val="white"/>
        </w:rPr>
        <w:t>formats easily gamed by generative tools</w:t>
      </w:r>
      <w:r w:rsidR="00D04307">
        <w:rPr>
          <w:shd w:val="clear" w:color="auto" w:fill="FFFFFF"/>
        </w:rPr>
        <w:t xml:space="preserve"> – </w:t>
      </w:r>
      <w:r w:rsidRPr="00B7562D">
        <w:rPr>
          <w:highlight w:val="white"/>
        </w:rPr>
        <w:t>are gradually being replaced by lower stakes, process-focused approaches. Portfolios, multimedia projects, and co-created rubrics for self and peer assessment shift the focus from “Is the answer correct?” to “How did the learner arrive at this understanding?” These approaches capture iterative work, creative choices, and reflective dialogue as evidence of growth. Leon Furze’s (2024) five tier Assessment Scale provides one model for this transition. The framework ranges from tasks that forbid AI to assignments that allow comprehensive AI integration, helping teachers focus on areas where human judgment and higher order thinking remain central.</w:t>
      </w:r>
    </w:p>
    <w:p w14:paraId="6E3116D2" w14:textId="77777777" w:rsidR="00B7562D" w:rsidRPr="00B7562D" w:rsidRDefault="00B7562D" w:rsidP="00B7562D">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7562D">
        <w:rPr>
          <w:highlight w:val="white"/>
        </w:rPr>
        <w:t>As these shifts unfold, the teacher’s role is also changing. Instead of serving mainly as content presenters, teachers are becoming facilitators, mentors, and coaches. They are guiding inquiry, modelling ethical use of AI, and developing the human skills that technology cannot replicate. Building trust is key. Teachers can do this by; being transparent, demonstrating both the strengths and weaknesses of AI, co-creating integrity norms with students, and supporting colleagues at every stage of adoption.</w:t>
      </w:r>
    </w:p>
    <w:p w14:paraId="6C4575E4" w14:textId="58C0436A" w:rsidR="00B7562D" w:rsidRPr="00B7562D" w:rsidRDefault="00B7562D" w:rsidP="00B7562D">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7562D">
        <w:rPr>
          <w:highlight w:val="white"/>
        </w:rPr>
        <w:t xml:space="preserve">Amid these changes, certain qualities remain uniquely human and irreplaceable. Setting clear goals for AI’s role, encouraging resilience through productive struggle, and sustaining empathy, moral judgment, adaptability, and relational trust are all central to meaningful education. When used thoughtfully, AI can handle routine tasks, freeing teachers and learners to focus on these </w:t>
      </w:r>
      <w:r w:rsidR="00D04307">
        <w:rPr>
          <w:highlight w:val="white"/>
        </w:rPr>
        <w:t>higher-order</w:t>
      </w:r>
      <w:r w:rsidRPr="00B7562D">
        <w:rPr>
          <w:highlight w:val="white"/>
        </w:rPr>
        <w:t xml:space="preserve"> capacities. By connecting through collaborative networks and Communities of Practice, educators can share what works, support one another, and build confidence as they adapt AI to their own contexts.</w:t>
      </w:r>
    </w:p>
    <w:p w14:paraId="3FC8928E" w14:textId="00886739" w:rsidR="00B7562D" w:rsidRPr="00B7562D" w:rsidRDefault="00B7562D" w:rsidP="00B7562D">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B7562D">
        <w:rPr>
          <w:highlight w:val="white"/>
        </w:rPr>
        <w:t>To support this work and share global perspectives, I have created a website</w:t>
      </w:r>
      <w:r>
        <w:rPr>
          <w:highlight w:val="white"/>
        </w:rPr>
        <w:t xml:space="preserve"> (</w:t>
      </w:r>
      <w:hyperlink r:id="rId20" w:tooltip="AI in Education" w:history="1">
        <w:r w:rsidRPr="00B7562D">
          <w:rPr>
            <w:rStyle w:val="Hyperlink"/>
            <w:highlight w:val="white"/>
          </w:rPr>
          <w:t>AI in Education</w:t>
        </w:r>
      </w:hyperlink>
      <w:r>
        <w:rPr>
          <w:highlight w:val="white"/>
        </w:rPr>
        <w:t>)</w:t>
      </w:r>
      <w:r w:rsidRPr="00B7562D">
        <w:rPr>
          <w:highlight w:val="white"/>
        </w:rPr>
        <w:t xml:space="preserve"> that brings together the learnings, interviews, and case studies from this study as part of a global Community of Practice</w:t>
      </w:r>
      <w:r>
        <w:rPr>
          <w:highlight w:val="white"/>
        </w:rPr>
        <w:t xml:space="preserve">. </w:t>
      </w:r>
    </w:p>
    <w:p w14:paraId="6F90D6AD" w14:textId="0047EADB" w:rsidR="00CD79CF" w:rsidRPr="00ED3B04" w:rsidRDefault="00CD79CF" w:rsidP="00CD79CF">
      <w:pPr>
        <w:pStyle w:val="Heading1"/>
      </w:pPr>
      <w:r>
        <w:t>Acknowledgements</w:t>
      </w:r>
    </w:p>
    <w:p w14:paraId="541680D9" w14:textId="5EF2E56A" w:rsidR="004A1997" w:rsidRDefault="004A1997" w:rsidP="00557A3D">
      <w:pPr>
        <w:pStyle w:val="Normaltext"/>
      </w:pPr>
      <w:r>
        <w:t xml:space="preserve">Thank you for the </w:t>
      </w:r>
      <w:r w:rsidRPr="002006E6">
        <w:t xml:space="preserve">support and collaboration of </w:t>
      </w:r>
      <w:r>
        <w:t xml:space="preserve">all </w:t>
      </w:r>
      <w:r w:rsidRPr="002006E6">
        <w:t xml:space="preserve">who assisted in preparing for and engaging in the study </w:t>
      </w:r>
      <w:r w:rsidR="00853C49" w:rsidRPr="002006E6">
        <w:t>tour</w:t>
      </w:r>
      <w:r w:rsidR="00853C49">
        <w:t xml:space="preserve"> and</w:t>
      </w:r>
      <w:r>
        <w:t xml:space="preserve"> contributed to </w:t>
      </w:r>
      <w:r w:rsidRPr="002006E6">
        <w:t>enriching the overall experience.</w:t>
      </w:r>
    </w:p>
    <w:p w14:paraId="4C51CCE7" w14:textId="19E64E83" w:rsidR="004C3281" w:rsidRDefault="004C3281" w:rsidP="004C3281">
      <w:pPr>
        <w:pStyle w:val="Normaltext"/>
      </w:pPr>
      <w:r>
        <w:t>Thank you to the NSW Education Standards Authority, whose generous funding of this scholarship made the study tour possible</w:t>
      </w:r>
      <w:r w:rsidRPr="002006E6">
        <w:t>.</w:t>
      </w:r>
    </w:p>
    <w:p w14:paraId="7166A6E9" w14:textId="77777777" w:rsidR="004D3AEE" w:rsidRPr="00ED3B04" w:rsidRDefault="004D3AEE" w:rsidP="004D3AEE">
      <w:pPr>
        <w:pStyle w:val="Heading1"/>
      </w:pPr>
      <w:r>
        <w:t xml:space="preserve">References </w:t>
      </w:r>
    </w:p>
    <w:p w14:paraId="7305ECC0" w14:textId="77777777" w:rsidR="00B7562D" w:rsidRDefault="00B7562D" w:rsidP="00B7562D">
      <w:r>
        <w:t>Campbell, C., Nguyen, L., Bonsignore, E., Carter-Browne, C. and Neubauer, N., 2023. From AI literacy to AI fluency: Towards an expanded conceptualisation. International Journal of Artificial Intelligence in Education. Advance online publication.</w:t>
      </w:r>
    </w:p>
    <w:p w14:paraId="45587C8F" w14:textId="77777777" w:rsidR="00B7562D" w:rsidRPr="00086B53" w:rsidRDefault="00B7562D" w:rsidP="00B7562D">
      <w:pPr>
        <w:rPr>
          <w:color w:val="auto"/>
        </w:rPr>
      </w:pPr>
      <w:proofErr w:type="spellStart"/>
      <w:r>
        <w:t>Cogniti</w:t>
      </w:r>
      <w:proofErr w:type="spellEnd"/>
      <w:r>
        <w:t xml:space="preserve">, n.d. </w:t>
      </w:r>
      <w:proofErr w:type="spellStart"/>
      <w:r>
        <w:t>Cogniti</w:t>
      </w:r>
      <w:proofErr w:type="spellEnd"/>
      <w:r>
        <w:t xml:space="preserve">. University of Sydney. Available at: </w:t>
      </w:r>
      <w:hyperlink r:id="rId21" w:history="1">
        <w:r w:rsidRPr="00086B53">
          <w:rPr>
            <w:rStyle w:val="Hyperlink"/>
            <w:color w:val="auto"/>
          </w:rPr>
          <w:t>https://cogniti.sydney.edu.au</w:t>
        </w:r>
      </w:hyperlink>
      <w:r w:rsidRPr="00086B53">
        <w:rPr>
          <w:color w:val="auto"/>
        </w:rPr>
        <w:t>.</w:t>
      </w:r>
    </w:p>
    <w:p w14:paraId="6EAF48B2" w14:textId="77777777" w:rsidR="00B7562D" w:rsidRPr="004D3AEE" w:rsidRDefault="00B7562D" w:rsidP="00B7562D">
      <w:pPr>
        <w:rPr>
          <w:highlight w:val="white"/>
        </w:rPr>
      </w:pPr>
      <w:proofErr w:type="spellStart"/>
      <w:r>
        <w:t>Erlenwein</w:t>
      </w:r>
      <w:proofErr w:type="spellEnd"/>
      <w:r>
        <w:t>, S., et al., 2025. Socratic tutoring with conversational agents: Promoting metacognition and reflection in higher education. Computers and Education: Artificial Intelligence, 6, p.100187.</w:t>
      </w:r>
    </w:p>
    <w:p w14:paraId="5584D132" w14:textId="77777777" w:rsidR="00B7562D" w:rsidRDefault="00B7562D" w:rsidP="00B7562D">
      <w:r w:rsidRPr="00593BDA">
        <w:lastRenderedPageBreak/>
        <w:t xml:space="preserve">Furze, L., 2024. The Assessment Scale: A </w:t>
      </w:r>
      <w:proofErr w:type="gramStart"/>
      <w:r w:rsidRPr="00593BDA">
        <w:t>five tier</w:t>
      </w:r>
      <w:proofErr w:type="gramEnd"/>
      <w:r w:rsidRPr="00593BDA">
        <w:t xml:space="preserve"> framework for generative AI in education. Melbourne: Leon Furze Publications.</w:t>
      </w:r>
    </w:p>
    <w:p w14:paraId="7C8883DE" w14:textId="77777777" w:rsidR="00853C49" w:rsidRDefault="00853C49" w:rsidP="00853C49">
      <w:r w:rsidRPr="00E62DDB">
        <w:t>Kahn, K., 2025. The Learner’s Apprentice: AI and the Amplification of Human Creativity. Cambridge, MA: Constructing Modern Knowledge Press.</w:t>
      </w:r>
    </w:p>
    <w:p w14:paraId="6E262DB5" w14:textId="77777777" w:rsidR="00853C49" w:rsidRDefault="00853C49" w:rsidP="00853C49">
      <w:r>
        <w:t>Ng, D.T.K., Leung, J.K.L., Chu, S.K.W. and Qiao, M., 2021. AI literacy: Definition, teaching, evaluation and implications. Computers and Education: Artificial Intelligence, 2, p.100035.</w:t>
      </w:r>
    </w:p>
    <w:p w14:paraId="1C37E585" w14:textId="77777777" w:rsidR="00853C49" w:rsidRDefault="00853C49" w:rsidP="00853C49">
      <w:proofErr w:type="spellStart"/>
      <w:r w:rsidRPr="00783C77">
        <w:t>Nuthall</w:t>
      </w:r>
      <w:proofErr w:type="spellEnd"/>
      <w:r w:rsidRPr="00783C77">
        <w:t>, G., 2007. The Hidden Lives of Learners. Wellington: NZCER Press.</w:t>
      </w:r>
    </w:p>
    <w:p w14:paraId="086AA3AD" w14:textId="77777777" w:rsidR="00853C49" w:rsidRPr="004D3AEE" w:rsidRDefault="00853C49" w:rsidP="00B7562D">
      <w:pPr>
        <w:rPr>
          <w:highlight w:val="white"/>
        </w:rPr>
      </w:pPr>
    </w:p>
    <w:p w14:paraId="670536D0" w14:textId="77777777" w:rsidR="00B7562D" w:rsidRPr="004D3AEE" w:rsidRDefault="00B7562D" w:rsidP="004D3AEE">
      <w:pPr>
        <w:rPr>
          <w:highlight w:val="white"/>
        </w:rPr>
      </w:pPr>
    </w:p>
    <w:p w14:paraId="4224A946" w14:textId="77777777" w:rsidR="004D3AEE" w:rsidRPr="004D3AEE" w:rsidRDefault="004D3AEE" w:rsidP="004D3AEE">
      <w:pPr>
        <w:rPr>
          <w:highlight w:val="white"/>
        </w:rPr>
      </w:pPr>
    </w:p>
    <w:p w14:paraId="137EC4E3" w14:textId="77777777" w:rsidR="004D3AEE" w:rsidRPr="004D3AEE" w:rsidRDefault="004D3AEE" w:rsidP="004D3AEE">
      <w:pPr>
        <w:rPr>
          <w:highlight w:val="white"/>
        </w:rPr>
      </w:pPr>
    </w:p>
    <w:p w14:paraId="015405DF" w14:textId="77777777" w:rsidR="004D3AEE" w:rsidRPr="004D3AEE" w:rsidRDefault="004D3AEE" w:rsidP="004D3AEE">
      <w:pPr>
        <w:rPr>
          <w:highlight w:val="white"/>
        </w:rPr>
      </w:pPr>
    </w:p>
    <w:p w14:paraId="0F71E17B" w14:textId="77777777" w:rsidR="004D3AEE" w:rsidRPr="004D3AEE" w:rsidRDefault="004D3AEE" w:rsidP="004D3AEE">
      <w:pPr>
        <w:rPr>
          <w:highlight w:val="white"/>
        </w:rPr>
      </w:pPr>
    </w:p>
    <w:p w14:paraId="1EE3D845" w14:textId="77777777" w:rsidR="004D3AEE" w:rsidRDefault="004D3AEE" w:rsidP="004D3AEE">
      <w:pPr>
        <w:rPr>
          <w:highlight w:val="white"/>
        </w:rPr>
      </w:pP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12247" w14:textId="77777777" w:rsidR="00861B71" w:rsidRDefault="00861B71" w:rsidP="000255B4">
      <w:pPr>
        <w:spacing w:before="0" w:after="0" w:line="240" w:lineRule="auto"/>
      </w:pPr>
      <w:r>
        <w:separator/>
      </w:r>
    </w:p>
  </w:endnote>
  <w:endnote w:type="continuationSeparator" w:id="0">
    <w:p w14:paraId="63EC0F24" w14:textId="77777777" w:rsidR="00861B71" w:rsidRDefault="00861B71"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FB4FF" w14:textId="77777777" w:rsidR="00807E4C" w:rsidRDefault="00807E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9FBF" w14:textId="40E6E38E" w:rsidR="000255B4" w:rsidRDefault="00807E4C" w:rsidP="000255B4">
    <w:pPr>
      <w:pStyle w:val="Footer"/>
      <w:tabs>
        <w:tab w:val="clear" w:pos="4513"/>
        <w:tab w:val="clear" w:pos="9026"/>
        <w:tab w:val="right" w:pos="9498"/>
      </w:tabs>
    </w:pPr>
    <w:r>
      <w:t>Artificial Intelligence in Education</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0474AF">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E03E" w14:textId="77777777" w:rsidR="0017140E" w:rsidRDefault="00117296" w:rsidP="00117296">
    <w:pPr>
      <w:pBdr>
        <w:top w:val="single" w:sz="4" w:space="1" w:color="auto"/>
      </w:pBdr>
      <w:spacing w:after="0"/>
      <w:rPr>
        <w:sz w:val="20"/>
        <w:szCs w:val="20"/>
      </w:rPr>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w:t>
    </w:r>
    <w:r w:rsidR="0067083F">
      <w:rPr>
        <w:sz w:val="20"/>
        <w:szCs w:val="20"/>
      </w:rPr>
      <w:t>5</w:t>
    </w:r>
    <w:r>
      <w:rPr>
        <w:sz w:val="20"/>
        <w:szCs w:val="20"/>
      </w:rPr>
      <w:t xml:space="preser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w:t>
    </w:r>
    <w:r w:rsidR="0067083F">
      <w:rPr>
        <w:sz w:val="20"/>
        <w:szCs w:val="20"/>
      </w:rPr>
      <w:t xml:space="preserve"> </w:t>
    </w:r>
  </w:p>
  <w:p w14:paraId="3DA981C7" w14:textId="0B1AE95C" w:rsidR="00910707" w:rsidRPr="00117296" w:rsidRDefault="00117296" w:rsidP="00117296">
    <w:pPr>
      <w:pBdr>
        <w:top w:val="single" w:sz="4" w:space="1" w:color="auto"/>
      </w:pBdr>
      <w:spacing w:after="0"/>
    </w:pP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w:t>
    </w:r>
    <w:r w:rsidR="0017140E">
      <w:rPr>
        <w:sz w:val="20"/>
        <w:szCs w:val="20"/>
      </w:rPr>
      <w:t xml:space="preserve">It captures the highlights of the </w:t>
    </w:r>
    <w:r w:rsidR="0067083F">
      <w:rPr>
        <w:sz w:val="20"/>
        <w:szCs w:val="20"/>
      </w:rPr>
      <w:t>many</w:t>
    </w:r>
    <w:r w:rsidR="0067083F" w:rsidRPr="0067083F">
      <w:rPr>
        <w:sz w:val="20"/>
        <w:szCs w:val="20"/>
      </w:rPr>
      <w:t xml:space="preserve"> observations and learnings</w:t>
    </w:r>
    <w:r w:rsidR="0067083F">
      <w:rPr>
        <w:sz w:val="20"/>
        <w:szCs w:val="20"/>
      </w:rPr>
      <w:t xml:space="preserve"> gained</w:t>
    </w:r>
    <w:r w:rsidR="0017140E">
      <w:rPr>
        <w:sz w:val="20"/>
        <w:szCs w:val="20"/>
      </w:rPr>
      <w:t xml:space="preserve">, which </w:t>
    </w:r>
    <w:r w:rsidR="00EA3EB2">
      <w:rPr>
        <w:sz w:val="20"/>
        <w:szCs w:val="20"/>
      </w:rPr>
      <w:t>are</w:t>
    </w:r>
    <w:r w:rsidR="0017140E">
      <w:rPr>
        <w:sz w:val="20"/>
        <w:szCs w:val="20"/>
      </w:rPr>
      <w:t xml:space="preserve"> to be </w:t>
    </w:r>
    <w:r w:rsidR="00915A95">
      <w:rPr>
        <w:sz w:val="20"/>
        <w:szCs w:val="20"/>
      </w:rPr>
      <w:t xml:space="preserve">further </w:t>
    </w:r>
    <w:r w:rsidR="0067083F" w:rsidRPr="0067083F">
      <w:rPr>
        <w:sz w:val="20"/>
        <w:szCs w:val="20"/>
      </w:rPr>
      <w:t>share</w:t>
    </w:r>
    <w:r w:rsidR="0017140E">
      <w:rPr>
        <w:sz w:val="20"/>
        <w:szCs w:val="20"/>
      </w:rPr>
      <w:t>d</w:t>
    </w:r>
    <w:r w:rsidR="0067083F" w:rsidRPr="0067083F">
      <w:rPr>
        <w:sz w:val="20"/>
        <w:szCs w:val="20"/>
      </w:rPr>
      <w:t xml:space="preserve"> through future educational opportunities.</w:t>
    </w:r>
    <w:r w:rsidR="00EA3EB2">
      <w:rPr>
        <w:sz w:val="20"/>
        <w:szCs w:val="20"/>
      </w:rPr>
      <w:t xml:space="preserve"> </w:t>
    </w:r>
    <w:r w:rsidR="0067083F">
      <w:rPr>
        <w:sz w:val="20"/>
        <w:szCs w:val="20"/>
      </w:rPr>
      <w:t xml:space="preserve">The report </w:t>
    </w:r>
    <w:r>
      <w:rPr>
        <w:sz w:val="20"/>
        <w:szCs w:val="20"/>
      </w:rPr>
      <w:t xml:space="preserve">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98A0" w14:textId="77777777" w:rsidR="00861B71" w:rsidRDefault="00861B71" w:rsidP="000255B4">
      <w:pPr>
        <w:spacing w:before="0" w:after="0" w:line="240" w:lineRule="auto"/>
      </w:pPr>
      <w:r>
        <w:separator/>
      </w:r>
    </w:p>
  </w:footnote>
  <w:footnote w:type="continuationSeparator" w:id="0">
    <w:p w14:paraId="2E247A5B" w14:textId="77777777" w:rsidR="00861B71" w:rsidRDefault="00861B71" w:rsidP="000255B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0F93F" w14:textId="77777777" w:rsidR="00807E4C" w:rsidRDefault="00807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2736E" w14:textId="77777777" w:rsidR="00807E4C" w:rsidRDefault="00807E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B10F" w14:textId="77777777" w:rsidR="00807E4C" w:rsidRDefault="00807E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16cid:durableId="522282926">
    <w:abstractNumId w:val="19"/>
  </w:num>
  <w:num w:numId="2" w16cid:durableId="963927439">
    <w:abstractNumId w:val="31"/>
  </w:num>
  <w:num w:numId="3" w16cid:durableId="1038435900">
    <w:abstractNumId w:val="36"/>
  </w:num>
  <w:num w:numId="4" w16cid:durableId="1874801615">
    <w:abstractNumId w:val="35"/>
  </w:num>
  <w:num w:numId="5" w16cid:durableId="465700344">
    <w:abstractNumId w:val="21"/>
  </w:num>
  <w:num w:numId="6" w16cid:durableId="352653544">
    <w:abstractNumId w:val="27"/>
  </w:num>
  <w:num w:numId="7" w16cid:durableId="1264805997">
    <w:abstractNumId w:val="24"/>
  </w:num>
  <w:num w:numId="8" w16cid:durableId="1043939693">
    <w:abstractNumId w:val="28"/>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29"/>
  </w:num>
  <w:num w:numId="14" w16cid:durableId="701981400">
    <w:abstractNumId w:val="38"/>
  </w:num>
  <w:num w:numId="15" w16cid:durableId="1703938253">
    <w:abstractNumId w:val="23"/>
  </w:num>
  <w:num w:numId="16" w16cid:durableId="1539930045">
    <w:abstractNumId w:val="18"/>
  </w:num>
  <w:num w:numId="17" w16cid:durableId="1421099837">
    <w:abstractNumId w:val="39"/>
  </w:num>
  <w:num w:numId="18" w16cid:durableId="2096895664">
    <w:abstractNumId w:val="34"/>
  </w:num>
  <w:num w:numId="19" w16cid:durableId="236212348">
    <w:abstractNumId w:val="32"/>
  </w:num>
  <w:num w:numId="20" w16cid:durableId="932274738">
    <w:abstractNumId w:val="25"/>
  </w:num>
  <w:num w:numId="21" w16cid:durableId="1180661850">
    <w:abstractNumId w:val="30"/>
  </w:num>
  <w:num w:numId="22" w16cid:durableId="688408783">
    <w:abstractNumId w:val="14"/>
  </w:num>
  <w:num w:numId="23" w16cid:durableId="461575964">
    <w:abstractNumId w:val="40"/>
  </w:num>
  <w:num w:numId="24" w16cid:durableId="637803994">
    <w:abstractNumId w:val="15"/>
  </w:num>
  <w:num w:numId="25" w16cid:durableId="2136360820">
    <w:abstractNumId w:val="11"/>
  </w:num>
  <w:num w:numId="26" w16cid:durableId="798256476">
    <w:abstractNumId w:val="16"/>
  </w:num>
  <w:num w:numId="27" w16cid:durableId="708532385">
    <w:abstractNumId w:val="26"/>
  </w:num>
  <w:num w:numId="28" w16cid:durableId="1200123690">
    <w:abstractNumId w:val="20"/>
  </w:num>
  <w:num w:numId="29" w16cid:durableId="27680529">
    <w:abstractNumId w:val="33"/>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7"/>
  </w:num>
  <w:num w:numId="41" w16cid:durableId="1634939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474AF"/>
    <w:rsid w:val="0006340C"/>
    <w:rsid w:val="00066CF7"/>
    <w:rsid w:val="00084611"/>
    <w:rsid w:val="00087207"/>
    <w:rsid w:val="00091CB4"/>
    <w:rsid w:val="000963CD"/>
    <w:rsid w:val="000C11CD"/>
    <w:rsid w:val="000C18ED"/>
    <w:rsid w:val="000D7A6E"/>
    <w:rsid w:val="000D7F55"/>
    <w:rsid w:val="000E10CD"/>
    <w:rsid w:val="00117296"/>
    <w:rsid w:val="00152E9A"/>
    <w:rsid w:val="00155404"/>
    <w:rsid w:val="00155C7C"/>
    <w:rsid w:val="0017140E"/>
    <w:rsid w:val="001B4C3C"/>
    <w:rsid w:val="001C0A56"/>
    <w:rsid w:val="001C1A56"/>
    <w:rsid w:val="001D3FF0"/>
    <w:rsid w:val="002006E6"/>
    <w:rsid w:val="002329BE"/>
    <w:rsid w:val="00275489"/>
    <w:rsid w:val="00294239"/>
    <w:rsid w:val="0029708C"/>
    <w:rsid w:val="002B3433"/>
    <w:rsid w:val="0032281B"/>
    <w:rsid w:val="00327960"/>
    <w:rsid w:val="00336AD9"/>
    <w:rsid w:val="00342D9B"/>
    <w:rsid w:val="003716C7"/>
    <w:rsid w:val="00386EA6"/>
    <w:rsid w:val="003A27E9"/>
    <w:rsid w:val="003D1828"/>
    <w:rsid w:val="0040108E"/>
    <w:rsid w:val="004036BF"/>
    <w:rsid w:val="004114BB"/>
    <w:rsid w:val="0043189E"/>
    <w:rsid w:val="00446E05"/>
    <w:rsid w:val="00473B7E"/>
    <w:rsid w:val="00477517"/>
    <w:rsid w:val="004A1997"/>
    <w:rsid w:val="004C3281"/>
    <w:rsid w:val="004D3AEE"/>
    <w:rsid w:val="004D4A5D"/>
    <w:rsid w:val="004E735C"/>
    <w:rsid w:val="00507B74"/>
    <w:rsid w:val="00512790"/>
    <w:rsid w:val="005162C5"/>
    <w:rsid w:val="00557A3D"/>
    <w:rsid w:val="005820FB"/>
    <w:rsid w:val="005935DB"/>
    <w:rsid w:val="005D4364"/>
    <w:rsid w:val="005E0F80"/>
    <w:rsid w:val="005F1495"/>
    <w:rsid w:val="00635CF0"/>
    <w:rsid w:val="0067083F"/>
    <w:rsid w:val="006800D9"/>
    <w:rsid w:val="006B4571"/>
    <w:rsid w:val="006C3319"/>
    <w:rsid w:val="006C484F"/>
    <w:rsid w:val="006E2817"/>
    <w:rsid w:val="00720CAA"/>
    <w:rsid w:val="007279F1"/>
    <w:rsid w:val="00794760"/>
    <w:rsid w:val="007D4B9D"/>
    <w:rsid w:val="007F75DC"/>
    <w:rsid w:val="00807E4C"/>
    <w:rsid w:val="00843D21"/>
    <w:rsid w:val="00853C49"/>
    <w:rsid w:val="008619E2"/>
    <w:rsid w:val="00861B71"/>
    <w:rsid w:val="008636E6"/>
    <w:rsid w:val="00867FBE"/>
    <w:rsid w:val="008F0A75"/>
    <w:rsid w:val="008F5148"/>
    <w:rsid w:val="0090533A"/>
    <w:rsid w:val="00910707"/>
    <w:rsid w:val="00915A95"/>
    <w:rsid w:val="00921561"/>
    <w:rsid w:val="00930037"/>
    <w:rsid w:val="00943538"/>
    <w:rsid w:val="009539A5"/>
    <w:rsid w:val="009553CE"/>
    <w:rsid w:val="009B51D0"/>
    <w:rsid w:val="009F3C9D"/>
    <w:rsid w:val="00A208C6"/>
    <w:rsid w:val="00A32200"/>
    <w:rsid w:val="00A5506B"/>
    <w:rsid w:val="00A573A5"/>
    <w:rsid w:val="00A615E0"/>
    <w:rsid w:val="00AB2F84"/>
    <w:rsid w:val="00AB7750"/>
    <w:rsid w:val="00AC1780"/>
    <w:rsid w:val="00AD5F70"/>
    <w:rsid w:val="00B02AE5"/>
    <w:rsid w:val="00B12F43"/>
    <w:rsid w:val="00B21EEE"/>
    <w:rsid w:val="00B22472"/>
    <w:rsid w:val="00B33D75"/>
    <w:rsid w:val="00B5310E"/>
    <w:rsid w:val="00B7562D"/>
    <w:rsid w:val="00B97F37"/>
    <w:rsid w:val="00BB0675"/>
    <w:rsid w:val="00BC687C"/>
    <w:rsid w:val="00BD46F4"/>
    <w:rsid w:val="00C509F6"/>
    <w:rsid w:val="00C7010F"/>
    <w:rsid w:val="00C76B6E"/>
    <w:rsid w:val="00C902DF"/>
    <w:rsid w:val="00C92191"/>
    <w:rsid w:val="00C97242"/>
    <w:rsid w:val="00CD76AA"/>
    <w:rsid w:val="00CD79CF"/>
    <w:rsid w:val="00CF4C86"/>
    <w:rsid w:val="00D04307"/>
    <w:rsid w:val="00D06FE8"/>
    <w:rsid w:val="00D17681"/>
    <w:rsid w:val="00D23F07"/>
    <w:rsid w:val="00D4703F"/>
    <w:rsid w:val="00D61348"/>
    <w:rsid w:val="00D63C18"/>
    <w:rsid w:val="00D65435"/>
    <w:rsid w:val="00D916E6"/>
    <w:rsid w:val="00DB316A"/>
    <w:rsid w:val="00DC4AF3"/>
    <w:rsid w:val="00DD54E5"/>
    <w:rsid w:val="00DD57AF"/>
    <w:rsid w:val="00E138BA"/>
    <w:rsid w:val="00E14DC7"/>
    <w:rsid w:val="00E51EA8"/>
    <w:rsid w:val="00E54024"/>
    <w:rsid w:val="00E568E6"/>
    <w:rsid w:val="00EA3EB2"/>
    <w:rsid w:val="00EC0ED6"/>
    <w:rsid w:val="00EC26CD"/>
    <w:rsid w:val="00ED3B04"/>
    <w:rsid w:val="00F1653C"/>
    <w:rsid w:val="00F2752E"/>
    <w:rsid w:val="00F36095"/>
    <w:rsid w:val="00F37270"/>
    <w:rsid w:val="00F65681"/>
    <w:rsid w:val="00F815C6"/>
    <w:rsid w:val="00FA3727"/>
    <w:rsid w:val="00FB15FB"/>
    <w:rsid w:val="00FF4E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customStyle="1" w:styleId="Normaltext">
    <w:name w:val="Normal text"/>
    <w:basedOn w:val="Normal"/>
    <w:link w:val="NormaltextChar"/>
    <w:qFormat/>
    <w:rsid w:val="00557A3D"/>
    <w:rPr>
      <w:shd w:val="clear" w:color="auto" w:fill="FFFFFF"/>
    </w:rPr>
  </w:style>
  <w:style w:type="character" w:customStyle="1" w:styleId="NormaltextChar">
    <w:name w:val="Normal text Char"/>
    <w:basedOn w:val="DefaultParagraphFont"/>
    <w:link w:val="Normaltext"/>
    <w:rsid w:val="00557A3D"/>
    <w:rPr>
      <w:rFonts w:eastAsia="Calibri" w:cs="Calibri"/>
      <w:color w:val="000000"/>
      <w:sz w:val="22"/>
      <w:szCs w:val="24"/>
      <w:lang w:eastAsia="en-US"/>
    </w:rPr>
  </w:style>
  <w:style w:type="character" w:styleId="UnresolvedMention">
    <w:name w:val="Unresolved Mention"/>
    <w:basedOn w:val="DefaultParagraphFont"/>
    <w:uiPriority w:val="99"/>
    <w:semiHidden/>
    <w:unhideWhenUsed/>
    <w:rsid w:val="00807E4C"/>
    <w:rPr>
      <w:color w:val="605E5C"/>
      <w:shd w:val="clear" w:color="auto" w:fill="E1DFDD"/>
    </w:rPr>
  </w:style>
  <w:style w:type="character" w:styleId="FollowedHyperlink">
    <w:name w:val="FollowedHyperlink"/>
    <w:basedOn w:val="DefaultParagraphFont"/>
    <w:uiPriority w:val="99"/>
    <w:semiHidden/>
    <w:unhideWhenUsed/>
    <w:rsid w:val="00B7562D"/>
    <w:rPr>
      <w:color w:val="954F72" w:themeColor="followedHyperlink"/>
      <w:u w:val="single"/>
    </w:rPr>
  </w:style>
  <w:style w:type="character" w:styleId="CommentReference">
    <w:name w:val="annotation reference"/>
    <w:basedOn w:val="DefaultParagraphFont"/>
    <w:uiPriority w:val="99"/>
    <w:semiHidden/>
    <w:unhideWhenUsed/>
    <w:rsid w:val="00D916E6"/>
    <w:rPr>
      <w:sz w:val="16"/>
      <w:szCs w:val="16"/>
    </w:rPr>
  </w:style>
  <w:style w:type="paragraph" w:styleId="CommentText">
    <w:name w:val="annotation text"/>
    <w:basedOn w:val="Normal"/>
    <w:link w:val="CommentTextChar"/>
    <w:uiPriority w:val="99"/>
    <w:unhideWhenUsed/>
    <w:rsid w:val="00D916E6"/>
    <w:pPr>
      <w:spacing w:line="240" w:lineRule="auto"/>
    </w:pPr>
    <w:rPr>
      <w:sz w:val="20"/>
      <w:szCs w:val="20"/>
    </w:rPr>
  </w:style>
  <w:style w:type="character" w:customStyle="1" w:styleId="CommentTextChar">
    <w:name w:val="Comment Text Char"/>
    <w:basedOn w:val="DefaultParagraphFont"/>
    <w:link w:val="CommentText"/>
    <w:uiPriority w:val="99"/>
    <w:rsid w:val="00D916E6"/>
    <w:rPr>
      <w:rFonts w:eastAsia="Calibri" w:cs="Calibri"/>
      <w:color w:val="000000"/>
      <w:lang w:eastAsia="en-US"/>
    </w:rPr>
  </w:style>
  <w:style w:type="paragraph" w:styleId="CommentSubject">
    <w:name w:val="annotation subject"/>
    <w:basedOn w:val="CommentText"/>
    <w:next w:val="CommentText"/>
    <w:link w:val="CommentSubjectChar"/>
    <w:uiPriority w:val="99"/>
    <w:semiHidden/>
    <w:unhideWhenUsed/>
    <w:rsid w:val="00D916E6"/>
    <w:rPr>
      <w:b/>
      <w:bCs/>
    </w:rPr>
  </w:style>
  <w:style w:type="character" w:customStyle="1" w:styleId="CommentSubjectChar">
    <w:name w:val="Comment Subject Char"/>
    <w:basedOn w:val="CommentTextChar"/>
    <w:link w:val="CommentSubject"/>
    <w:uiPriority w:val="99"/>
    <w:semiHidden/>
    <w:rsid w:val="00D916E6"/>
    <w:rPr>
      <w:rFonts w:eastAsia="Calibri" w:cs="Calibri"/>
      <w:b/>
      <w:bCs/>
      <w:color w:val="000000"/>
      <w:lang w:eastAsia="en-US"/>
    </w:rPr>
  </w:style>
  <w:style w:type="character" w:styleId="Mention">
    <w:name w:val="Mention"/>
    <w:basedOn w:val="DefaultParagraphFont"/>
    <w:uiPriority w:val="99"/>
    <w:unhideWhenUsed/>
    <w:rsid w:val="00D916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065265">
      <w:bodyDiv w:val="1"/>
      <w:marLeft w:val="0"/>
      <w:marRight w:val="0"/>
      <w:marTop w:val="0"/>
      <w:marBottom w:val="0"/>
      <w:divBdr>
        <w:top w:val="none" w:sz="0" w:space="0" w:color="auto"/>
        <w:left w:val="none" w:sz="0" w:space="0" w:color="auto"/>
        <w:bottom w:val="none" w:sz="0" w:space="0" w:color="auto"/>
        <w:right w:val="none" w:sz="0" w:space="0" w:color="auto"/>
      </w:divBdr>
    </w:div>
    <w:div w:id="965811425">
      <w:bodyDiv w:val="1"/>
      <w:marLeft w:val="0"/>
      <w:marRight w:val="0"/>
      <w:marTop w:val="0"/>
      <w:marBottom w:val="0"/>
      <w:divBdr>
        <w:top w:val="none" w:sz="0" w:space="0" w:color="auto"/>
        <w:left w:val="none" w:sz="0" w:space="0" w:color="auto"/>
        <w:bottom w:val="none" w:sz="0" w:space="0" w:color="auto"/>
        <w:right w:val="none" w:sz="0" w:space="0" w:color="auto"/>
      </w:divBdr>
    </w:div>
    <w:div w:id="994065472">
      <w:bodyDiv w:val="1"/>
      <w:marLeft w:val="0"/>
      <w:marRight w:val="0"/>
      <w:marTop w:val="0"/>
      <w:marBottom w:val="0"/>
      <w:divBdr>
        <w:top w:val="none" w:sz="0" w:space="0" w:color="auto"/>
        <w:left w:val="none" w:sz="0" w:space="0" w:color="auto"/>
        <w:bottom w:val="none" w:sz="0" w:space="0" w:color="auto"/>
        <w:right w:val="none" w:sz="0" w:space="0" w:color="auto"/>
      </w:divBdr>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200237587">
      <w:bodyDiv w:val="1"/>
      <w:marLeft w:val="0"/>
      <w:marRight w:val="0"/>
      <w:marTop w:val="0"/>
      <w:marBottom w:val="0"/>
      <w:divBdr>
        <w:top w:val="none" w:sz="0" w:space="0" w:color="auto"/>
        <w:left w:val="none" w:sz="0" w:space="0" w:color="auto"/>
        <w:bottom w:val="none" w:sz="0" w:space="0" w:color="auto"/>
        <w:right w:val="none" w:sz="0" w:space="0" w:color="auto"/>
      </w:divBdr>
    </w:div>
    <w:div w:id="1736197629">
      <w:bodyDiv w:val="1"/>
      <w:marLeft w:val="0"/>
      <w:marRight w:val="0"/>
      <w:marTop w:val="0"/>
      <w:marBottom w:val="0"/>
      <w:divBdr>
        <w:top w:val="none" w:sz="0" w:space="0" w:color="auto"/>
        <w:left w:val="none" w:sz="0" w:space="0" w:color="auto"/>
        <w:bottom w:val="none" w:sz="0" w:space="0" w:color="auto"/>
        <w:right w:val="none" w:sz="0" w:space="0" w:color="auto"/>
      </w:divBdr>
    </w:div>
    <w:div w:id="202409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cogniti.sydney.edu.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sites.google.com/view/aiineducationcommunity/h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uggingface.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249B9A985D84A448CD8B587D57AE042" ma:contentTypeVersion="18" ma:contentTypeDescription="Create a new document." ma:contentTypeScope="" ma:versionID="e84508ef504b56ee094f9f90acf66497">
  <xsd:schema xmlns:xsd="http://www.w3.org/2001/XMLSchema" xmlns:xs="http://www.w3.org/2001/XMLSchema" xmlns:p="http://schemas.microsoft.com/office/2006/metadata/properties" xmlns:ns2="39b911ad-f763-438a-8391-238d7963d2e3" xmlns:ns3="bf6ff20c-b54e-4d91-aab0-4d087600a393" targetNamespace="http://schemas.microsoft.com/office/2006/metadata/properties" ma:root="true" ma:fieldsID="d0e41812e512377d19ac517d17eafba0" ns2:_="" ns3:_="">
    <xsd:import namespace="39b911ad-f763-438a-8391-238d7963d2e3"/>
    <xsd:import namespace="bf6ff20c-b54e-4d91-aab0-4d087600a3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911ad-f763-438a-8391-238d7963d2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ff20c-b54e-4d91-aab0-4d087600a3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9efd07c-4033-4796-9db1-7180c86dafa3}" ma:internalName="TaxCatchAll" ma:showField="CatchAllData" ma:web="bf6ff20c-b54e-4d91-aab0-4d087600a3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6ff20c-b54e-4d91-aab0-4d087600a393" xsi:nil="true"/>
    <lcf76f155ced4ddcb4097134ff3c332f xmlns="39b911ad-f763-438a-8391-238d7963d2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customXml/itemProps2.xml><?xml version="1.0" encoding="utf-8"?>
<ds:datastoreItem xmlns:ds="http://schemas.openxmlformats.org/officeDocument/2006/customXml" ds:itemID="{50A50161-C667-42A5-B188-21F7B2896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911ad-f763-438a-8391-238d7963d2e3"/>
    <ds:schemaRef ds:uri="bf6ff20c-b54e-4d91-aab0-4d087600a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D5FD1-D0BC-4908-9235-6566798EF8A5}">
  <ds:schemaRefs>
    <ds:schemaRef ds:uri="http://schemas.microsoft.com/sharepoint/v3/contenttype/forms"/>
  </ds:schemaRefs>
</ds:datastoreItem>
</file>

<file path=customXml/itemProps4.xml><?xml version="1.0" encoding="utf-8"?>
<ds:datastoreItem xmlns:ds="http://schemas.openxmlformats.org/officeDocument/2006/customXml" ds:itemID="{7D9F46AF-B861-4384-9648-14B8D07E3CB6}">
  <ds:schemaRefs>
    <ds:schemaRef ds:uri="http://schemas.microsoft.com/office/2006/metadata/properties"/>
    <ds:schemaRef ds:uri="http://schemas.microsoft.com/office/infopath/2007/PartnerControls"/>
    <ds:schemaRef ds:uri="bf6ff20c-b54e-4d91-aab0-4d087600a393"/>
    <ds:schemaRef ds:uri="39b911ad-f763-438a-8391-238d7963d2e3"/>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9</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18</cp:revision>
  <cp:lastPrinted>2018-04-13T01:20:00Z</cp:lastPrinted>
  <dcterms:created xsi:type="dcterms:W3CDTF">2025-12-01T22:20:00Z</dcterms:created>
  <dcterms:modified xsi:type="dcterms:W3CDTF">2025-12-15T02:30:00Z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y fmtid="{D5CDD505-2E9C-101B-9397-08002B2CF9AE}" pid="10" name="ContentTypeId">
    <vt:lpwstr>0x010100F249B9A985D84A448CD8B587D57AE042</vt:lpwstr>
  </property>
  <property fmtid="{D5CDD505-2E9C-101B-9397-08002B2CF9AE}" pid="11" name="MediaServiceImageTags">
    <vt:lpwstr/>
  </property>
</Properties>
</file>