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721862A3" w:rsidR="00ED3B04" w:rsidRPr="001450C0" w:rsidRDefault="005F1846" w:rsidP="00910707">
      <w:pPr>
        <w:pStyle w:val="Pre-Title"/>
        <w:spacing w:after="1320"/>
      </w:pPr>
      <w:r>
        <w:t>2025</w:t>
      </w:r>
      <w:r w:rsidR="00910707">
        <w:t xml:space="preserve"> </w:t>
      </w:r>
      <w:r w:rsidR="00ED3B04" w:rsidRPr="001450C0">
        <w:t xml:space="preserve">Premier’s </w:t>
      </w:r>
      <w:r>
        <w:t xml:space="preserve">Inclusive Education </w:t>
      </w:r>
      <w:r w:rsidR="00ED3B04" w:rsidRPr="001450C0">
        <w:t>Scholarship</w:t>
      </w:r>
    </w:p>
    <w:p w14:paraId="0011C0C3" w14:textId="6FDD5719" w:rsidR="00ED3B04" w:rsidRPr="00C509F6" w:rsidRDefault="005F1846" w:rsidP="00C509F6">
      <w:pPr>
        <w:pStyle w:val="Title"/>
      </w:pPr>
      <w:r>
        <w:t>Nurturing potential</w:t>
      </w:r>
    </w:p>
    <w:p w14:paraId="441CB682" w14:textId="4546DC41" w:rsidR="00ED3B04" w:rsidRPr="001450C0" w:rsidRDefault="005F1846" w:rsidP="00ED3B04">
      <w:pPr>
        <w:pStyle w:val="Subtitle"/>
        <w:rPr>
          <w:rFonts w:eastAsia="Tahoma"/>
        </w:rPr>
      </w:pPr>
      <w:r>
        <w:rPr>
          <w:rFonts w:eastAsia="Tahoma"/>
        </w:rPr>
        <w:t>Lifting outcomes for high potential and gifted students in low socio-economic classrooms</w:t>
      </w:r>
    </w:p>
    <w:p w14:paraId="1C925F83" w14:textId="172D3C2D" w:rsidR="00ED3B04" w:rsidRPr="00943538" w:rsidRDefault="005F1846" w:rsidP="00910707">
      <w:pPr>
        <w:pStyle w:val="Author"/>
        <w:spacing w:before="1320"/>
      </w:pPr>
      <w:r>
        <w:t>Julia Scott</w:t>
      </w:r>
    </w:p>
    <w:p w14:paraId="3666F43D" w14:textId="00F0D81F" w:rsidR="00ED3B04" w:rsidRDefault="005F1846" w:rsidP="00910707">
      <w:pPr>
        <w:spacing w:after="0"/>
      </w:pPr>
      <w:r>
        <w:t>Lake Illawarra High School</w:t>
      </w:r>
    </w:p>
    <w:p w14:paraId="26B4A539" w14:textId="7994AF44" w:rsidR="00ED3B04" w:rsidRDefault="00ED3B04" w:rsidP="00910707">
      <w:pPr>
        <w:pStyle w:val="Sponsor"/>
        <w:spacing w:before="1320"/>
      </w:pPr>
      <w:r w:rsidRPr="001450C0">
        <w:t>Sponsored by</w:t>
      </w:r>
      <w:r w:rsidR="00FA3727">
        <w:t xml:space="preserve"> </w:t>
      </w:r>
      <w:r w:rsidR="005F1846">
        <w:t>NSW Government</w:t>
      </w:r>
    </w:p>
    <w:p w14:paraId="7B33461C" w14:textId="3936F010" w:rsidR="00EC0ED6" w:rsidRDefault="005F1846" w:rsidP="000255B4">
      <w:r w:rsidRPr="007E6F0F">
        <w:rPr>
          <w:noProof/>
          <w:lang w:eastAsia="en-AU"/>
        </w:rPr>
        <w:drawing>
          <wp:inline distT="0" distB="0" distL="0" distR="0" wp14:anchorId="6758184A" wp14:editId="39A8AAAC">
            <wp:extent cx="1430020" cy="508636"/>
            <wp:effectExtent l="0" t="0" r="0" b="5715"/>
            <wp:docPr id="3146971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30020" cy="508636"/>
                    </a:xfrm>
                    <a:prstGeom prst="rect">
                      <a:avLst/>
                    </a:prstGeom>
                    <a:noFill/>
                    <a:ln>
                      <a:noFill/>
                    </a:ln>
                  </pic:spPr>
                </pic:pic>
              </a:graphicData>
            </a:graphic>
          </wp:inline>
        </w:drawing>
      </w:r>
    </w:p>
    <w:p w14:paraId="7915882B" w14:textId="272AC739" w:rsidR="00F1653C" w:rsidRPr="00EC0ED6" w:rsidRDefault="00F1653C" w:rsidP="000255B4">
      <w:pPr>
        <w:sectPr w:rsidR="00F1653C" w:rsidRPr="00EC0ED6"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49545C6C" w14:textId="77777777" w:rsidR="005F1846" w:rsidRPr="005F1846" w:rsidRDefault="005F1846" w:rsidP="005F1846">
      <w:pPr>
        <w:pStyle w:val="Quote"/>
        <w:rPr>
          <w:shd w:val="clear" w:color="auto" w:fill="FFFFFF"/>
        </w:rPr>
      </w:pPr>
      <w:r w:rsidRPr="005F1846">
        <w:rPr>
          <w:shd w:val="clear" w:color="auto" w:fill="FFFFFF"/>
        </w:rPr>
        <w:t>‘A rising tide lifts all ships.’ – Dr Joseph Renzulli</w:t>
      </w:r>
    </w:p>
    <w:p w14:paraId="446A67BC" w14:textId="687128FF" w:rsidR="005F1846" w:rsidRPr="007E6F0F" w:rsidRDefault="005F1846" w:rsidP="005F1846">
      <w:r w:rsidRPr="007E6F0F">
        <w:t>The year 2025 marks a decisive moment for gifted education in New South Wales</w:t>
      </w:r>
      <w:r>
        <w:t xml:space="preserve"> (NSW)</w:t>
      </w:r>
      <w:r w:rsidRPr="007E6F0F">
        <w:t xml:space="preserve"> public schools. The High Potential and Gifted Education (HPGE) Policy (2021), entered a new implementation phase, requiring every public school to establish HPGE opportunities and provisions for their students. This represents a major cultural shift toward viewing giftedness as a fundamental right to appropriate educational challenge, rather than a privilege to be offered where possible. Built upon Gagné’s Differentiated Model of Giftedness and Talent (DMGT) (2009), the policy</w:t>
      </w:r>
      <w:r w:rsidR="002A0E5B">
        <w:t xml:space="preserve"> </w:t>
      </w:r>
      <w:r w:rsidRPr="007E6F0F">
        <w:t>aim</w:t>
      </w:r>
      <w:r w:rsidR="002A0E5B">
        <w:t xml:space="preserve">s </w:t>
      </w:r>
      <w:r w:rsidRPr="007E6F0F">
        <w:t>to ensure that all learners across the intellectual, creative, social-emotional, and physical domains, are recognised and supported to reach their potential.</w:t>
      </w:r>
    </w:p>
    <w:p w14:paraId="411A8298" w14:textId="77777777" w:rsidR="005F1846" w:rsidRPr="007E6F0F" w:rsidRDefault="005F1846" w:rsidP="005F1846">
      <w:r w:rsidRPr="007E6F0F">
        <w:t>Despite this progress, schools serving low socio-economic communities remain under-represented in gifted education research and practice. In low-SES communities, limited resources, competing demands, and a lack of teacher training often obscure the potential of students whose abilities remain unseen; essentially, gifted education remains least accessible in the very schools where it could make the greatest difference. As N</w:t>
      </w:r>
      <w:r>
        <w:t xml:space="preserve">SW </w:t>
      </w:r>
      <w:r w:rsidRPr="007E6F0F">
        <w:t>public schools enter the next phase of system-wide implementation, a pressing question emerges: how can inclusive, context-responsive models of gifted education be embedded sustainably within our most vulnerable communities?</w:t>
      </w:r>
    </w:p>
    <w:p w14:paraId="3110DF41" w14:textId="32A85187" w:rsidR="005F1846" w:rsidRPr="007E6F0F" w:rsidRDefault="005F1846" w:rsidP="005F1846">
      <w:r w:rsidRPr="007E6F0F">
        <w:t xml:space="preserve">To explore this question, I undertook a five-week international study tour across the </w:t>
      </w:r>
      <w:r w:rsidR="00D947AC">
        <w:t>United States</w:t>
      </w:r>
      <w:r w:rsidR="002A0E5B">
        <w:t xml:space="preserve"> (US)</w:t>
      </w:r>
      <w:r w:rsidRPr="007E6F0F">
        <w:t>, examining diverse models of identification, curriculum differentiation, socio-emotional support, and teacher professional learning in gifted education. The U</w:t>
      </w:r>
      <w:r w:rsidR="002A0E5B">
        <w:t xml:space="preserve">S </w:t>
      </w:r>
      <w:r w:rsidRPr="007E6F0F">
        <w:t xml:space="preserve">provides a valuable comparative context. It is home to many of the field’s leading scholars and yet operates without a national mandate for gifted education. State-by-state variation evidenced how different policy and funding structures shape practice, providing </w:t>
      </w:r>
      <w:proofErr w:type="gramStart"/>
      <w:r w:rsidRPr="007E6F0F">
        <w:t>a number of</w:t>
      </w:r>
      <w:proofErr w:type="gramEnd"/>
      <w:r w:rsidRPr="007E6F0F">
        <w:t xml:space="preserve"> models to consider in a N</w:t>
      </w:r>
      <w:r>
        <w:t xml:space="preserve">SW </w:t>
      </w:r>
      <w:r w:rsidRPr="007E6F0F">
        <w:t>context.</w:t>
      </w:r>
    </w:p>
    <w:p w14:paraId="56C89290" w14:textId="05595304" w:rsidR="005F1846" w:rsidRDefault="005F1846" w:rsidP="00ED3B04">
      <w:r w:rsidRPr="007E6F0F">
        <w:t xml:space="preserve">Through site visits, classroom observations, conferences, and interviews with researchers including field experts, the study examined practical strategies for nurturing giftedness within inclusive school systems. This report synthesises the findings through thematic analysis and concludes by outlining how Renzulli’s Schoolwide Enrichment Model (SEM) can be integrated with Gagné’s DMGT to create a sustainable model for equitable gifted education in </w:t>
      </w:r>
      <w:r>
        <w:t>low-socioeconomic</w:t>
      </w:r>
      <w:r w:rsidRPr="007E6F0F">
        <w:t xml:space="preserve"> </w:t>
      </w:r>
      <w:r>
        <w:t xml:space="preserve">NSW </w:t>
      </w:r>
      <w:r w:rsidRPr="007E6F0F">
        <w:t>schools.</w:t>
      </w:r>
    </w:p>
    <w:p w14:paraId="7BD98AC6" w14:textId="77777777" w:rsidR="00ED3B04" w:rsidRPr="00ED3B04" w:rsidRDefault="005935DB" w:rsidP="00ED3B04">
      <w:pPr>
        <w:pStyle w:val="Heading1"/>
      </w:pPr>
      <w:r>
        <w:t>Focus of Study</w:t>
      </w:r>
    </w:p>
    <w:p w14:paraId="0A2C313F" w14:textId="77777777" w:rsidR="005F1846" w:rsidRPr="005F1846" w:rsidRDefault="005F1846" w:rsidP="00F41988">
      <w:pPr>
        <w:spacing w:after="120"/>
        <w:rPr>
          <w:shd w:val="clear" w:color="auto" w:fill="FFFFFF"/>
        </w:rPr>
      </w:pPr>
      <w:r w:rsidRPr="005F1846">
        <w:rPr>
          <w:shd w:val="clear" w:color="auto" w:fill="FFFFFF"/>
        </w:rPr>
        <w:t>This study set out to investigate how schools can design equitable and sustainable gifted education within diverse contexts, focusing on the needs of comprehensive, low-SES schools in NSW. Five interrelated themes emerged through thematic analysis:</w:t>
      </w:r>
    </w:p>
    <w:p w14:paraId="5C6A073D" w14:textId="77777777" w:rsidR="005F1846" w:rsidRPr="005F1846" w:rsidRDefault="005F1846" w:rsidP="005F1846">
      <w:pPr>
        <w:pStyle w:val="ListParagraph"/>
        <w:numPr>
          <w:ilvl w:val="0"/>
          <w:numId w:val="28"/>
        </w:numPr>
        <w:ind w:left="511" w:hanging="284"/>
        <w:rPr>
          <w:highlight w:val="white"/>
        </w:rPr>
      </w:pPr>
      <w:r w:rsidRPr="005F1846">
        <w:rPr>
          <w:b/>
          <w:bCs/>
          <w:highlight w:val="white"/>
        </w:rPr>
        <w:t>Identification and equity:</w:t>
      </w:r>
      <w:r w:rsidRPr="005F1846">
        <w:rPr>
          <w:highlight w:val="white"/>
        </w:rPr>
        <w:t xml:space="preserve"> Recognising diverse forms of high potential to reduce under-representation of disadvantaged groups</w:t>
      </w:r>
    </w:p>
    <w:p w14:paraId="6AA4A8B1" w14:textId="77777777" w:rsidR="005F1846" w:rsidRPr="005F1846" w:rsidRDefault="005F1846" w:rsidP="005F1846">
      <w:pPr>
        <w:pStyle w:val="ListParagraph"/>
        <w:numPr>
          <w:ilvl w:val="0"/>
          <w:numId w:val="28"/>
        </w:numPr>
        <w:ind w:left="511" w:hanging="284"/>
        <w:rPr>
          <w:highlight w:val="white"/>
        </w:rPr>
      </w:pPr>
      <w:r w:rsidRPr="005F1846">
        <w:rPr>
          <w:b/>
          <w:bCs/>
          <w:highlight w:val="white"/>
        </w:rPr>
        <w:t>Curriculum differentiation and grouping:</w:t>
      </w:r>
      <w:r w:rsidRPr="005F1846">
        <w:rPr>
          <w:highlight w:val="white"/>
        </w:rPr>
        <w:t xml:space="preserve"> How teaching and learning structures develop appropriate challenge and depth</w:t>
      </w:r>
    </w:p>
    <w:p w14:paraId="49E87FF7" w14:textId="77777777" w:rsidR="005F1846" w:rsidRPr="005F1846" w:rsidRDefault="005F1846" w:rsidP="005F1846">
      <w:pPr>
        <w:pStyle w:val="ListParagraph"/>
        <w:numPr>
          <w:ilvl w:val="0"/>
          <w:numId w:val="28"/>
        </w:numPr>
        <w:ind w:left="511" w:hanging="284"/>
        <w:rPr>
          <w:highlight w:val="white"/>
        </w:rPr>
      </w:pPr>
      <w:r w:rsidRPr="005F1846">
        <w:rPr>
          <w:b/>
          <w:bCs/>
          <w:highlight w:val="white"/>
        </w:rPr>
        <w:t>Strength-based learning and creativity:</w:t>
      </w:r>
      <w:r w:rsidRPr="005F1846">
        <w:rPr>
          <w:highlight w:val="white"/>
        </w:rPr>
        <w:t xml:space="preserve"> How strength-based and creative pedagogies re-engage gifted learners</w:t>
      </w:r>
    </w:p>
    <w:p w14:paraId="7782159F" w14:textId="77777777" w:rsidR="005F1846" w:rsidRPr="005F1846" w:rsidRDefault="005F1846" w:rsidP="005F1846">
      <w:pPr>
        <w:pStyle w:val="ListParagraph"/>
        <w:numPr>
          <w:ilvl w:val="0"/>
          <w:numId w:val="28"/>
        </w:numPr>
        <w:ind w:left="511" w:hanging="284"/>
        <w:rPr>
          <w:highlight w:val="white"/>
        </w:rPr>
      </w:pPr>
      <w:r w:rsidRPr="005F1846">
        <w:rPr>
          <w:b/>
          <w:bCs/>
          <w:highlight w:val="white"/>
        </w:rPr>
        <w:t>Socio-emotional wellbeing and twice-exceptionality:</w:t>
      </w:r>
      <w:r w:rsidRPr="005F1846">
        <w:rPr>
          <w:highlight w:val="white"/>
        </w:rPr>
        <w:t xml:space="preserve"> Asynchronous development and the complex needs of twice-exceptional students</w:t>
      </w:r>
    </w:p>
    <w:p w14:paraId="54846E5F" w14:textId="77777777" w:rsidR="005F1846" w:rsidRPr="005F1846" w:rsidRDefault="005F1846" w:rsidP="00F41988">
      <w:pPr>
        <w:pStyle w:val="ListParagraph"/>
        <w:numPr>
          <w:ilvl w:val="0"/>
          <w:numId w:val="28"/>
        </w:numPr>
        <w:spacing w:after="180"/>
        <w:ind w:left="511" w:hanging="284"/>
        <w:rPr>
          <w:highlight w:val="white"/>
        </w:rPr>
      </w:pPr>
      <w:r w:rsidRPr="005F1846">
        <w:rPr>
          <w:b/>
          <w:bCs/>
          <w:highlight w:val="white"/>
        </w:rPr>
        <w:lastRenderedPageBreak/>
        <w:t>Systemic support and teacher professional learning:</w:t>
      </w:r>
      <w:r w:rsidRPr="005F1846">
        <w:rPr>
          <w:highlight w:val="white"/>
        </w:rPr>
        <w:t xml:space="preserve"> How building leadership, policy, and resourcing sustain gifted education in practice</w:t>
      </w:r>
    </w:p>
    <w:p w14:paraId="778B04DB" w14:textId="3A649823" w:rsidR="005F1846" w:rsidRPr="005F1846" w:rsidRDefault="005F1846" w:rsidP="00F41988">
      <w:pPr>
        <w:spacing w:after="120"/>
        <w:rPr>
          <w:shd w:val="clear" w:color="auto" w:fill="FFFFFF"/>
        </w:rPr>
      </w:pPr>
      <w:r w:rsidRPr="005F1846">
        <w:rPr>
          <w:shd w:val="clear" w:color="auto" w:fill="FFFFFF"/>
        </w:rPr>
        <w:t xml:space="preserve">The research lens was comparative, by observing gifted education practices in different </w:t>
      </w:r>
      <w:r w:rsidR="00D947AC">
        <w:rPr>
          <w:shd w:val="clear" w:color="auto" w:fill="FFFFFF"/>
        </w:rPr>
        <w:t>US</w:t>
      </w:r>
      <w:r w:rsidRPr="005F1846">
        <w:rPr>
          <w:shd w:val="clear" w:color="auto" w:fill="FFFFFF"/>
        </w:rPr>
        <w:t xml:space="preserve"> policy contexts, the study sought to identify principles transferable to NSW public schools. The itinerary was structured around three policy contexts:</w:t>
      </w:r>
    </w:p>
    <w:p w14:paraId="2B46374D" w14:textId="77777777" w:rsidR="005F1846" w:rsidRPr="005F1846" w:rsidRDefault="005F1846" w:rsidP="005F1846">
      <w:pPr>
        <w:pStyle w:val="ListParagraph"/>
        <w:numPr>
          <w:ilvl w:val="0"/>
          <w:numId w:val="27"/>
        </w:numPr>
        <w:ind w:left="511" w:hanging="284"/>
      </w:pPr>
      <w:r w:rsidRPr="005F1846">
        <w:rPr>
          <w:b/>
          <w:bCs/>
        </w:rPr>
        <w:t>West Coast states</w:t>
      </w:r>
      <w:r w:rsidRPr="005F1846">
        <w:t xml:space="preserve"> – no statewide gifted mandate, where provision depends on local initiative (California, Nevada)</w:t>
      </w:r>
    </w:p>
    <w:p w14:paraId="3FC4549F" w14:textId="77777777" w:rsidR="005F1846" w:rsidRPr="005F1846" w:rsidRDefault="005F1846" w:rsidP="005F1846">
      <w:pPr>
        <w:pStyle w:val="ListParagraph"/>
        <w:numPr>
          <w:ilvl w:val="0"/>
          <w:numId w:val="27"/>
        </w:numPr>
        <w:ind w:left="511" w:hanging="284"/>
      </w:pPr>
      <w:r w:rsidRPr="005F1846">
        <w:rPr>
          <w:b/>
          <w:bCs/>
        </w:rPr>
        <w:t>Southern states</w:t>
      </w:r>
      <w:r w:rsidRPr="005F1846">
        <w:t xml:space="preserve"> – mandated identification and provision, with state-level accountability and funding (Texas, Louisiana, Kentucky, Georgia)</w:t>
      </w:r>
    </w:p>
    <w:p w14:paraId="69EF34D2" w14:textId="75A69CF6" w:rsidR="005F1846" w:rsidRPr="005F1846" w:rsidRDefault="00320BD5" w:rsidP="00F41988">
      <w:pPr>
        <w:pStyle w:val="ListParagraph"/>
        <w:numPr>
          <w:ilvl w:val="0"/>
          <w:numId w:val="27"/>
        </w:numPr>
        <w:spacing w:after="180"/>
        <w:ind w:left="511" w:hanging="284"/>
      </w:pPr>
      <w:r w:rsidRPr="007E6F0F">
        <w:rPr>
          <w:noProof/>
        </w:rPr>
        <w:drawing>
          <wp:anchor distT="0" distB="0" distL="114300" distR="114300" simplePos="0" relativeHeight="251658240" behindDoc="0" locked="0" layoutInCell="1" allowOverlap="1" wp14:anchorId="4E371F24" wp14:editId="30294D36">
            <wp:simplePos x="0" y="0"/>
            <wp:positionH relativeFrom="column">
              <wp:posOffset>764688</wp:posOffset>
            </wp:positionH>
            <wp:positionV relativeFrom="paragraph">
              <wp:posOffset>470914</wp:posOffset>
            </wp:positionV>
            <wp:extent cx="4476481" cy="3171825"/>
            <wp:effectExtent l="0" t="0" r="635" b="0"/>
            <wp:wrapTopAndBottom/>
            <wp:docPr id="8" name="Picture 8" descr="A diagram of Gagné’s Differentiated Model of Giftedness and Talent 2.0 showing process from high potential (natural abilities) to talent development to high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Gagné’s Differentiated Model of Giftedness and Talent 2.0 showing process from high potential (natural abilities) to talent development to high performa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481" cy="3171825"/>
                    </a:xfrm>
                    <a:prstGeom prst="rect">
                      <a:avLst/>
                    </a:prstGeom>
                    <a:noFill/>
                  </pic:spPr>
                </pic:pic>
              </a:graphicData>
            </a:graphic>
            <wp14:sizeRelH relativeFrom="page">
              <wp14:pctWidth>0</wp14:pctWidth>
            </wp14:sizeRelH>
            <wp14:sizeRelV relativeFrom="page">
              <wp14:pctHeight>0</wp14:pctHeight>
            </wp14:sizeRelV>
          </wp:anchor>
        </w:drawing>
      </w:r>
      <w:r w:rsidR="005F1846" w:rsidRPr="005F1846">
        <w:rPr>
          <w:b/>
          <w:bCs/>
        </w:rPr>
        <w:t>East Coast states</w:t>
      </w:r>
      <w:r w:rsidR="005F1846" w:rsidRPr="005F1846">
        <w:t xml:space="preserve"> – mandated identification but optional provision, prompting school-level innovation (Connecticut, New York)</w:t>
      </w:r>
    </w:p>
    <w:p w14:paraId="372E3373" w14:textId="125C2FE8" w:rsidR="005F1846" w:rsidRDefault="005F1846" w:rsidP="005F1846">
      <w:pPr>
        <w:rPr>
          <w:shd w:val="clear" w:color="auto" w:fill="FFFFFF"/>
        </w:rPr>
      </w:pPr>
    </w:p>
    <w:p w14:paraId="1E90171A" w14:textId="63AD87D9" w:rsidR="00FB15FB" w:rsidRPr="005F1846" w:rsidRDefault="005F1846" w:rsidP="005F184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0C79E5">
        <w:t xml:space="preserve">Gagné’s </w:t>
      </w:r>
      <w:r w:rsidRPr="007E6F0F">
        <w:t xml:space="preserve">Differentiated Model of Giftedness and Talent </w:t>
      </w:r>
      <w:r w:rsidRPr="000C79E5">
        <w:t>2.0, as adapted for NSW Public Schools (NSW DOE, 2025)</w:t>
      </w:r>
      <w:r w:rsidR="00B21EEE">
        <w:rPr>
          <w:shd w:val="clear" w:color="auto" w:fill="FFFFFF"/>
        </w:rPr>
        <w:t xml:space="preserve"> </w:t>
      </w:r>
    </w:p>
    <w:p w14:paraId="18D30A07" w14:textId="77777777" w:rsidR="00ED3B04" w:rsidRPr="00ED3B04" w:rsidRDefault="005935DB" w:rsidP="00943538">
      <w:pPr>
        <w:pStyle w:val="Heading1"/>
      </w:pPr>
      <w:r>
        <w:t>Significant Learning</w:t>
      </w:r>
    </w:p>
    <w:p w14:paraId="34BBD1AA" w14:textId="77777777" w:rsidR="005F1846" w:rsidRPr="005F1846" w:rsidRDefault="005F1846" w:rsidP="005F1846">
      <w:pPr>
        <w:pStyle w:val="Heading3"/>
      </w:pPr>
      <w:r w:rsidRPr="005F1846">
        <w:t>1. Identification and Equity</w:t>
      </w:r>
    </w:p>
    <w:p w14:paraId="246733F0" w14:textId="4E66DCC7" w:rsidR="005F1846" w:rsidRPr="005F1846" w:rsidRDefault="005F1846" w:rsidP="005F1846">
      <w:pPr>
        <w:rPr>
          <w:shd w:val="clear" w:color="auto" w:fill="FFFFFF"/>
        </w:rPr>
      </w:pPr>
      <w:r w:rsidRPr="005F1846">
        <w:rPr>
          <w:shd w:val="clear" w:color="auto" w:fill="FFFFFF"/>
        </w:rPr>
        <w:t>Effective identification is the cornerstone of equitable gifted education. Across the U</w:t>
      </w:r>
      <w:r w:rsidR="00D947AC">
        <w:rPr>
          <w:shd w:val="clear" w:color="auto" w:fill="FFFFFF"/>
        </w:rPr>
        <w:t>S</w:t>
      </w:r>
      <w:r w:rsidRPr="005F1846">
        <w:rPr>
          <w:shd w:val="clear" w:color="auto" w:fill="FFFFFF"/>
        </w:rPr>
        <w:t xml:space="preserve">, approaches to recognising high potential varied widely based on policy context, yet common practices emerged that reflect the field’s shift from fixed ability labels (the </w:t>
      </w:r>
      <w:r w:rsidRPr="005F1846">
        <w:rPr>
          <w:i/>
          <w:iCs/>
          <w:shd w:val="clear" w:color="auto" w:fill="FFFFFF"/>
        </w:rPr>
        <w:t>Gifted Child</w:t>
      </w:r>
      <w:r w:rsidRPr="005F1846">
        <w:rPr>
          <w:shd w:val="clear" w:color="auto" w:fill="FFFFFF"/>
        </w:rPr>
        <w:t xml:space="preserve"> paradigm) to talent development, which reflects current trends in academic literature on giftedness and gifted education. Rather than asking </w:t>
      </w:r>
      <w:r w:rsidR="00D947AC">
        <w:rPr>
          <w:shd w:val="clear" w:color="auto" w:fill="FFFFFF"/>
        </w:rPr>
        <w:t>‘</w:t>
      </w:r>
      <w:r w:rsidRPr="005F1846">
        <w:rPr>
          <w:i/>
          <w:iCs/>
          <w:shd w:val="clear" w:color="auto" w:fill="FFFFFF"/>
        </w:rPr>
        <w:t>who is gifted</w:t>
      </w:r>
      <w:r w:rsidR="00D947AC">
        <w:rPr>
          <w:i/>
          <w:iCs/>
          <w:shd w:val="clear" w:color="auto" w:fill="FFFFFF"/>
        </w:rPr>
        <w:t>’</w:t>
      </w:r>
      <w:r w:rsidRPr="005F1846">
        <w:rPr>
          <w:shd w:val="clear" w:color="auto" w:fill="FFFFFF"/>
        </w:rPr>
        <w:t xml:space="preserve">, schools are increasingly asking </w:t>
      </w:r>
      <w:r w:rsidR="00D947AC">
        <w:rPr>
          <w:shd w:val="clear" w:color="auto" w:fill="FFFFFF"/>
        </w:rPr>
        <w:t>‘</w:t>
      </w:r>
      <w:r w:rsidRPr="005F1846">
        <w:rPr>
          <w:i/>
          <w:iCs/>
          <w:shd w:val="clear" w:color="auto" w:fill="FFFFFF"/>
        </w:rPr>
        <w:t>what kind of gifted potential is present and what supports will allow the student to develop this into talent?</w:t>
      </w:r>
      <w:r w:rsidR="00D947AC">
        <w:rPr>
          <w:i/>
          <w:iCs/>
          <w:shd w:val="clear" w:color="auto" w:fill="FFFFFF"/>
        </w:rPr>
        <w:t>’</w:t>
      </w:r>
      <w:r w:rsidRPr="005F1846">
        <w:rPr>
          <w:shd w:val="clear" w:color="auto" w:fill="FFFFFF"/>
        </w:rPr>
        <w:t xml:space="preserve"> </w:t>
      </w:r>
    </w:p>
    <w:p w14:paraId="2640351D" w14:textId="739736D2" w:rsidR="005F1846" w:rsidRPr="005F1846" w:rsidRDefault="005F1846" w:rsidP="005F1846">
      <w:pPr>
        <w:spacing w:after="60"/>
        <w:rPr>
          <w:b/>
          <w:bCs/>
          <w:shd w:val="clear" w:color="auto" w:fill="FFFFFF"/>
        </w:rPr>
      </w:pPr>
      <w:r w:rsidRPr="005F1846">
        <w:rPr>
          <w:b/>
          <w:bCs/>
          <w:shd w:val="clear" w:color="auto" w:fill="FFFFFF"/>
        </w:rPr>
        <w:t xml:space="preserve">Multi-criteria and domain-specific identification </w:t>
      </w:r>
    </w:p>
    <w:p w14:paraId="0842527C" w14:textId="7033B7D2" w:rsidR="005F1846" w:rsidRPr="005F1846" w:rsidRDefault="005F1846" w:rsidP="005F1846">
      <w:pPr>
        <w:rPr>
          <w:shd w:val="clear" w:color="auto" w:fill="FFFFFF"/>
        </w:rPr>
      </w:pPr>
      <w:r w:rsidRPr="005F1846">
        <w:rPr>
          <w:shd w:val="clear" w:color="auto" w:fill="FFFFFF"/>
        </w:rPr>
        <w:t xml:space="preserve">Due to the mandatory identification and provision policy context, schools in the South are proactive in developing rigorous identification processes. At the Texas Association for the Gifted and </w:t>
      </w:r>
      <w:r w:rsidRPr="005F1846">
        <w:rPr>
          <w:shd w:val="clear" w:color="auto" w:fill="FFFFFF"/>
        </w:rPr>
        <w:lastRenderedPageBreak/>
        <w:t>Talented (TAGT) Leadership Conference, district leaders modelled robust, evidence-based frameworks that triangulate multiple data sources to capture diverse manifestations of ability. The more effective of these combined at least three indicators: cognitive ability, achievement, and creativity, supplemented by teacher, parent and student surveys (Highland Park District, Texas, uses the Cognitive Abilities Test (</w:t>
      </w:r>
      <w:proofErr w:type="spellStart"/>
      <w:r w:rsidRPr="005F1846">
        <w:rPr>
          <w:shd w:val="clear" w:color="auto" w:fill="FFFFFF"/>
        </w:rPr>
        <w:t>CogAT</w:t>
      </w:r>
      <w:proofErr w:type="spellEnd"/>
      <w:r w:rsidRPr="005F1846">
        <w:rPr>
          <w:shd w:val="clear" w:color="auto" w:fill="FFFFFF"/>
        </w:rPr>
        <w:t xml:space="preserve">), MAP Growth assessments and the Torrance Tests of Creative Thinking (TTCT) alongside socio-emotional rating scales to develop holistic learner profiles). Many districts are focused on combating disadvantage and the need to lift inclusion of Hispanic and </w:t>
      </w:r>
      <w:proofErr w:type="gramStart"/>
      <w:r w:rsidRPr="005F1846">
        <w:rPr>
          <w:shd w:val="clear" w:color="auto" w:fill="FFFFFF"/>
        </w:rPr>
        <w:t>African-American</w:t>
      </w:r>
      <w:proofErr w:type="gramEnd"/>
      <w:r w:rsidRPr="005F1846">
        <w:rPr>
          <w:shd w:val="clear" w:color="auto" w:fill="FFFFFF"/>
        </w:rPr>
        <w:t xml:space="preserve"> students within their gifted programmes. The Naglieri non-verbal test is a popular choice for this, with schools utilising it showing an admissions increase of students who struggle with literacy and/or traditional psychometric measures, helping mitigate linguistic and cultural bias in testing. TAGT presenters also emphasised identifying potential within specific domains rather than relying on traditional academic definitions of giftedness. Considering that Gagné’s DMGT is not in widespread use within the U</w:t>
      </w:r>
      <w:r w:rsidR="00D947AC">
        <w:rPr>
          <w:shd w:val="clear" w:color="auto" w:fill="FFFFFF"/>
        </w:rPr>
        <w:t>S</w:t>
      </w:r>
      <w:r w:rsidRPr="005F1846">
        <w:rPr>
          <w:shd w:val="clear" w:color="auto" w:fill="FFFFFF"/>
        </w:rPr>
        <w:t>, the Southern states’ move towards domain-based talent development holds promise for schools in NSW, who are beginning with this approach already embedded within practice.</w:t>
      </w:r>
    </w:p>
    <w:p w14:paraId="73631451" w14:textId="77777777" w:rsidR="005F1846" w:rsidRPr="005F1846" w:rsidRDefault="005F1846" w:rsidP="005F1846">
      <w:pPr>
        <w:spacing w:after="60"/>
        <w:rPr>
          <w:b/>
          <w:bCs/>
          <w:shd w:val="clear" w:color="auto" w:fill="FFFFFF"/>
        </w:rPr>
      </w:pPr>
      <w:r w:rsidRPr="005F1846">
        <w:rPr>
          <w:b/>
          <w:bCs/>
          <w:shd w:val="clear" w:color="auto" w:fill="FFFFFF"/>
        </w:rPr>
        <w:t>Local norms</w:t>
      </w:r>
    </w:p>
    <w:p w14:paraId="3B0F6D40" w14:textId="3BD882A8" w:rsidR="005F1846" w:rsidRPr="005F1846" w:rsidRDefault="005F1846" w:rsidP="005F1846">
      <w:pPr>
        <w:rPr>
          <w:shd w:val="clear" w:color="auto" w:fill="FFFFFF"/>
        </w:rPr>
      </w:pPr>
      <w:r w:rsidRPr="005F1846">
        <w:rPr>
          <w:shd w:val="clear" w:color="auto" w:fill="FFFFFF"/>
        </w:rPr>
        <w:t xml:space="preserve">Local norms are used to combat disadvantage and evaluate high performance across the </w:t>
      </w:r>
      <w:r w:rsidR="00D947AC">
        <w:rPr>
          <w:shd w:val="clear" w:color="auto" w:fill="FFFFFF"/>
        </w:rPr>
        <w:t>US</w:t>
      </w:r>
      <w:r w:rsidRPr="005F1846">
        <w:rPr>
          <w:shd w:val="clear" w:color="auto" w:fill="FFFFFF"/>
        </w:rPr>
        <w:t xml:space="preserve">. At Western Kentucky University (WKU), Dr Tyler Clark explained that schools which identify the top 10 per cent of students within their own cohort, rather than judging against national percentiles, saw participation amongst low-SES and minority learners in gifted programmes increase substantially - </w:t>
      </w:r>
      <w:r w:rsidRPr="005F1846">
        <w:rPr>
          <w:i/>
          <w:iCs/>
          <w:shd w:val="clear" w:color="auto" w:fill="FFFFFF"/>
        </w:rPr>
        <w:t>‘… you don’t bench your best players because you only want national-level athletes, you take the best talent you have.</w:t>
      </w:r>
      <w:r w:rsidRPr="005F1846">
        <w:rPr>
          <w:shd w:val="clear" w:color="auto" w:fill="FFFFFF"/>
        </w:rPr>
        <w:t>’ This approach, also endorsed by the TAGT, operationalises the principle of recognising potential within context by shifting the benchmark from competition to inclusion. Local norms recalibrate what excellence looks like in each community, accounting for disparities in resourcing, opportunity, and early exposure to enrichment. This practice addresses systemic under-representation of disadvantaged and culturally diverse students in gifted programmes and creates a more accurate reflection of latent talent across the population.</w:t>
      </w:r>
    </w:p>
    <w:p w14:paraId="0BAE2667" w14:textId="77777777" w:rsidR="005F1846" w:rsidRPr="005F1846" w:rsidRDefault="005F1846" w:rsidP="005F1846">
      <w:pPr>
        <w:spacing w:after="60"/>
        <w:rPr>
          <w:b/>
          <w:bCs/>
          <w:shd w:val="clear" w:color="auto" w:fill="FFFFFF"/>
        </w:rPr>
      </w:pPr>
      <w:r w:rsidRPr="005F1846">
        <w:rPr>
          <w:b/>
          <w:bCs/>
          <w:shd w:val="clear" w:color="auto" w:fill="FFFFFF"/>
        </w:rPr>
        <w:t>Teacher-led identification and formative observation</w:t>
      </w:r>
    </w:p>
    <w:p w14:paraId="3303E222" w14:textId="77777777" w:rsidR="005F1846" w:rsidRPr="005F1846" w:rsidRDefault="005F1846" w:rsidP="005F1846">
      <w:pPr>
        <w:rPr>
          <w:shd w:val="clear" w:color="auto" w:fill="FFFFFF"/>
        </w:rPr>
      </w:pPr>
      <w:r w:rsidRPr="005F1846">
        <w:rPr>
          <w:shd w:val="clear" w:color="auto" w:fill="FFFFFF"/>
        </w:rPr>
        <w:t xml:space="preserve">The role of teachers in the identification process was instrumental, particularly in the Eastern and Southern states. Rather than relying on external testing, teachers collect behavioural evidence that signals readiness for enrichment or extension. Many districts also implement annual re-screening to capture students whose abilities emerge later, making identification a continuous developmental process. These teacher-led systems depend on ongoing professional learning to help staff recognise gifted behaviours. </w:t>
      </w:r>
    </w:p>
    <w:p w14:paraId="37070C57" w14:textId="77777777" w:rsidR="005F1846" w:rsidRPr="005F1846" w:rsidRDefault="005F1846" w:rsidP="005F1846">
      <w:pPr>
        <w:rPr>
          <w:shd w:val="clear" w:color="auto" w:fill="FFFFFF"/>
        </w:rPr>
      </w:pPr>
      <w:r w:rsidRPr="005F1846">
        <w:rPr>
          <w:shd w:val="clear" w:color="auto" w:fill="FFFFFF"/>
        </w:rPr>
        <w:t>Dr Del Siegle introduced me to UConn’s Project EAGLE (</w:t>
      </w:r>
      <w:r w:rsidRPr="005F1846">
        <w:rPr>
          <w:i/>
          <w:iCs/>
          <w:shd w:val="clear" w:color="auto" w:fill="FFFFFF"/>
        </w:rPr>
        <w:t>Eliciting Advanced Gifted Learning Evidence</w:t>
      </w:r>
      <w:r w:rsidRPr="005F1846">
        <w:rPr>
          <w:shd w:val="clear" w:color="auto" w:fill="FFFFFF"/>
        </w:rPr>
        <w:t xml:space="preserve">), which trains teachers to identify nine </w:t>
      </w:r>
      <w:proofErr w:type="gramStart"/>
      <w:r w:rsidRPr="005F1846">
        <w:rPr>
          <w:shd w:val="clear" w:color="auto" w:fill="FFFFFF"/>
        </w:rPr>
        <w:t>observable</w:t>
      </w:r>
      <w:proofErr w:type="gramEnd"/>
      <w:r w:rsidRPr="005F1846">
        <w:rPr>
          <w:shd w:val="clear" w:color="auto" w:fill="FFFFFF"/>
        </w:rPr>
        <w:t xml:space="preserve"> ‘Points of Promise’ in gifted students: curiosity, insight, complex reasoning, problem-solving, humour, imagination, motivation, communication, and leadership, which serve as formative indicators of advanced potential that may not surface through standardised testing. By documenting these behaviours during open-ended tasks, teachers build an evidence base that reveals giftedness in culturally, linguistically, or socio-economically diverse students long before formal assessment. This programme is in its second phase, using a train-the-trainer model, currently in states with large EAL/D populations.</w:t>
      </w:r>
    </w:p>
    <w:p w14:paraId="16EFCC78" w14:textId="77777777" w:rsidR="00F41988" w:rsidRDefault="00F41988">
      <w:pPr>
        <w:pBdr>
          <w:top w:val="none" w:sz="0" w:space="0" w:color="auto"/>
          <w:left w:val="none" w:sz="0" w:space="0" w:color="auto"/>
          <w:bottom w:val="none" w:sz="0" w:space="0" w:color="auto"/>
          <w:right w:val="none" w:sz="0" w:space="0" w:color="auto"/>
          <w:between w:val="none" w:sz="0" w:space="0" w:color="auto"/>
        </w:pBdr>
        <w:spacing w:before="0" w:after="0" w:line="240" w:lineRule="auto"/>
        <w:rPr>
          <w:b/>
          <w:bCs/>
          <w:shd w:val="clear" w:color="auto" w:fill="FFFFFF"/>
        </w:rPr>
      </w:pPr>
      <w:r>
        <w:rPr>
          <w:b/>
          <w:bCs/>
          <w:shd w:val="clear" w:color="auto" w:fill="FFFFFF"/>
        </w:rPr>
        <w:br w:type="page"/>
      </w:r>
    </w:p>
    <w:p w14:paraId="24714537" w14:textId="226850C8" w:rsidR="005F1846" w:rsidRPr="005F1846" w:rsidRDefault="005F1846" w:rsidP="005F1846">
      <w:pPr>
        <w:spacing w:after="60"/>
        <w:rPr>
          <w:b/>
          <w:bCs/>
          <w:shd w:val="clear" w:color="auto" w:fill="FFFFFF"/>
        </w:rPr>
      </w:pPr>
      <w:r w:rsidRPr="005F1846">
        <w:rPr>
          <w:b/>
          <w:bCs/>
          <w:shd w:val="clear" w:color="auto" w:fill="FFFFFF"/>
        </w:rPr>
        <w:lastRenderedPageBreak/>
        <w:t xml:space="preserve">Policy context and institutional mission </w:t>
      </w:r>
    </w:p>
    <w:p w14:paraId="28792021" w14:textId="77777777" w:rsidR="005F1846" w:rsidRPr="005F1846" w:rsidRDefault="005F1846" w:rsidP="005F1846">
      <w:pPr>
        <w:rPr>
          <w:shd w:val="clear" w:color="auto" w:fill="FFFFFF"/>
        </w:rPr>
      </w:pPr>
      <w:r w:rsidRPr="005F1846">
        <w:rPr>
          <w:shd w:val="clear" w:color="auto" w:fill="FFFFFF"/>
        </w:rPr>
        <w:t xml:space="preserve">Where policy is absent, identification depends heavily on institutional mission and available resources. The Davidson Academy in Nevada, partially supported by a private foundation, serves profoundly gifted students, generally defined as those scoring at or above the 99.9th percentile on standardised cognitive assessments or demonstrating comparable advanced reasoning and academic performance several years beyond age level. Admission involves a detailed two-tier process: an evaluation of cognitive readiness and academic mastery; second, an extensive portfolio and interview phase designed to understand </w:t>
      </w:r>
      <w:r w:rsidRPr="005F1846">
        <w:rPr>
          <w:i/>
          <w:iCs/>
          <w:shd w:val="clear" w:color="auto" w:fill="FFFFFF"/>
        </w:rPr>
        <w:t>who the student is</w:t>
      </w:r>
      <w:r w:rsidRPr="005F1846">
        <w:rPr>
          <w:shd w:val="clear" w:color="auto" w:fill="FFFFFF"/>
        </w:rPr>
        <w:t xml:space="preserve"> and ensure they have the resilience to succeed in a highly challenging learning environment. This includes assessing non-cognitive traits such as perseverance, resilience, curiosity and openness to feedback. The academy’s admissions philosophy reflects the belief that exceptional ability must be matched with adaptive capacity and self-regulation to ensure long-term wellbeing.</w:t>
      </w:r>
    </w:p>
    <w:p w14:paraId="49D260F6" w14:textId="6059171D" w:rsidR="005F1846" w:rsidRPr="005F1846" w:rsidRDefault="005F1846" w:rsidP="005F1846">
      <w:pPr>
        <w:pStyle w:val="Quote"/>
        <w:rPr>
          <w:shd w:val="clear" w:color="auto" w:fill="FFFFFF"/>
        </w:rPr>
      </w:pPr>
      <w:r w:rsidRPr="005F1846">
        <w:rPr>
          <w:shd w:val="clear" w:color="auto" w:fill="FFFFFF"/>
        </w:rPr>
        <w:t xml:space="preserve">‘We’re trying to break the taboo of elitism. It’s not </w:t>
      </w:r>
      <w:r w:rsidR="002A0E5B">
        <w:rPr>
          <w:shd w:val="clear" w:color="auto" w:fill="FFFFFF"/>
        </w:rPr>
        <w:t>‘</w:t>
      </w:r>
      <w:r w:rsidRPr="005F1846">
        <w:rPr>
          <w:shd w:val="clear" w:color="auto" w:fill="FFFFFF"/>
        </w:rPr>
        <w:t>better than</w:t>
      </w:r>
      <w:r w:rsidR="002A0E5B">
        <w:rPr>
          <w:shd w:val="clear" w:color="auto" w:fill="FFFFFF"/>
        </w:rPr>
        <w:t>’</w:t>
      </w:r>
      <w:r w:rsidRPr="005F1846">
        <w:rPr>
          <w:shd w:val="clear" w:color="auto" w:fill="FFFFFF"/>
        </w:rPr>
        <w:t xml:space="preserve">, it’s </w:t>
      </w:r>
      <w:r w:rsidR="002A0E5B">
        <w:rPr>
          <w:shd w:val="clear" w:color="auto" w:fill="FFFFFF"/>
        </w:rPr>
        <w:t>‘</w:t>
      </w:r>
      <w:r w:rsidRPr="005F1846">
        <w:rPr>
          <w:shd w:val="clear" w:color="auto" w:fill="FFFFFF"/>
        </w:rPr>
        <w:t>different than</w:t>
      </w:r>
      <w:r w:rsidR="002A0E5B">
        <w:rPr>
          <w:shd w:val="clear" w:color="auto" w:fill="FFFFFF"/>
        </w:rPr>
        <w:t>’</w:t>
      </w:r>
      <w:r w:rsidRPr="005F1846">
        <w:rPr>
          <w:shd w:val="clear" w:color="auto" w:fill="FFFFFF"/>
        </w:rPr>
        <w:t>.’ – Director Dr Colleen Harsin</w:t>
      </w:r>
    </w:p>
    <w:p w14:paraId="738DC8F8" w14:textId="77777777" w:rsidR="005F1846" w:rsidRPr="005F1846" w:rsidRDefault="005F1846" w:rsidP="005F1846">
      <w:pPr>
        <w:pStyle w:val="Heading3"/>
      </w:pPr>
      <w:r w:rsidRPr="005F1846">
        <w:t>2. Curriculum Design and Readiness Grouping</w:t>
      </w:r>
    </w:p>
    <w:p w14:paraId="5117E775" w14:textId="77777777" w:rsidR="005F1846" w:rsidRPr="005F1846" w:rsidRDefault="005F1846" w:rsidP="005F1846">
      <w:pPr>
        <w:rPr>
          <w:shd w:val="clear" w:color="auto" w:fill="FFFFFF"/>
        </w:rPr>
      </w:pPr>
      <w:r w:rsidRPr="005F1846">
        <w:rPr>
          <w:shd w:val="clear" w:color="auto" w:fill="FFFFFF"/>
        </w:rPr>
        <w:t>Gifted students require both increased depth and pace in curriculum to remain intellectually engaged and appropriately challenged, which acceleration alone rarely achieves. Effective curriculum balances rigour with creativity and relevance; Dr Joseph Renzulli, Dr Sally Reis, Dr Del Siegle, and Dr Catherine Little (UConn) emphasised that challenge must be matched by autonomy and personal connection with learning.</w:t>
      </w:r>
    </w:p>
    <w:p w14:paraId="1D176087" w14:textId="77777777" w:rsidR="005F1846" w:rsidRPr="005F1846" w:rsidRDefault="005F1846" w:rsidP="00F41988">
      <w:pPr>
        <w:spacing w:after="120"/>
        <w:rPr>
          <w:highlight w:val="white"/>
        </w:rPr>
      </w:pPr>
      <w:r w:rsidRPr="005F1846">
        <w:rPr>
          <w:highlight w:val="white"/>
        </w:rPr>
        <w:t>Five broad approaches to curriculum design and grouping were observed:</w:t>
      </w:r>
    </w:p>
    <w:p w14:paraId="24DED989" w14:textId="77777777" w:rsidR="005F1846" w:rsidRPr="005F1846" w:rsidRDefault="005F1846" w:rsidP="005F1846">
      <w:pPr>
        <w:pStyle w:val="ListParagraph"/>
        <w:numPr>
          <w:ilvl w:val="0"/>
          <w:numId w:val="46"/>
        </w:numPr>
        <w:ind w:left="511" w:hanging="284"/>
        <w:rPr>
          <w:highlight w:val="white"/>
        </w:rPr>
      </w:pPr>
      <w:r w:rsidRPr="005F1846">
        <w:rPr>
          <w:b/>
          <w:bCs/>
          <w:highlight w:val="white"/>
        </w:rPr>
        <w:t>Curriculum compacting</w:t>
      </w:r>
      <w:r w:rsidRPr="005F1846">
        <w:rPr>
          <w:highlight w:val="white"/>
        </w:rPr>
        <w:t xml:space="preserve"> – streamlining mastered content to free time for advanced or interest-based work.</w:t>
      </w:r>
    </w:p>
    <w:p w14:paraId="144C22FB" w14:textId="77777777" w:rsidR="005F1846" w:rsidRPr="005F1846" w:rsidRDefault="005F1846" w:rsidP="005F1846">
      <w:pPr>
        <w:pStyle w:val="ListParagraph"/>
        <w:numPr>
          <w:ilvl w:val="0"/>
          <w:numId w:val="46"/>
        </w:numPr>
        <w:ind w:left="511" w:hanging="284"/>
        <w:rPr>
          <w:highlight w:val="white"/>
        </w:rPr>
      </w:pPr>
      <w:r w:rsidRPr="005F1846">
        <w:rPr>
          <w:b/>
          <w:bCs/>
          <w:highlight w:val="white"/>
        </w:rPr>
        <w:t>Readiness grouping</w:t>
      </w:r>
      <w:r w:rsidRPr="005F1846">
        <w:rPr>
          <w:highlight w:val="white"/>
        </w:rPr>
        <w:t xml:space="preserve"> – organising students flexibly by domain/demonstrated mastery to ensure challenge at the appropriate cognitive level.</w:t>
      </w:r>
    </w:p>
    <w:p w14:paraId="47E6B23A" w14:textId="77777777" w:rsidR="005F1846" w:rsidRPr="005F1846" w:rsidRDefault="005F1846" w:rsidP="005F1846">
      <w:pPr>
        <w:pStyle w:val="ListParagraph"/>
        <w:numPr>
          <w:ilvl w:val="0"/>
          <w:numId w:val="46"/>
        </w:numPr>
        <w:ind w:left="511" w:hanging="284"/>
        <w:rPr>
          <w:highlight w:val="white"/>
        </w:rPr>
      </w:pPr>
      <w:r w:rsidRPr="005F1846">
        <w:rPr>
          <w:b/>
          <w:bCs/>
          <w:highlight w:val="white"/>
        </w:rPr>
        <w:t>Acceleration</w:t>
      </w:r>
      <w:r w:rsidRPr="005F1846">
        <w:rPr>
          <w:highlight w:val="white"/>
        </w:rPr>
        <w:t xml:space="preserve"> – advancing through curriculum by readiness rather than age.</w:t>
      </w:r>
    </w:p>
    <w:p w14:paraId="78503A00" w14:textId="77777777" w:rsidR="005F1846" w:rsidRPr="005F1846" w:rsidRDefault="005F1846" w:rsidP="005F1846">
      <w:pPr>
        <w:pStyle w:val="ListParagraph"/>
        <w:numPr>
          <w:ilvl w:val="0"/>
          <w:numId w:val="46"/>
        </w:numPr>
        <w:ind w:left="511" w:hanging="284"/>
        <w:rPr>
          <w:highlight w:val="white"/>
        </w:rPr>
      </w:pPr>
      <w:r w:rsidRPr="005F1846">
        <w:rPr>
          <w:b/>
          <w:bCs/>
          <w:highlight w:val="white"/>
        </w:rPr>
        <w:t>Enrichment</w:t>
      </w:r>
      <w:r w:rsidRPr="005F1846">
        <w:rPr>
          <w:highlight w:val="white"/>
        </w:rPr>
        <w:t xml:space="preserve"> – extending learning through problem-solving and real-world application.</w:t>
      </w:r>
    </w:p>
    <w:p w14:paraId="38CE1786" w14:textId="77777777" w:rsidR="005F1846" w:rsidRPr="005F1846" w:rsidRDefault="005F1846" w:rsidP="005F1846">
      <w:pPr>
        <w:pStyle w:val="ListParagraph"/>
        <w:numPr>
          <w:ilvl w:val="0"/>
          <w:numId w:val="46"/>
        </w:numPr>
        <w:spacing w:after="180"/>
        <w:ind w:left="511" w:hanging="284"/>
        <w:rPr>
          <w:highlight w:val="white"/>
        </w:rPr>
      </w:pPr>
      <w:r w:rsidRPr="005F1846">
        <w:rPr>
          <w:b/>
          <w:bCs/>
          <w:highlight w:val="white"/>
        </w:rPr>
        <w:t>Interest-based grouping</w:t>
      </w:r>
      <w:r w:rsidRPr="005F1846">
        <w:rPr>
          <w:highlight w:val="white"/>
        </w:rPr>
        <w:t xml:space="preserve"> – clustering students around shared passions for inquiry.</w:t>
      </w:r>
    </w:p>
    <w:p w14:paraId="55693D87" w14:textId="0E073EEB" w:rsidR="005F1846" w:rsidRPr="005F1846" w:rsidRDefault="005F1846" w:rsidP="005F1846">
      <w:pPr>
        <w:rPr>
          <w:shd w:val="clear" w:color="auto" w:fill="FFFFFF"/>
        </w:rPr>
      </w:pPr>
      <w:r w:rsidRPr="005F1846">
        <w:rPr>
          <w:shd w:val="clear" w:color="auto" w:fill="FFFFFF"/>
        </w:rPr>
        <w:t xml:space="preserve">Across contexts, readiness grouping was an essential component for effective gifted education. Dr Clark described readiness as ‘a moment in time, not a label’, explaining that grouping by demonstrated mastery </w:t>
      </w:r>
      <w:r>
        <w:rPr>
          <w:shd w:val="clear" w:color="auto" w:fill="FFFFFF"/>
        </w:rPr>
        <w:t>‘</w:t>
      </w:r>
      <w:r w:rsidRPr="005F1846">
        <w:rPr>
          <w:shd w:val="clear" w:color="auto" w:fill="FFFFFF"/>
        </w:rPr>
        <w:t>normalises differentiation and prevents gifted education from becoming static.</w:t>
      </w:r>
      <w:r>
        <w:rPr>
          <w:shd w:val="clear" w:color="auto" w:fill="FFFFFF"/>
        </w:rPr>
        <w:t>’</w:t>
      </w:r>
      <w:r w:rsidRPr="005F1846">
        <w:rPr>
          <w:shd w:val="clear" w:color="auto" w:fill="FFFFFF"/>
        </w:rPr>
        <w:t xml:space="preserve"> He argued that true equity requires responsiveness, where students move into new groups as their readiness evolves. This allows giftedness to be viewed as fluid rather than fixed, with grouping used to challenge rather than separate. The Davidson Academy reflected this, where students are grouped by subject readiness, not age. Timetables are individually constructed so each learner studies at the level where they are genuinely ready to learn, i.e. a student may undertake university-level mathematics while continuing standard English. This domain-specific placement demonstrates the potential of flexible curriculum structures in meeting individual readiness, ensuring every student learns within their optimal zone of challenge.</w:t>
      </w:r>
    </w:p>
    <w:p w14:paraId="416A59AE" w14:textId="77777777" w:rsidR="005F1846" w:rsidRPr="005F1846" w:rsidRDefault="005F1846" w:rsidP="005F1846">
      <w:pPr>
        <w:rPr>
          <w:shd w:val="clear" w:color="auto" w:fill="FFFFFF"/>
        </w:rPr>
      </w:pPr>
      <w:r w:rsidRPr="005F1846">
        <w:rPr>
          <w:shd w:val="clear" w:color="auto" w:fill="FFFFFF"/>
        </w:rPr>
        <w:t xml:space="preserve">Within the Norwalk Public Schools district, Connecticut, Dr Lori Leibowitz, the district’s Gifted and Talented Co-ordinator, established a network of enrichment schools grounded in Renzulli’s SEM. I visited Roton Middle School, which has systematically embedded enrichment within a comprehensive setting. Currently in the process of becoming an International Baccalaureate (IB) school, Roton Middle integrates IB principles of inquiry and reflection with the district’s enrichment </w:t>
      </w:r>
      <w:r w:rsidRPr="005F1846">
        <w:rPr>
          <w:shd w:val="clear" w:color="auto" w:fill="FFFFFF"/>
        </w:rPr>
        <w:lastRenderedPageBreak/>
        <w:t xml:space="preserve">philosophy. Each term, it shares common enrichment concepts with </w:t>
      </w:r>
      <w:proofErr w:type="spellStart"/>
      <w:r w:rsidRPr="005F1846">
        <w:rPr>
          <w:shd w:val="clear" w:color="auto" w:fill="FFFFFF"/>
        </w:rPr>
        <w:t>Ponus</w:t>
      </w:r>
      <w:proofErr w:type="spellEnd"/>
      <w:r w:rsidRPr="005F1846">
        <w:rPr>
          <w:shd w:val="clear" w:color="auto" w:fill="FFFFFF"/>
        </w:rPr>
        <w:t xml:space="preserve"> Ridge STEAM Academy, encouraging both schools to explore creativity, problem-solving and authentic research through a shared lens. Every grade at Roton includes timetabled gifted classes, ensuring opportunities for advanced learning are part of the school structure. The programme places emphasis on student reflective practice, encouraging learners to evaluate their growth, challenges and creative processes as part of each enrichment cycle. </w:t>
      </w:r>
    </w:p>
    <w:p w14:paraId="27FF48CC" w14:textId="77777777" w:rsidR="005F1846" w:rsidRPr="005F1846" w:rsidRDefault="005F1846" w:rsidP="005F1846">
      <w:pPr>
        <w:rPr>
          <w:shd w:val="clear" w:color="auto" w:fill="FFFFFF"/>
        </w:rPr>
      </w:pPr>
      <w:r w:rsidRPr="005F1846">
        <w:rPr>
          <w:shd w:val="clear" w:color="auto" w:fill="FFFFFF"/>
        </w:rPr>
        <w:t xml:space="preserve">At </w:t>
      </w:r>
      <w:proofErr w:type="spellStart"/>
      <w:r w:rsidRPr="005F1846">
        <w:rPr>
          <w:shd w:val="clear" w:color="auto" w:fill="FFFFFF"/>
        </w:rPr>
        <w:t>Ponus</w:t>
      </w:r>
      <w:proofErr w:type="spellEnd"/>
      <w:r w:rsidRPr="005F1846">
        <w:rPr>
          <w:shd w:val="clear" w:color="auto" w:fill="FFFFFF"/>
        </w:rPr>
        <w:t xml:space="preserve"> Ridge STEAM Academy, a comprehensive public middle school, the concept of readiness grouping has been translated into a flexible elective system, though admission to the gifted class requires formal identification. Rather than withdrawing gifted students, the school developed a rotating programme of enrichment modules based on the SEM. Each module is designed around authentic, real-world skills such as robotics design or environmental engineering. This structure allows students demonstrating readiness or strong interest in a domain to access advanced learning experiences within the competing priorities of a diverse student population. This approach had challenges associated with comprehensive </w:t>
      </w:r>
      <w:proofErr w:type="gramStart"/>
      <w:r w:rsidRPr="005F1846">
        <w:rPr>
          <w:shd w:val="clear" w:color="auto" w:fill="FFFFFF"/>
        </w:rPr>
        <w:t>environments;</w:t>
      </w:r>
      <w:proofErr w:type="gramEnd"/>
      <w:r w:rsidRPr="005F1846">
        <w:rPr>
          <w:shd w:val="clear" w:color="auto" w:fill="FFFFFF"/>
        </w:rPr>
        <w:t xml:space="preserve"> i.e. philosophical differences on what gifted education should look like and perceptions of </w:t>
      </w:r>
      <w:proofErr w:type="gramStart"/>
      <w:r w:rsidRPr="005F1846">
        <w:rPr>
          <w:shd w:val="clear" w:color="auto" w:fill="FFFFFF"/>
        </w:rPr>
        <w:t>elitism..</w:t>
      </w:r>
      <w:proofErr w:type="gramEnd"/>
      <w:r w:rsidRPr="005F1846">
        <w:rPr>
          <w:shd w:val="clear" w:color="auto" w:fill="FFFFFF"/>
        </w:rPr>
        <w:t xml:space="preserve"> This was ultimately overcome through collaboration, where the gifted education teacher modelled the SEM </w:t>
      </w:r>
      <w:proofErr w:type="gramStart"/>
      <w:r w:rsidRPr="005F1846">
        <w:rPr>
          <w:shd w:val="clear" w:color="auto" w:fill="FFFFFF"/>
        </w:rPr>
        <w:t>programme</w:t>
      </w:r>
      <w:proofErr w:type="gramEnd"/>
      <w:r w:rsidRPr="005F1846">
        <w:rPr>
          <w:shd w:val="clear" w:color="auto" w:fill="FFFFFF"/>
        </w:rPr>
        <w:t xml:space="preserve"> she was using for teachers to </w:t>
      </w:r>
      <w:proofErr w:type="gramStart"/>
      <w:r w:rsidRPr="005F1846">
        <w:rPr>
          <w:shd w:val="clear" w:color="auto" w:fill="FFFFFF"/>
        </w:rPr>
        <w:t>emulate;</w:t>
      </w:r>
      <w:proofErr w:type="gramEnd"/>
      <w:r w:rsidRPr="005F1846">
        <w:rPr>
          <w:shd w:val="clear" w:color="auto" w:fill="FFFFFF"/>
        </w:rPr>
        <w:t xml:space="preserve"> </w:t>
      </w:r>
    </w:p>
    <w:p w14:paraId="079872C2" w14:textId="77777777" w:rsidR="005F1846" w:rsidRPr="005F1846" w:rsidRDefault="005F1846" w:rsidP="005F1846">
      <w:pPr>
        <w:pStyle w:val="Quote"/>
        <w:rPr>
          <w:shd w:val="clear" w:color="auto" w:fill="FFFFFF"/>
        </w:rPr>
      </w:pPr>
      <w:r w:rsidRPr="005F1846">
        <w:rPr>
          <w:shd w:val="clear" w:color="auto" w:fill="FFFFFF"/>
        </w:rPr>
        <w:t xml:space="preserve">‘I told them, you can do </w:t>
      </w:r>
      <w:proofErr w:type="gramStart"/>
      <w:r w:rsidRPr="005F1846">
        <w:rPr>
          <w:shd w:val="clear" w:color="auto" w:fill="FFFFFF"/>
        </w:rPr>
        <w:t>exactly the same</w:t>
      </w:r>
      <w:proofErr w:type="gramEnd"/>
      <w:r w:rsidRPr="005F1846">
        <w:rPr>
          <w:shd w:val="clear" w:color="auto" w:fill="FFFFFF"/>
        </w:rPr>
        <w:t xml:space="preserve"> activities as me, that’s the whole idea of the SEM. Everyone can do </w:t>
      </w:r>
      <w:proofErr w:type="gramStart"/>
      <w:r w:rsidRPr="005F1846">
        <w:rPr>
          <w:shd w:val="clear" w:color="auto" w:fill="FFFFFF"/>
        </w:rPr>
        <w:t>it,</w:t>
      </w:r>
      <w:proofErr w:type="gramEnd"/>
      <w:r w:rsidRPr="005F1846">
        <w:rPr>
          <w:shd w:val="clear" w:color="auto" w:fill="FFFFFF"/>
        </w:rPr>
        <w:t xml:space="preserve"> I just offer it at a different level for the G&amp;T kids. One teacher tried during </w:t>
      </w:r>
      <w:proofErr w:type="gramStart"/>
      <w:r w:rsidRPr="005F1846">
        <w:rPr>
          <w:shd w:val="clear" w:color="auto" w:fill="FFFFFF"/>
        </w:rPr>
        <w:t>covid,</w:t>
      </w:r>
      <w:proofErr w:type="gramEnd"/>
      <w:r w:rsidRPr="005F1846">
        <w:rPr>
          <w:shd w:val="clear" w:color="auto" w:fill="FFFFFF"/>
        </w:rPr>
        <w:t xml:space="preserve"> we had such low engagement. Then, </w:t>
      </w:r>
      <w:proofErr w:type="gramStart"/>
      <w:r w:rsidRPr="005F1846">
        <w:rPr>
          <w:shd w:val="clear" w:color="auto" w:fill="FFFFFF"/>
        </w:rPr>
        <w:t>all of a sudden</w:t>
      </w:r>
      <w:proofErr w:type="gramEnd"/>
      <w:r w:rsidRPr="005F1846">
        <w:rPr>
          <w:shd w:val="clear" w:color="auto" w:fill="FFFFFF"/>
        </w:rPr>
        <w:t>, she had full engagement because it was interest-based, interactive, and hands on.’</w:t>
      </w:r>
    </w:p>
    <w:p w14:paraId="7E773C3D" w14:textId="70AE4917" w:rsidR="005F1846" w:rsidRPr="005F1846" w:rsidRDefault="005F1846" w:rsidP="005F1846">
      <w:pPr>
        <w:rPr>
          <w:shd w:val="clear" w:color="auto" w:fill="FFFFFF"/>
        </w:rPr>
      </w:pPr>
      <w:r w:rsidRPr="005F1846">
        <w:rPr>
          <w:shd w:val="clear" w:color="auto" w:fill="FFFFFF"/>
        </w:rPr>
        <w:t xml:space="preserve">By comparison, Metairie Academy for Advanced Studies in Louisiana used a pull-out enrichment model to cultivate higher-order skills and advanced learning. Gifted Specialist Honey B </w:t>
      </w:r>
      <w:proofErr w:type="spellStart"/>
      <w:r w:rsidRPr="005F1846">
        <w:rPr>
          <w:shd w:val="clear" w:color="auto" w:fill="FFFFFF"/>
        </w:rPr>
        <w:t>Toranto</w:t>
      </w:r>
      <w:proofErr w:type="spellEnd"/>
      <w:r w:rsidRPr="005F1846">
        <w:rPr>
          <w:shd w:val="clear" w:color="auto" w:fill="FFFFFF"/>
        </w:rPr>
        <w:t xml:space="preserve"> runs the school’s gifted programme each morning, describing her aim as ‘teaching students how to think, not what to think.’ Her lessons focus on reasoning, logic, creativity and communication; transferable cognitive strategies that extend beyond subject content. Dr Shelagh Gallagher (University of North Texas) reinforced this through her </w:t>
      </w:r>
      <w:r w:rsidR="002A0E5B">
        <w:rPr>
          <w:shd w:val="clear" w:color="auto" w:fill="FFFFFF"/>
        </w:rPr>
        <w:t>‘</w:t>
      </w:r>
      <w:r w:rsidRPr="005F1846">
        <w:rPr>
          <w:shd w:val="clear" w:color="auto" w:fill="FFFFFF"/>
        </w:rPr>
        <w:t>four cornerstones</w:t>
      </w:r>
      <w:r w:rsidR="002A0E5B">
        <w:rPr>
          <w:shd w:val="clear" w:color="auto" w:fill="FFFFFF"/>
        </w:rPr>
        <w:t>’</w:t>
      </w:r>
      <w:r w:rsidRPr="005F1846">
        <w:rPr>
          <w:shd w:val="clear" w:color="auto" w:fill="FFFFFF"/>
        </w:rPr>
        <w:t xml:space="preserve"> of gifted curriculum: higher-order questioning, sustained analytical reasoning, conceptual abstraction and scaffolded inquiry. </w:t>
      </w:r>
    </w:p>
    <w:p w14:paraId="3F4EE01A" w14:textId="77777777" w:rsidR="005F1846" w:rsidRPr="005F1846" w:rsidRDefault="005F1846" w:rsidP="005F1846">
      <w:pPr>
        <w:rPr>
          <w:shd w:val="clear" w:color="auto" w:fill="FFFFFF"/>
        </w:rPr>
      </w:pPr>
      <w:r w:rsidRPr="005F1846">
        <w:rPr>
          <w:shd w:val="clear" w:color="auto" w:fill="FFFFFF"/>
        </w:rPr>
        <w:t>Acceleration operated most successfully when done in a domain-specific context. At the Gatton Academy of Mathematics and Science (WKU), a two-year residential program enables students to complete high school while earning university credit through mentored research, ensuring acceleration is balanced with community and personal growth. Similarly, the Las Vegas Academy of the Arts targets domain-specific giftedness, selecting students by audition and portfolio and providing accelerated pathways in music, theatre, and visual arts. These examples highlighted that acceleration achieves its purpose when it is responsive to individual strengths and supported by wellbeing programmes and mentoring.</w:t>
      </w:r>
    </w:p>
    <w:p w14:paraId="4FF82DAB" w14:textId="77777777" w:rsidR="005F1846" w:rsidRPr="005F1846" w:rsidRDefault="005F1846" w:rsidP="00F41988">
      <w:pPr>
        <w:spacing w:after="120"/>
        <w:rPr>
          <w:shd w:val="clear" w:color="auto" w:fill="FFFFFF"/>
        </w:rPr>
      </w:pPr>
      <w:r w:rsidRPr="005F1846">
        <w:rPr>
          <w:shd w:val="clear" w:color="auto" w:fill="FFFFFF"/>
        </w:rPr>
        <w:t>Across contexts, the most effective curriculum designs:</w:t>
      </w:r>
    </w:p>
    <w:p w14:paraId="7EFCEC5B" w14:textId="77777777" w:rsidR="005F1846" w:rsidRPr="005F1846" w:rsidRDefault="005F1846" w:rsidP="005F1846">
      <w:pPr>
        <w:pStyle w:val="ListParagraph"/>
        <w:numPr>
          <w:ilvl w:val="0"/>
          <w:numId w:val="27"/>
        </w:numPr>
        <w:ind w:left="511" w:hanging="284"/>
      </w:pPr>
      <w:r w:rsidRPr="005F1846">
        <w:t>were based on readiness, not age</w:t>
      </w:r>
    </w:p>
    <w:p w14:paraId="48046D33" w14:textId="77777777" w:rsidR="005F1846" w:rsidRPr="005F1846" w:rsidRDefault="005F1846" w:rsidP="005F1846">
      <w:pPr>
        <w:pStyle w:val="ListParagraph"/>
        <w:numPr>
          <w:ilvl w:val="0"/>
          <w:numId w:val="27"/>
        </w:numPr>
        <w:ind w:left="511" w:hanging="284"/>
      </w:pPr>
      <w:r w:rsidRPr="005F1846">
        <w:t>balanced acceleration with enrichment and creativity</w:t>
      </w:r>
    </w:p>
    <w:p w14:paraId="6CDE0708" w14:textId="77777777" w:rsidR="005F1846" w:rsidRPr="005F1846" w:rsidRDefault="005F1846" w:rsidP="005F1846">
      <w:pPr>
        <w:pStyle w:val="ListParagraph"/>
        <w:numPr>
          <w:ilvl w:val="0"/>
          <w:numId w:val="27"/>
        </w:numPr>
        <w:ind w:left="511" w:hanging="284"/>
      </w:pPr>
      <w:r w:rsidRPr="005F1846">
        <w:t>embedded independent-learning processes</w:t>
      </w:r>
    </w:p>
    <w:p w14:paraId="1CC09F04" w14:textId="77777777" w:rsidR="005F1846" w:rsidRPr="005F1846" w:rsidRDefault="005F1846" w:rsidP="00F41988">
      <w:pPr>
        <w:pStyle w:val="ListParagraph"/>
        <w:numPr>
          <w:ilvl w:val="0"/>
          <w:numId w:val="27"/>
        </w:numPr>
        <w:spacing w:after="180"/>
        <w:ind w:left="511" w:hanging="284"/>
      </w:pPr>
      <w:r w:rsidRPr="005F1846">
        <w:t>offered flexible, interest-driven inquiry</w:t>
      </w:r>
    </w:p>
    <w:p w14:paraId="44D4C032" w14:textId="24A11F84" w:rsidR="005F1846" w:rsidRDefault="005F1846" w:rsidP="005F1846">
      <w:pPr>
        <w:rPr>
          <w:shd w:val="clear" w:color="auto" w:fill="FFFFFF"/>
        </w:rPr>
      </w:pPr>
      <w:r w:rsidRPr="005F1846">
        <w:rPr>
          <w:shd w:val="clear" w:color="auto" w:fill="FFFFFF"/>
        </w:rPr>
        <w:t xml:space="preserve">Gifted education in these schools is not an </w:t>
      </w:r>
      <w:proofErr w:type="gramStart"/>
      <w:r w:rsidRPr="005F1846">
        <w:rPr>
          <w:shd w:val="clear" w:color="auto" w:fill="FFFFFF"/>
        </w:rPr>
        <w:t>add-on</w:t>
      </w:r>
      <w:proofErr w:type="gramEnd"/>
      <w:r w:rsidRPr="005F1846">
        <w:rPr>
          <w:shd w:val="clear" w:color="auto" w:fill="FFFFFF"/>
        </w:rPr>
        <w:t xml:space="preserve"> but a curricular priority structured around challenge, curiosity and authenticity in teaching and learning.</w:t>
      </w:r>
    </w:p>
    <w:p w14:paraId="6707B3E8" w14:textId="77777777" w:rsidR="00F41988" w:rsidRPr="00F41988" w:rsidRDefault="00F41988" w:rsidP="00F41988">
      <w:pPr>
        <w:pStyle w:val="Heading3"/>
      </w:pPr>
      <w:r w:rsidRPr="00F41988">
        <w:lastRenderedPageBreak/>
        <w:t>3. Creativity and Strength-Based Learning</w:t>
      </w:r>
    </w:p>
    <w:p w14:paraId="2D8DC019" w14:textId="77777777" w:rsidR="00F41988" w:rsidRPr="00F41988" w:rsidRDefault="00F41988" w:rsidP="00F41988">
      <w:pPr>
        <w:rPr>
          <w:shd w:val="clear" w:color="auto" w:fill="FFFFFF"/>
        </w:rPr>
      </w:pPr>
      <w:r w:rsidRPr="00F41988">
        <w:rPr>
          <w:shd w:val="clear" w:color="auto" w:fill="FFFFFF"/>
        </w:rPr>
        <w:t>Strength-based learning and creativity transform engagement by building on what students do well and providing authentic opportunities to apply their talents. This underpins models such as Renzulli’s Schoolwide Enrichment Model (SEM), which channels students’ interests into purposeful, high-level inquiry and authentic creative expression. It was a privilege to meet with Dr Joseph Renzulli and Dr Sally Reis at UConn to discuss the SEM, which was by far the most influential framework observed across the study. Rather than treating gifted education as a niche programme within a school, the SEM embeds enrichment opportunities for all students to combat disadvantage and underachievement, with in-built provisions for gifted students. The SEM is a model for school-wide implementation based upon Renzulli’s Three-Ring Conception of Giftedness as the interaction of above-average ability, creativity and task commitment (Renzulli, 2011).</w:t>
      </w:r>
    </w:p>
    <w:p w14:paraId="320F3961" w14:textId="77777777" w:rsidR="00F41988" w:rsidRPr="00F41988" w:rsidRDefault="00F41988" w:rsidP="00F41988">
      <w:pPr>
        <w:spacing w:after="120"/>
        <w:rPr>
          <w:shd w:val="clear" w:color="auto" w:fill="FFFFFF"/>
        </w:rPr>
      </w:pPr>
      <w:r w:rsidRPr="00F41988">
        <w:rPr>
          <w:shd w:val="clear" w:color="auto" w:fill="FFFFFF"/>
        </w:rPr>
        <w:t>The SEM is structured around three types of enrichment:</w:t>
      </w:r>
    </w:p>
    <w:p w14:paraId="0D18FDDB" w14:textId="037DD11A" w:rsidR="00F41988" w:rsidRPr="00F41988" w:rsidRDefault="00F41988" w:rsidP="00F41988">
      <w:pPr>
        <w:pStyle w:val="ListParagraph"/>
        <w:numPr>
          <w:ilvl w:val="0"/>
          <w:numId w:val="27"/>
        </w:numPr>
        <w:ind w:left="511" w:hanging="284"/>
      </w:pPr>
      <w:r w:rsidRPr="00F41988">
        <w:rPr>
          <w:b/>
          <w:bCs/>
        </w:rPr>
        <w:t>Type I:</w:t>
      </w:r>
      <w:r w:rsidRPr="00F41988">
        <w:t xml:space="preserve"> Exploratory experiences that expose students to new topics and spark curiosity.</w:t>
      </w:r>
    </w:p>
    <w:p w14:paraId="12CF7634" w14:textId="7C4FA9D3" w:rsidR="00F41988" w:rsidRPr="00F41988" w:rsidRDefault="00F41988" w:rsidP="00F41988">
      <w:pPr>
        <w:pStyle w:val="ListParagraph"/>
        <w:numPr>
          <w:ilvl w:val="0"/>
          <w:numId w:val="27"/>
        </w:numPr>
        <w:ind w:left="511" w:hanging="284"/>
      </w:pPr>
      <w:r w:rsidRPr="00F41988">
        <w:rPr>
          <w:b/>
          <w:bCs/>
        </w:rPr>
        <w:t>Type II:</w:t>
      </w:r>
      <w:r w:rsidRPr="00F41988">
        <w:t xml:space="preserve"> Skill development in critical, creative, and investigative thinking.</w:t>
      </w:r>
    </w:p>
    <w:p w14:paraId="3BF672D8" w14:textId="584450D6" w:rsidR="00F41988" w:rsidRPr="00F41988" w:rsidRDefault="00F41988" w:rsidP="00F41988">
      <w:pPr>
        <w:pStyle w:val="ListParagraph"/>
        <w:numPr>
          <w:ilvl w:val="0"/>
          <w:numId w:val="27"/>
        </w:numPr>
        <w:spacing w:after="180"/>
        <w:ind w:left="511" w:hanging="284"/>
      </w:pPr>
      <w:r w:rsidRPr="00F41988">
        <w:rPr>
          <w:b/>
          <w:bCs/>
        </w:rPr>
        <w:t>Type III:</w:t>
      </w:r>
      <w:r w:rsidRPr="00F41988">
        <w:t xml:space="preserve"> Provision for gifted learners; investigations of real-world problems that result in authentic products or performances.</w:t>
      </w:r>
    </w:p>
    <w:p w14:paraId="78A0AD05" w14:textId="4C3DB387" w:rsidR="00F41988" w:rsidRPr="00F41988" w:rsidRDefault="00F41988" w:rsidP="00F41988">
      <w:pPr>
        <w:rPr>
          <w:shd w:val="clear" w:color="auto" w:fill="FFFFFF"/>
        </w:rPr>
      </w:pPr>
      <w:r w:rsidRPr="00F41988">
        <w:rPr>
          <w:shd w:val="clear" w:color="auto" w:fill="FFFFFF"/>
        </w:rPr>
        <w:t>At the Renzulli Academy in Hartford, Connecticut, these principles are woven into daily learning. Located in one of the state’s most economically disadvantaged areas, the Academy was founded to democratise access to gifted education. Admission is based on multiple criteria</w:t>
      </w:r>
      <w:r w:rsidR="00CC5CCC">
        <w:rPr>
          <w:shd w:val="clear" w:color="auto" w:fill="FFFFFF"/>
        </w:rPr>
        <w:t>:</w:t>
      </w:r>
      <w:r w:rsidRPr="00F41988">
        <w:rPr>
          <w:shd w:val="clear" w:color="auto" w:fill="FFFFFF"/>
        </w:rPr>
        <w:t xml:space="preserve"> academic ability</w:t>
      </w:r>
      <w:r w:rsidR="00CC5CCC">
        <w:rPr>
          <w:shd w:val="clear" w:color="auto" w:fill="FFFFFF"/>
        </w:rPr>
        <w:t>;</w:t>
      </w:r>
      <w:r w:rsidRPr="00F41988">
        <w:rPr>
          <w:shd w:val="clear" w:color="auto" w:fill="FFFFFF"/>
        </w:rPr>
        <w:t xml:space="preserve"> motivation</w:t>
      </w:r>
      <w:r w:rsidR="00CC5CCC">
        <w:rPr>
          <w:shd w:val="clear" w:color="auto" w:fill="FFFFFF"/>
        </w:rPr>
        <w:t>;</w:t>
      </w:r>
      <w:r w:rsidRPr="00F41988">
        <w:rPr>
          <w:shd w:val="clear" w:color="auto" w:fill="FFFFFF"/>
        </w:rPr>
        <w:t xml:space="preserve"> creativity</w:t>
      </w:r>
      <w:r w:rsidR="00CC5CCC">
        <w:rPr>
          <w:shd w:val="clear" w:color="auto" w:fill="FFFFFF"/>
        </w:rPr>
        <w:t>;</w:t>
      </w:r>
      <w:r w:rsidRPr="00F41988">
        <w:rPr>
          <w:shd w:val="clear" w:color="auto" w:fill="FFFFFF"/>
        </w:rPr>
        <w:t xml:space="preserve"> and teacher recommendation. Each grade undertakes daily enrichment lessons and scheduled time for Type III projects. Examples observed included scientific investigations and entrepreneurial ventures addressing local community needs. The consistent message of the school was that creativity flourishes when students have time, choice and authentic purpose. </w:t>
      </w:r>
    </w:p>
    <w:p w14:paraId="471A8FE1" w14:textId="77777777" w:rsidR="00F41988" w:rsidRPr="00F41988" w:rsidRDefault="00F41988" w:rsidP="00F41988">
      <w:pPr>
        <w:rPr>
          <w:shd w:val="clear" w:color="auto" w:fill="FFFFFF"/>
        </w:rPr>
      </w:pPr>
      <w:r w:rsidRPr="00F41988">
        <w:rPr>
          <w:shd w:val="clear" w:color="auto" w:fill="FFFFFF"/>
        </w:rPr>
        <w:t xml:space="preserve">The strength of the SEM lies in its scalability; I observed it in practice in various forms within every school visited. At each school, enrichment principles have been adapted into programmes largely accessible to all students, </w:t>
      </w:r>
      <w:proofErr w:type="gramStart"/>
      <w:r w:rsidRPr="00F41988">
        <w:rPr>
          <w:shd w:val="clear" w:color="auto" w:fill="FFFFFF"/>
        </w:rPr>
        <w:t>not only those</w:t>
      </w:r>
      <w:proofErr w:type="gramEnd"/>
      <w:r w:rsidRPr="00F41988">
        <w:rPr>
          <w:shd w:val="clear" w:color="auto" w:fill="FFFFFF"/>
        </w:rPr>
        <w:t xml:space="preserve"> identified as gifted. Where this was done well, it provided high expectations for quality and originality, resulting in measurable gains in engagement and attendance. Bridges Academy (Los Angeles) and </w:t>
      </w:r>
      <w:proofErr w:type="spellStart"/>
      <w:r w:rsidRPr="00F41988">
        <w:rPr>
          <w:shd w:val="clear" w:color="auto" w:fill="FFFFFF"/>
        </w:rPr>
        <w:t>FlexSchool</w:t>
      </w:r>
      <w:proofErr w:type="spellEnd"/>
      <w:r w:rsidRPr="00F41988">
        <w:rPr>
          <w:shd w:val="clear" w:color="auto" w:fill="FFFFFF"/>
        </w:rPr>
        <w:t xml:space="preserve"> (New York City), where twice-exceptional learners build upon their interests, e.g. in film, design, or coding, and built academic and socio-emotional skills around those strengths, embodied Renzulli’s assertion that ‘interest is the entry point to excellence’.</w:t>
      </w:r>
    </w:p>
    <w:p w14:paraId="610E7657" w14:textId="77777777" w:rsidR="00F41988" w:rsidRPr="00F41988" w:rsidRDefault="00F41988" w:rsidP="00F41988">
      <w:pPr>
        <w:rPr>
          <w:shd w:val="clear" w:color="auto" w:fill="FFFFFF"/>
        </w:rPr>
      </w:pPr>
      <w:r w:rsidRPr="00F41988">
        <w:rPr>
          <w:shd w:val="clear" w:color="auto" w:fill="FFFFFF"/>
        </w:rPr>
        <w:t>While the SEM provides a structural framework, creativity research deepens understanding of how creative skills are nurtured within gifted models. Dr Anna Abraham (University of Georgia) argued that creative thinking is a teachable cognitive process involving both divergent and convergent modes of thought, that can be treated as both domain-specific and domain-general, meaning creative skills can be transferred between subjects.</w:t>
      </w:r>
    </w:p>
    <w:p w14:paraId="02DECC03" w14:textId="77777777" w:rsidR="00F41988" w:rsidRPr="00F41988" w:rsidRDefault="00F41988" w:rsidP="00F41988">
      <w:pPr>
        <w:spacing w:after="120"/>
        <w:rPr>
          <w:shd w:val="clear" w:color="auto" w:fill="FFFFFF"/>
        </w:rPr>
      </w:pPr>
      <w:r w:rsidRPr="00F41988">
        <w:rPr>
          <w:shd w:val="clear" w:color="auto" w:fill="FFFFFF"/>
        </w:rPr>
        <w:t xml:space="preserve">Dr James Kaufman’s </w:t>
      </w:r>
      <w:r w:rsidRPr="00F41988">
        <w:rPr>
          <w:i/>
          <w:iCs/>
          <w:shd w:val="clear" w:color="auto" w:fill="FFFFFF"/>
        </w:rPr>
        <w:t>Four-C Model of Creativity</w:t>
      </w:r>
      <w:r w:rsidRPr="00F41988">
        <w:rPr>
          <w:shd w:val="clear" w:color="auto" w:fill="FFFFFF"/>
        </w:rPr>
        <w:t xml:space="preserve"> described a developmental continuum that schools can use to develop creative thinking:</w:t>
      </w:r>
    </w:p>
    <w:p w14:paraId="384551DA" w14:textId="18E9A194" w:rsidR="00F41988" w:rsidRPr="00F41988" w:rsidRDefault="00F41988" w:rsidP="00F41988">
      <w:pPr>
        <w:pStyle w:val="ListParagraph"/>
        <w:numPr>
          <w:ilvl w:val="0"/>
          <w:numId w:val="27"/>
        </w:numPr>
        <w:ind w:left="511" w:hanging="284"/>
      </w:pPr>
      <w:r w:rsidRPr="00F41988">
        <w:rPr>
          <w:i/>
          <w:iCs/>
        </w:rPr>
        <w:t>Mini-c</w:t>
      </w:r>
      <w:r w:rsidRPr="00F41988">
        <w:t xml:space="preserve"> – personal insights and moments of </w:t>
      </w:r>
      <w:r w:rsidR="00086CCF" w:rsidRPr="00F41988">
        <w:t>understanding.</w:t>
      </w:r>
    </w:p>
    <w:p w14:paraId="5661EBF7" w14:textId="73DD3900" w:rsidR="00F41988" w:rsidRPr="00F41988" w:rsidRDefault="00F41988" w:rsidP="00F41988">
      <w:pPr>
        <w:pStyle w:val="ListParagraph"/>
        <w:numPr>
          <w:ilvl w:val="0"/>
          <w:numId w:val="27"/>
        </w:numPr>
        <w:ind w:left="511" w:hanging="284"/>
      </w:pPr>
      <w:r w:rsidRPr="00F41988">
        <w:rPr>
          <w:i/>
          <w:iCs/>
        </w:rPr>
        <w:t>Little-c</w:t>
      </w:r>
      <w:r w:rsidRPr="00F41988">
        <w:t xml:space="preserve"> – everyday creative </w:t>
      </w:r>
      <w:r w:rsidR="00086CCF" w:rsidRPr="00F41988">
        <w:t>problem-solving.</w:t>
      </w:r>
    </w:p>
    <w:p w14:paraId="05A6566C" w14:textId="6A1C6B7D" w:rsidR="00F41988" w:rsidRPr="00F41988" w:rsidRDefault="00F41988" w:rsidP="00F41988">
      <w:pPr>
        <w:pStyle w:val="ListParagraph"/>
        <w:numPr>
          <w:ilvl w:val="0"/>
          <w:numId w:val="27"/>
        </w:numPr>
        <w:ind w:left="511" w:hanging="284"/>
      </w:pPr>
      <w:r w:rsidRPr="00F41988">
        <w:rPr>
          <w:i/>
          <w:iCs/>
        </w:rPr>
        <w:t>Pro-c</w:t>
      </w:r>
      <w:r w:rsidRPr="00F41988">
        <w:t xml:space="preserve"> – professional-level expertise refined through </w:t>
      </w:r>
      <w:r w:rsidR="00086CCF" w:rsidRPr="00F41988">
        <w:t>practice.</w:t>
      </w:r>
    </w:p>
    <w:p w14:paraId="594E3218" w14:textId="755545E5" w:rsidR="00F41988" w:rsidRPr="00F41988" w:rsidRDefault="00F41988" w:rsidP="00F41988">
      <w:pPr>
        <w:pStyle w:val="ListParagraph"/>
        <w:numPr>
          <w:ilvl w:val="0"/>
          <w:numId w:val="27"/>
        </w:numPr>
        <w:spacing w:after="180"/>
        <w:ind w:left="511" w:hanging="284"/>
      </w:pPr>
      <w:r w:rsidRPr="00F41988">
        <w:rPr>
          <w:i/>
          <w:iCs/>
        </w:rPr>
        <w:t>Big-C</w:t>
      </w:r>
      <w:r w:rsidRPr="00F41988">
        <w:t xml:space="preserve"> – eminent, field-changing creativity.</w:t>
      </w:r>
    </w:p>
    <w:p w14:paraId="27E499CA" w14:textId="77777777" w:rsidR="00F41988" w:rsidRPr="00F41988" w:rsidRDefault="00F41988" w:rsidP="00F41988">
      <w:pPr>
        <w:rPr>
          <w:shd w:val="clear" w:color="auto" w:fill="FFFFFF"/>
        </w:rPr>
      </w:pPr>
      <w:r w:rsidRPr="00F41988">
        <w:rPr>
          <w:shd w:val="clear" w:color="auto" w:fill="FFFFFF"/>
        </w:rPr>
        <w:lastRenderedPageBreak/>
        <w:t>Kaufman discussed that schools often aim for Pro-C creativity in gifted education, overlooking that creative development often starts in Mini-C and Little-C achievements. He urged assessment systems that reward originality and persistence rather than perfection, an approach that aligns directly with Type III investigations in the SEM, where students iterate, test and revise their work. Kaufman advised that gifted students require learning environments where they are safe to take educational risks and fail, one strategy for which being to offer tasks that are satisfactory/unsatisfactory rather than using a grading scale to combat the impact of perfectionism.</w:t>
      </w:r>
    </w:p>
    <w:p w14:paraId="07EC9069" w14:textId="77777777" w:rsidR="00F41988" w:rsidRPr="00F41988" w:rsidRDefault="00F41988" w:rsidP="00F41988">
      <w:pPr>
        <w:spacing w:after="120"/>
        <w:rPr>
          <w:shd w:val="clear" w:color="auto" w:fill="FFFFFF"/>
        </w:rPr>
      </w:pPr>
      <w:r w:rsidRPr="00F41988">
        <w:rPr>
          <w:shd w:val="clear" w:color="auto" w:fill="FFFFFF"/>
        </w:rPr>
        <w:t>Across the study, several consistent practices enhanced creativity and engagement:</w:t>
      </w:r>
    </w:p>
    <w:p w14:paraId="196CBE33" w14:textId="08638726" w:rsidR="00F41988" w:rsidRPr="00F41988" w:rsidRDefault="00F41988" w:rsidP="00F41988">
      <w:pPr>
        <w:pStyle w:val="ListParagraph"/>
        <w:numPr>
          <w:ilvl w:val="0"/>
          <w:numId w:val="27"/>
        </w:numPr>
        <w:ind w:left="511" w:hanging="284"/>
      </w:pPr>
      <w:r w:rsidRPr="00F41988">
        <w:t>Designing learning around student interests, providing multiple pathways to demonstrate understanding</w:t>
      </w:r>
    </w:p>
    <w:p w14:paraId="7BC96AE3" w14:textId="423697C4" w:rsidR="00F41988" w:rsidRPr="00F41988" w:rsidRDefault="00F41988" w:rsidP="00F41988">
      <w:pPr>
        <w:pStyle w:val="ListParagraph"/>
        <w:numPr>
          <w:ilvl w:val="0"/>
          <w:numId w:val="27"/>
        </w:numPr>
        <w:ind w:left="511" w:hanging="284"/>
      </w:pPr>
      <w:r w:rsidRPr="00F41988">
        <w:t>Integrating interdisciplinary projects that connect knowledge across subjects</w:t>
      </w:r>
    </w:p>
    <w:p w14:paraId="791687CA" w14:textId="604C9D2E" w:rsidR="00F41988" w:rsidRPr="00F41988" w:rsidRDefault="00F41988" w:rsidP="00F41988">
      <w:pPr>
        <w:pStyle w:val="ListParagraph"/>
        <w:numPr>
          <w:ilvl w:val="0"/>
          <w:numId w:val="27"/>
        </w:numPr>
        <w:ind w:left="511" w:hanging="284"/>
      </w:pPr>
      <w:r w:rsidRPr="00F41988">
        <w:t>Building safe-to-fail environments through formative feedback</w:t>
      </w:r>
    </w:p>
    <w:p w14:paraId="70643E00" w14:textId="4E4EC71D" w:rsidR="00F41988" w:rsidRPr="00F41988" w:rsidRDefault="00F41988" w:rsidP="00F41988">
      <w:pPr>
        <w:pStyle w:val="ListParagraph"/>
        <w:numPr>
          <w:ilvl w:val="0"/>
          <w:numId w:val="27"/>
        </w:numPr>
        <w:ind w:left="511" w:hanging="284"/>
      </w:pPr>
      <w:r w:rsidRPr="00F41988">
        <w:t>Offering authentic audiences and experiences via exhibitions and community partnerships</w:t>
      </w:r>
    </w:p>
    <w:p w14:paraId="5C73986C" w14:textId="5B7E781D" w:rsidR="00F41988" w:rsidRPr="00F41988" w:rsidRDefault="00F41988" w:rsidP="00F41988">
      <w:pPr>
        <w:pStyle w:val="ListParagraph"/>
        <w:numPr>
          <w:ilvl w:val="0"/>
          <w:numId w:val="27"/>
        </w:numPr>
        <w:spacing w:after="180"/>
        <w:ind w:left="511" w:hanging="284"/>
      </w:pPr>
      <w:r w:rsidRPr="00F41988">
        <w:t>Explicitly teaching creative and critical thinking processes</w:t>
      </w:r>
    </w:p>
    <w:p w14:paraId="59AB4A83" w14:textId="77777777" w:rsidR="00F41988" w:rsidRPr="00F41988" w:rsidRDefault="00F41988" w:rsidP="00F41988">
      <w:pPr>
        <w:pStyle w:val="Heading3"/>
      </w:pPr>
      <w:r w:rsidRPr="00F41988">
        <w:t>4. Socio-Emotional Wellbeing and Twice-Exceptionality</w:t>
      </w:r>
    </w:p>
    <w:p w14:paraId="1B567748" w14:textId="77777777" w:rsidR="00F41988" w:rsidRPr="00F41988" w:rsidRDefault="00F41988" w:rsidP="00F41988">
      <w:pPr>
        <w:rPr>
          <w:shd w:val="clear" w:color="auto" w:fill="FFFFFF"/>
        </w:rPr>
      </w:pPr>
      <w:r w:rsidRPr="00F41988">
        <w:rPr>
          <w:shd w:val="clear" w:color="auto" w:fill="FFFFFF"/>
        </w:rPr>
        <w:t xml:space="preserve">Gifted education is frequently defined through narrow measures of academic achievement and IQ, reflecting its roots in early 20th-century psychometric theories equating giftedness with fixed high intelligence. This study reinforced that socio-emotional development is an equally critical component for student success; teachers and leaders repeatedly highlighted that intellectual advancement without emotional support risks disengagement, perfectionism, or burnout. For many students, particularly those who are </w:t>
      </w:r>
      <w:proofErr w:type="gramStart"/>
      <w:r w:rsidRPr="00F41988">
        <w:rPr>
          <w:shd w:val="clear" w:color="auto" w:fill="FFFFFF"/>
        </w:rPr>
        <w:t>twice-exceptional</w:t>
      </w:r>
      <w:proofErr w:type="gramEnd"/>
      <w:r w:rsidRPr="00F41988">
        <w:rPr>
          <w:shd w:val="clear" w:color="auto" w:fill="FFFFFF"/>
        </w:rPr>
        <w:t xml:space="preserve"> (2e), wellbeing and achievement are inseparable.</w:t>
      </w:r>
    </w:p>
    <w:p w14:paraId="5F2ACA04" w14:textId="77777777" w:rsidR="00F41988" w:rsidRPr="00F41988" w:rsidRDefault="00F41988" w:rsidP="00F41988">
      <w:pPr>
        <w:rPr>
          <w:shd w:val="clear" w:color="auto" w:fill="FFFFFF"/>
        </w:rPr>
      </w:pPr>
      <w:r w:rsidRPr="00F41988">
        <w:rPr>
          <w:shd w:val="clear" w:color="auto" w:fill="FFFFFF"/>
        </w:rPr>
        <w:t>Gifted students who experience asynchronous development (the uneven progression of cognitive, social, emotional, and physical domains where the greater their intellect, the wider the developmental gap) struggle within classrooms and schools lacking gifted adjustment (Silverman, 1997). Students may think abstractly at an above-age level but struggle with age-appropriate organisation, social skills, or self-regulation. This asynchrony can manifest as anxiety, frustration, or self-criticism, worsening cycles of underachievement. The Bridges Academy in Los Angeles exemplifies strength-based provision for 2e learners who struggle with such experiences. It combines Renzulli’s SEM with the Universal Design for Learning (UDL), a framework that provides multiple means of engagement, representation, and expression (Rose &amp; Meyer, 2002). The school’s philosophy begins with each student’s passions, then builds academic and social-emotional goals around those interests. Class sizes are small, timetables flexible, and teachers trained to address sensory regulation, executive functioning, and emotional literacy. Twice a week, students participate in Young Expert Projects, structured around enrichment projects (Type III). This not only extends academic skills but fosters confidence and belonging.</w:t>
      </w:r>
    </w:p>
    <w:p w14:paraId="0794D286" w14:textId="77777777" w:rsidR="00F41988" w:rsidRPr="00F41988" w:rsidRDefault="00F41988" w:rsidP="00F41988">
      <w:pPr>
        <w:spacing w:after="120"/>
        <w:rPr>
          <w:shd w:val="clear" w:color="auto" w:fill="FFFFFF"/>
        </w:rPr>
      </w:pPr>
      <w:r w:rsidRPr="00F41988">
        <w:rPr>
          <w:shd w:val="clear" w:color="auto" w:fill="FFFFFF"/>
        </w:rPr>
        <w:t>Bridges’ tiered program structure reflects developmental priorities:</w:t>
      </w:r>
    </w:p>
    <w:p w14:paraId="735D14B3" w14:textId="0F2C7415" w:rsidR="00F41988" w:rsidRPr="00F41988" w:rsidRDefault="00F41988" w:rsidP="00F41988">
      <w:pPr>
        <w:pStyle w:val="ListParagraph"/>
        <w:numPr>
          <w:ilvl w:val="0"/>
          <w:numId w:val="27"/>
        </w:numPr>
        <w:ind w:left="511" w:hanging="284"/>
      </w:pPr>
      <w:r w:rsidRPr="00F41988">
        <w:t>The Phoenix Program (Years 4–6) builds self-regulation and social skills alongside foundational academics.</w:t>
      </w:r>
    </w:p>
    <w:p w14:paraId="54F015CE" w14:textId="6C9DEACA" w:rsidR="00F41988" w:rsidRPr="00F41988" w:rsidRDefault="00F41988" w:rsidP="00F41988">
      <w:pPr>
        <w:pStyle w:val="ListParagraph"/>
        <w:numPr>
          <w:ilvl w:val="0"/>
          <w:numId w:val="27"/>
        </w:numPr>
        <w:ind w:left="511" w:hanging="284"/>
      </w:pPr>
      <w:r w:rsidRPr="00F41988">
        <w:t>The Middle School (Years 7–8) emphasises exploration and self-advocacy.</w:t>
      </w:r>
    </w:p>
    <w:p w14:paraId="19816691" w14:textId="614005A4" w:rsidR="00F41988" w:rsidRPr="00F41988" w:rsidRDefault="00F41988" w:rsidP="00F41988">
      <w:pPr>
        <w:pStyle w:val="ListParagraph"/>
        <w:numPr>
          <w:ilvl w:val="0"/>
          <w:numId w:val="27"/>
        </w:numPr>
        <w:spacing w:after="180"/>
        <w:ind w:left="511" w:hanging="284"/>
      </w:pPr>
      <w:r w:rsidRPr="00F41988">
        <w:t>The High School (Years 9–12) rigorous academic study with interest-driven, mentored projects.</w:t>
      </w:r>
    </w:p>
    <w:p w14:paraId="14487D47" w14:textId="77777777" w:rsidR="00F41988" w:rsidRPr="00F41988" w:rsidRDefault="00F41988" w:rsidP="00F41988">
      <w:pPr>
        <w:rPr>
          <w:shd w:val="clear" w:color="auto" w:fill="FFFFFF"/>
        </w:rPr>
      </w:pPr>
      <w:r w:rsidRPr="00F41988">
        <w:rPr>
          <w:shd w:val="clear" w:color="auto" w:fill="FFFFFF"/>
        </w:rPr>
        <w:lastRenderedPageBreak/>
        <w:t xml:space="preserve">Throughout, wellbeing is not an adjunct but a core component of curriculum. Teachers explicitly teach emotional regulation strategies and on-demand counselling is available daily. </w:t>
      </w:r>
    </w:p>
    <w:p w14:paraId="3BFAD3E7" w14:textId="71F6AE9E" w:rsidR="00F41988" w:rsidRPr="00F41988" w:rsidRDefault="00F41988" w:rsidP="00F41988">
      <w:pPr>
        <w:rPr>
          <w:shd w:val="clear" w:color="auto" w:fill="FFFFFF"/>
        </w:rPr>
      </w:pPr>
      <w:r w:rsidRPr="00F41988">
        <w:rPr>
          <w:shd w:val="clear" w:color="auto" w:fill="FFFFFF"/>
        </w:rPr>
        <w:t xml:space="preserve">Similarly, the </w:t>
      </w:r>
      <w:proofErr w:type="spellStart"/>
      <w:r w:rsidRPr="00F41988">
        <w:rPr>
          <w:shd w:val="clear" w:color="auto" w:fill="FFFFFF"/>
        </w:rPr>
        <w:t>FlexSchool</w:t>
      </w:r>
      <w:proofErr w:type="spellEnd"/>
      <w:r w:rsidRPr="00F41988">
        <w:rPr>
          <w:shd w:val="clear" w:color="auto" w:fill="FFFFFF"/>
        </w:rPr>
        <w:t xml:space="preserve"> in New York City serves a fully twice-exceptional cohort, including students with ADHD, autism, dyslexia, and anxiety. Founder Jacqueline Byrne summarised its philosophy: </w:t>
      </w:r>
      <w:r>
        <w:rPr>
          <w:shd w:val="clear" w:color="auto" w:fill="FFFFFF"/>
        </w:rPr>
        <w:t>‘</w:t>
      </w:r>
      <w:r w:rsidRPr="00F41988">
        <w:rPr>
          <w:shd w:val="clear" w:color="auto" w:fill="FFFFFF"/>
        </w:rPr>
        <w:t>Our students sit at both ends of the bell curve at the same time. They need challenge and care in equal measure.</w:t>
      </w:r>
      <w:r>
        <w:rPr>
          <w:shd w:val="clear" w:color="auto" w:fill="FFFFFF"/>
        </w:rPr>
        <w:t>’</w:t>
      </w:r>
      <w:r w:rsidRPr="00F41988">
        <w:rPr>
          <w:shd w:val="clear" w:color="auto" w:fill="FFFFFF"/>
        </w:rPr>
        <w:t xml:space="preserve"> The school applies the Columbus Group’s (1991) definition of giftedness as asynchronous development, combining advanced cognitive ability and heightened intensity. Students are grouped by ability, allowing advanced progression in areas of strength while receiving support where needed. For example, one student undertook grade-level English alongside Advanced Placement Chemistry at eight years old.</w:t>
      </w:r>
    </w:p>
    <w:p w14:paraId="20A006DB" w14:textId="794FF2F6" w:rsidR="00F41988" w:rsidRPr="00F41988" w:rsidRDefault="00F41988" w:rsidP="00F41988">
      <w:pPr>
        <w:rPr>
          <w:shd w:val="clear" w:color="auto" w:fill="FFFFFF"/>
        </w:rPr>
      </w:pPr>
      <w:proofErr w:type="spellStart"/>
      <w:r w:rsidRPr="00F41988">
        <w:rPr>
          <w:shd w:val="clear" w:color="auto" w:fill="FFFFFF"/>
        </w:rPr>
        <w:t>FlexSchool</w:t>
      </w:r>
      <w:proofErr w:type="spellEnd"/>
      <w:r w:rsidRPr="00F41988">
        <w:rPr>
          <w:shd w:val="clear" w:color="auto" w:fill="FFFFFF"/>
        </w:rPr>
        <w:t xml:space="preserve"> also utilises the SEM through a </w:t>
      </w:r>
      <w:proofErr w:type="spellStart"/>
      <w:r w:rsidRPr="00F41988">
        <w:rPr>
          <w:shd w:val="clear" w:color="auto" w:fill="FFFFFF"/>
        </w:rPr>
        <w:t>FlexFriday</w:t>
      </w:r>
      <w:proofErr w:type="spellEnd"/>
      <w:r w:rsidRPr="00F41988">
        <w:rPr>
          <w:shd w:val="clear" w:color="auto" w:fill="FFFFFF"/>
        </w:rPr>
        <w:t xml:space="preserve"> enrichment programme. Each Friday combines executive functioning workshops, creative arts, and real-world skills such as financial literacy or travel planning, alongside enrichment excursions. Byrne outlined the school’s belief that having a fixed approach to assessment and curriculum runs counter to the ethos of gifted education; ‘…you stop all the things that make these kids special. The tangents are where real learning happens.</w:t>
      </w:r>
      <w:r>
        <w:rPr>
          <w:shd w:val="clear" w:color="auto" w:fill="FFFFFF"/>
        </w:rPr>
        <w:t>’</w:t>
      </w:r>
      <w:r w:rsidRPr="00F41988">
        <w:rPr>
          <w:shd w:val="clear" w:color="auto" w:fill="FFFFFF"/>
        </w:rPr>
        <w:t xml:space="preserve"> </w:t>
      </w:r>
    </w:p>
    <w:p w14:paraId="3633D367" w14:textId="77777777" w:rsidR="00F41988" w:rsidRPr="00F41988" w:rsidRDefault="00F41988" w:rsidP="00F41988">
      <w:pPr>
        <w:spacing w:after="120"/>
        <w:rPr>
          <w:shd w:val="clear" w:color="auto" w:fill="FFFFFF"/>
        </w:rPr>
      </w:pPr>
      <w:r w:rsidRPr="00F41988">
        <w:rPr>
          <w:shd w:val="clear" w:color="auto" w:fill="FFFFFF"/>
        </w:rPr>
        <w:t>Embedding wellbeing into gifted education requires deliberate alignment of curriculum, counselling, and teacher expertise. The most effective strategies observed included:</w:t>
      </w:r>
    </w:p>
    <w:p w14:paraId="7D41FA12" w14:textId="0472C39F" w:rsidR="00F41988" w:rsidRPr="00F41988" w:rsidRDefault="00F41988" w:rsidP="00F41988">
      <w:pPr>
        <w:pStyle w:val="ListParagraph"/>
        <w:numPr>
          <w:ilvl w:val="0"/>
          <w:numId w:val="27"/>
        </w:numPr>
        <w:ind w:left="511" w:hanging="284"/>
      </w:pPr>
      <w:r w:rsidRPr="00F41988">
        <w:rPr>
          <w:b/>
          <w:bCs/>
        </w:rPr>
        <w:t>Strength-based entry points</w:t>
      </w:r>
      <w:r w:rsidRPr="00F41988">
        <w:t>, positioning passions and talents as gateways to engagement.</w:t>
      </w:r>
    </w:p>
    <w:p w14:paraId="672374B4" w14:textId="48FB9FA1" w:rsidR="00F41988" w:rsidRPr="00F41988" w:rsidRDefault="00F41988" w:rsidP="00F41988">
      <w:pPr>
        <w:pStyle w:val="ListParagraph"/>
        <w:numPr>
          <w:ilvl w:val="0"/>
          <w:numId w:val="27"/>
        </w:numPr>
        <w:ind w:left="511" w:hanging="284"/>
      </w:pPr>
      <w:r w:rsidRPr="00F41988">
        <w:rPr>
          <w:b/>
          <w:bCs/>
        </w:rPr>
        <w:t>Flexible pacing and grouping</w:t>
      </w:r>
      <w:r w:rsidRPr="00F41988">
        <w:t>, preventing advanced ability or learning difficulty from dominating a student’s identity.</w:t>
      </w:r>
    </w:p>
    <w:p w14:paraId="56411A72" w14:textId="09A04BFD" w:rsidR="00F41988" w:rsidRPr="00F41988" w:rsidRDefault="00F41988" w:rsidP="00F41988">
      <w:pPr>
        <w:pStyle w:val="ListParagraph"/>
        <w:numPr>
          <w:ilvl w:val="0"/>
          <w:numId w:val="27"/>
        </w:numPr>
        <w:ind w:left="511" w:hanging="284"/>
      </w:pPr>
      <w:r w:rsidRPr="00F41988">
        <w:rPr>
          <w:b/>
          <w:bCs/>
        </w:rPr>
        <w:t>Integrated wellbeing supports</w:t>
      </w:r>
      <w:r w:rsidRPr="00F41988">
        <w:t>, collaboration between gifted co-ordinators, learning support, and counsellors.</w:t>
      </w:r>
    </w:p>
    <w:p w14:paraId="1AA06753" w14:textId="26BF9DD2" w:rsidR="00F41988" w:rsidRPr="00F41988" w:rsidRDefault="00F41988" w:rsidP="00F41988">
      <w:pPr>
        <w:pStyle w:val="ListParagraph"/>
        <w:numPr>
          <w:ilvl w:val="0"/>
          <w:numId w:val="27"/>
        </w:numPr>
        <w:ind w:left="511" w:hanging="284"/>
      </w:pPr>
      <w:r w:rsidRPr="00F41988">
        <w:rPr>
          <w:b/>
          <w:bCs/>
        </w:rPr>
        <w:t>Safe spaces for regulation</w:t>
      </w:r>
      <w:r w:rsidRPr="00F41988">
        <w:t>, managing stress and sensory needs without stigma.</w:t>
      </w:r>
    </w:p>
    <w:p w14:paraId="16A8A1D0" w14:textId="7A45C52C" w:rsidR="00F41988" w:rsidRPr="00F41988" w:rsidRDefault="00F41988" w:rsidP="00F41988">
      <w:pPr>
        <w:pStyle w:val="ListParagraph"/>
        <w:numPr>
          <w:ilvl w:val="0"/>
          <w:numId w:val="27"/>
        </w:numPr>
        <w:spacing w:after="180"/>
        <w:ind w:left="511" w:hanging="284"/>
      </w:pPr>
      <w:r w:rsidRPr="00F41988">
        <w:rPr>
          <w:b/>
          <w:bCs/>
        </w:rPr>
        <w:t>Explicit teaching of self-advocacy</w:t>
      </w:r>
      <w:r w:rsidRPr="00F41988">
        <w:t>, helping students articulate both their strengths and their challenges.</w:t>
      </w:r>
    </w:p>
    <w:p w14:paraId="345FE8CE" w14:textId="08236407" w:rsidR="005F1846" w:rsidRDefault="00F41988" w:rsidP="00F41988">
      <w:pPr>
        <w:rPr>
          <w:shd w:val="clear" w:color="auto" w:fill="FFFFFF"/>
        </w:rPr>
      </w:pPr>
      <w:r w:rsidRPr="00F41988">
        <w:rPr>
          <w:shd w:val="clear" w:color="auto" w:fill="FFFFFF"/>
        </w:rPr>
        <w:t xml:space="preserve">Professor Jae Jung (UNSW) noted in his interview that </w:t>
      </w:r>
      <w:r w:rsidR="002A0E5B">
        <w:rPr>
          <w:shd w:val="clear" w:color="auto" w:fill="FFFFFF"/>
        </w:rPr>
        <w:t>‘</w:t>
      </w:r>
      <w:r w:rsidRPr="00F41988">
        <w:rPr>
          <w:shd w:val="clear" w:color="auto" w:fill="FFFFFF"/>
        </w:rPr>
        <w:t>socio-emotional support needs to be built-in, it’s almost as important as the academic side.</w:t>
      </w:r>
      <w:r w:rsidR="002A0E5B">
        <w:rPr>
          <w:shd w:val="clear" w:color="auto" w:fill="FFFFFF"/>
        </w:rPr>
        <w:t>’</w:t>
      </w:r>
      <w:r w:rsidRPr="00F41988">
        <w:rPr>
          <w:shd w:val="clear" w:color="auto" w:fill="FFFFFF"/>
        </w:rPr>
        <w:t xml:space="preserve"> He identified perfectionism, heightened moral sensitivity, and anxiety as common traits among gifted learners that require proactive support. For NSW, this means embedding HPGE provisions that attend equally to cognitive and affective domains of giftedness. Professional learning for teachers should include recognising asynchronous development, understanding 2e profiles, and applying universal design principles within gifted programmes. When wellbeing and challenge coexist, gifted students thrive, not despite their differences, but because their differences are understood as part of their potential.</w:t>
      </w:r>
    </w:p>
    <w:p w14:paraId="42BF156B" w14:textId="77777777" w:rsidR="00F41988" w:rsidRPr="00F41988" w:rsidRDefault="00F41988" w:rsidP="00F41988">
      <w:pPr>
        <w:pStyle w:val="Heading3"/>
      </w:pPr>
      <w:r w:rsidRPr="00F41988">
        <w:t>5. Systemic Support and Professional Learning</w:t>
      </w:r>
    </w:p>
    <w:p w14:paraId="37A5807D" w14:textId="77777777" w:rsidR="00F41988" w:rsidRPr="00F41988" w:rsidRDefault="00F41988" w:rsidP="00F41988">
      <w:pPr>
        <w:spacing w:after="60"/>
        <w:rPr>
          <w:b/>
          <w:bCs/>
          <w:shd w:val="clear" w:color="auto" w:fill="FFFFFF"/>
        </w:rPr>
      </w:pPr>
      <w:r w:rsidRPr="00F41988">
        <w:rPr>
          <w:b/>
          <w:bCs/>
          <w:shd w:val="clear" w:color="auto" w:fill="FFFFFF"/>
        </w:rPr>
        <w:t>Systemic and School Leadership Support</w:t>
      </w:r>
    </w:p>
    <w:p w14:paraId="633F1459" w14:textId="77777777" w:rsidR="00F41988" w:rsidRPr="00F41988" w:rsidRDefault="00F41988" w:rsidP="00F41988">
      <w:pPr>
        <w:rPr>
          <w:shd w:val="clear" w:color="auto" w:fill="FFFFFF"/>
        </w:rPr>
      </w:pPr>
      <w:r w:rsidRPr="00F41988">
        <w:rPr>
          <w:shd w:val="clear" w:color="auto" w:fill="FFFFFF"/>
        </w:rPr>
        <w:t xml:space="preserve">While identification and curriculum determine the quality of provision, the most decisive factor observed in sustaining gifted education is systemic support. Across the tour, the success of programmes depended not only on innovative pedagogy, but also leadership structures, resourcing, and professional learning that enabled teachers to enact them. </w:t>
      </w:r>
    </w:p>
    <w:p w14:paraId="05FC8B7A" w14:textId="64AA8D36" w:rsidR="00F41988" w:rsidRPr="00F41988" w:rsidRDefault="00F41988" w:rsidP="00F41988">
      <w:pPr>
        <w:rPr>
          <w:shd w:val="clear" w:color="auto" w:fill="FFFFFF"/>
        </w:rPr>
      </w:pPr>
      <w:r w:rsidRPr="00F41988">
        <w:rPr>
          <w:shd w:val="clear" w:color="auto" w:fill="FFFFFF"/>
        </w:rPr>
        <w:t xml:space="preserve">In </w:t>
      </w:r>
      <w:r w:rsidR="00D947AC">
        <w:rPr>
          <w:shd w:val="clear" w:color="auto" w:fill="FFFFFF"/>
        </w:rPr>
        <w:t>US</w:t>
      </w:r>
      <w:r w:rsidRPr="00F41988">
        <w:rPr>
          <w:shd w:val="clear" w:color="auto" w:fill="FFFFFF"/>
        </w:rPr>
        <w:t xml:space="preserve"> districts with state mandates, such as Texas and Louisiana, gifted education is protected by policy and funding. Mandatory identification ensured that all students could be considered for services, while designated staffing and accountability </w:t>
      </w:r>
      <w:r w:rsidR="00086CCF" w:rsidRPr="00F41988">
        <w:rPr>
          <w:shd w:val="clear" w:color="auto" w:fill="FFFFFF"/>
        </w:rPr>
        <w:t>measures-maintained</w:t>
      </w:r>
      <w:r w:rsidRPr="00F41988">
        <w:rPr>
          <w:shd w:val="clear" w:color="auto" w:fill="FFFFFF"/>
        </w:rPr>
        <w:t xml:space="preserve"> consistency. In </w:t>
      </w:r>
      <w:r w:rsidRPr="00F41988">
        <w:rPr>
          <w:shd w:val="clear" w:color="auto" w:fill="FFFFFF"/>
        </w:rPr>
        <w:lastRenderedPageBreak/>
        <w:t xml:space="preserve">contrast, West Coast schools without mandates relied on individual initiative, resulting in sporadic provisions across the state largely centred within specialist gifted schools. This created inspiring </w:t>
      </w:r>
      <w:r w:rsidR="00086CCF" w:rsidRPr="00F41988">
        <w:rPr>
          <w:shd w:val="clear" w:color="auto" w:fill="FFFFFF"/>
        </w:rPr>
        <w:t>grassroots programmes but</w:t>
      </w:r>
      <w:r w:rsidRPr="00F41988">
        <w:rPr>
          <w:shd w:val="clear" w:color="auto" w:fill="FFFFFF"/>
        </w:rPr>
        <w:t xml:space="preserve"> also highlighted fragility; when passionate teachers moved on, provisions collapsed. This underscored the importance of the new policy protections for HPGE in NSW. In schools within low socio-economic areas without mandates, such as </w:t>
      </w:r>
      <w:proofErr w:type="spellStart"/>
      <w:r w:rsidRPr="00F41988">
        <w:rPr>
          <w:shd w:val="clear" w:color="auto" w:fill="FFFFFF"/>
        </w:rPr>
        <w:t>Ponus</w:t>
      </w:r>
      <w:proofErr w:type="spellEnd"/>
      <w:r w:rsidRPr="00F41988">
        <w:rPr>
          <w:shd w:val="clear" w:color="auto" w:fill="FFFFFF"/>
        </w:rPr>
        <w:t xml:space="preserve"> Ridge STEAM school, executive support was instrumental in gifted programmes enduring the pressures of competing priorities. The school’s </w:t>
      </w:r>
      <w:r w:rsidR="00086CCF" w:rsidRPr="00F41988">
        <w:rPr>
          <w:shd w:val="clear" w:color="auto" w:fill="FFFFFF"/>
        </w:rPr>
        <w:t>principal, Dr</w:t>
      </w:r>
      <w:r w:rsidRPr="00F41988">
        <w:rPr>
          <w:shd w:val="clear" w:color="auto" w:fill="FFFFFF"/>
        </w:rPr>
        <w:t xml:space="preserve"> Damon Lewis, exemplified this. Dr Lewis, who won National Middle School Principal of the Year in 2025, has transformed school culture, reduced chronic absenteeism, and expanded equitable access to acceleration and gifted programmes. Staff across the school were enthusiastic for me to meet him, and their gifted co-ordinator was adamant, </w:t>
      </w:r>
      <w:r>
        <w:rPr>
          <w:shd w:val="clear" w:color="auto" w:fill="FFFFFF"/>
        </w:rPr>
        <w:t>‘</w:t>
      </w:r>
      <w:r w:rsidRPr="00F41988">
        <w:rPr>
          <w:shd w:val="clear" w:color="auto" w:fill="FFFFFF"/>
        </w:rPr>
        <w:t>the principal’s support is the most important thing you can have</w:t>
      </w:r>
      <w:r>
        <w:rPr>
          <w:shd w:val="clear" w:color="auto" w:fill="FFFFFF"/>
        </w:rPr>
        <w:t>’</w:t>
      </w:r>
      <w:r w:rsidRPr="00F41988">
        <w:rPr>
          <w:shd w:val="clear" w:color="auto" w:fill="FFFFFF"/>
        </w:rPr>
        <w:t xml:space="preserve"> and credited the programme’s continuity to his advocacy.</w:t>
      </w:r>
    </w:p>
    <w:p w14:paraId="447F8570" w14:textId="77777777" w:rsidR="00F41988" w:rsidRPr="00F41988" w:rsidRDefault="00F41988" w:rsidP="00F41988">
      <w:pPr>
        <w:spacing w:after="60"/>
        <w:rPr>
          <w:b/>
          <w:bCs/>
          <w:shd w:val="clear" w:color="auto" w:fill="FFFFFF"/>
        </w:rPr>
      </w:pPr>
      <w:r w:rsidRPr="00F41988">
        <w:rPr>
          <w:b/>
          <w:bCs/>
          <w:shd w:val="clear" w:color="auto" w:fill="FFFFFF"/>
        </w:rPr>
        <w:t>Funding and Resources</w:t>
      </w:r>
    </w:p>
    <w:p w14:paraId="6B2EE36A" w14:textId="77777777" w:rsidR="00F41988" w:rsidRPr="00F41988" w:rsidRDefault="00F41988" w:rsidP="00F41988">
      <w:pPr>
        <w:rPr>
          <w:shd w:val="clear" w:color="auto" w:fill="FFFFFF"/>
        </w:rPr>
      </w:pPr>
      <w:r w:rsidRPr="00F41988">
        <w:rPr>
          <w:shd w:val="clear" w:color="auto" w:fill="FFFFFF"/>
        </w:rPr>
        <w:t>Systemic support also relies on time and staffing. The most sustainable school models had timetabled enrichment lessons, protected from timetable erosion. In these contexts, gifted education was not perceived as an extracurricular luxury but a structural component of learning. Timetabling protection ensured equity of access and allowed teachers to plan and assess enrichment outcomes systematically. Where this time was unprotected, programmes were often the first casualties of competing priorities.</w:t>
      </w:r>
    </w:p>
    <w:p w14:paraId="00D74F86" w14:textId="5EB4DB10" w:rsidR="00F41988" w:rsidRPr="00F41988" w:rsidRDefault="00F41988" w:rsidP="00F41988">
      <w:pPr>
        <w:rPr>
          <w:shd w:val="clear" w:color="auto" w:fill="FFFFFF"/>
        </w:rPr>
      </w:pPr>
      <w:r w:rsidRPr="00F41988">
        <w:rPr>
          <w:shd w:val="clear" w:color="auto" w:fill="FFFFFF"/>
        </w:rPr>
        <w:t xml:space="preserve">Funding structures further shape the landscape. In the </w:t>
      </w:r>
      <w:r w:rsidR="00D947AC">
        <w:rPr>
          <w:shd w:val="clear" w:color="auto" w:fill="FFFFFF"/>
        </w:rPr>
        <w:t>US</w:t>
      </w:r>
      <w:r w:rsidRPr="00F41988">
        <w:rPr>
          <w:shd w:val="clear" w:color="auto" w:fill="FFFFFF"/>
        </w:rPr>
        <w:t>, public education is largely financed through local property taxes, producing stark disparities between affluent and disadvantaged districts (</w:t>
      </w:r>
      <w:r w:rsidR="00D947AC">
        <w:rPr>
          <w:shd w:val="clear" w:color="auto" w:fill="FFFFFF"/>
        </w:rPr>
        <w:t>US</w:t>
      </w:r>
      <w:r w:rsidRPr="00F41988">
        <w:rPr>
          <w:shd w:val="clear" w:color="auto" w:fill="FFFFFF"/>
        </w:rPr>
        <w:t xml:space="preserve"> Department of Education, 2023). Wealthier areas offer extensive gifted provisions, while schools in lower-income communities struggle for basic resources. This inequity reinforces the significance of Australia’s Schooling Resource Standard (SRS), which allocates funds based on student need. Unlike the </w:t>
      </w:r>
      <w:r w:rsidR="00D947AC">
        <w:rPr>
          <w:shd w:val="clear" w:color="auto" w:fill="FFFFFF"/>
        </w:rPr>
        <w:t>US</w:t>
      </w:r>
      <w:r w:rsidRPr="00F41988">
        <w:rPr>
          <w:shd w:val="clear" w:color="auto" w:fill="FFFFFF"/>
        </w:rPr>
        <w:t xml:space="preserve"> model, it provides a more stable basis for equitable implementation of HPGE across diverse NSW schools. </w:t>
      </w:r>
    </w:p>
    <w:p w14:paraId="5F127E73" w14:textId="77777777" w:rsidR="00F41988" w:rsidRPr="00F41988" w:rsidRDefault="00F41988" w:rsidP="00F41988">
      <w:pPr>
        <w:spacing w:after="60"/>
        <w:rPr>
          <w:b/>
          <w:bCs/>
          <w:shd w:val="clear" w:color="auto" w:fill="FFFFFF"/>
        </w:rPr>
      </w:pPr>
      <w:r w:rsidRPr="00F41988">
        <w:rPr>
          <w:b/>
          <w:bCs/>
          <w:shd w:val="clear" w:color="auto" w:fill="FFFFFF"/>
        </w:rPr>
        <w:t>Professional Learning</w:t>
      </w:r>
    </w:p>
    <w:p w14:paraId="3F3605EF" w14:textId="77777777" w:rsidR="00F41988" w:rsidRPr="00F41988" w:rsidRDefault="00F41988" w:rsidP="00F41988">
      <w:pPr>
        <w:rPr>
          <w:shd w:val="clear" w:color="auto" w:fill="FFFFFF"/>
        </w:rPr>
      </w:pPr>
      <w:r w:rsidRPr="00F41988">
        <w:rPr>
          <w:shd w:val="clear" w:color="auto" w:fill="FFFFFF"/>
        </w:rPr>
        <w:t xml:space="preserve">The most successful schools viewed professional learning as an ongoing, cyclical process. Effective Gifted PL was characterised by collaboration, practice, and reflection rather than one-off workshops. District leaders in Texas and Connecticut used a train-the-trainer approach, where G&amp;T specialists coached teachers in differentiation, co-taught lessons, and modelled enrichment strategies. Similarly, at the Renzulli Academy and Roton Middle, teachers met weekly to co-plan enrichment clusters, compact curriculum, and share student progress. These structures normalised gifted pedagogy as collective professional practice rather than specialist expertise. </w:t>
      </w:r>
    </w:p>
    <w:p w14:paraId="72B23FDC" w14:textId="3CEDB728" w:rsidR="00F41988" w:rsidRPr="00F41988" w:rsidRDefault="00F41988" w:rsidP="00F41988">
      <w:pPr>
        <w:rPr>
          <w:shd w:val="clear" w:color="auto" w:fill="FFFFFF"/>
        </w:rPr>
      </w:pPr>
      <w:r w:rsidRPr="00F41988">
        <w:rPr>
          <w:shd w:val="clear" w:color="auto" w:fill="FFFFFF"/>
        </w:rPr>
        <w:t xml:space="preserve">Dr Catherine Little (UConn) argued that subject mastery is the foundation of gifted pedagogy: </w:t>
      </w:r>
      <w:r>
        <w:rPr>
          <w:shd w:val="clear" w:color="auto" w:fill="FFFFFF"/>
        </w:rPr>
        <w:t>‘</w:t>
      </w:r>
      <w:r w:rsidRPr="00F41988">
        <w:rPr>
          <w:shd w:val="clear" w:color="auto" w:fill="FFFFFF"/>
        </w:rPr>
        <w:t>You can teach a subject expert to differentiate for gifted learners, but you can’t teach differentiation to someone who doesn’t understand the depth of the content.</w:t>
      </w:r>
      <w:r>
        <w:rPr>
          <w:shd w:val="clear" w:color="auto" w:fill="FFFFFF"/>
        </w:rPr>
        <w:t>’</w:t>
      </w:r>
      <w:r w:rsidRPr="00F41988">
        <w:rPr>
          <w:shd w:val="clear" w:color="auto" w:fill="FFFFFF"/>
        </w:rPr>
        <w:t xml:space="preserve"> Consequently, PL that strengthens disciplinary depth alongside strategies for curriculum adjustment has the most transformative impact. In NSW, this could translate to faculty-based mentoring, collaborative planning time, and peer observation focused on enrichment and compacting techniques.</w:t>
      </w:r>
    </w:p>
    <w:p w14:paraId="3B48C7F1" w14:textId="77777777" w:rsidR="00F41988" w:rsidRPr="00F41988" w:rsidRDefault="00F41988" w:rsidP="00F41988">
      <w:pPr>
        <w:rPr>
          <w:shd w:val="clear" w:color="auto" w:fill="FFFFFF"/>
        </w:rPr>
      </w:pPr>
      <w:r w:rsidRPr="00F41988">
        <w:rPr>
          <w:shd w:val="clear" w:color="auto" w:fill="FFFFFF"/>
        </w:rPr>
        <w:t>Strong PL support also depends on policy alignment and leadership advocacy. Prof Jung (UNSW) noted in his interview that the two most influential factors shaping teacher attitudes toward gifted education are leadership support and knowledge of giftedness (Jung, 2014). When principals publicly champion HPGE initiatives and integrate them into School Excellence Plans, enrichment becomes a PL priority rather than an optional extension. This finding reinforces the importance of including HPGE within strategic planning and ensuring accountability for outcomes.</w:t>
      </w:r>
    </w:p>
    <w:p w14:paraId="3F06250A" w14:textId="77777777" w:rsidR="00ED3B04" w:rsidRPr="00ED3B04" w:rsidRDefault="00ED3B04" w:rsidP="001B4C3C">
      <w:pPr>
        <w:pStyle w:val="Heading1"/>
        <w:rPr>
          <w:highlight w:val="white"/>
        </w:rPr>
      </w:pPr>
      <w:r w:rsidRPr="00ED3B04">
        <w:rPr>
          <w:highlight w:val="white"/>
        </w:rPr>
        <w:lastRenderedPageBreak/>
        <w:t>Conclusion</w:t>
      </w:r>
    </w:p>
    <w:p w14:paraId="0AE8E695" w14:textId="6ECF6425" w:rsidR="002A0E5B" w:rsidRPr="002A0E5B" w:rsidRDefault="002A0E5B" w:rsidP="002A0E5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2A0E5B">
        <w:rPr>
          <w:highlight w:val="white"/>
        </w:rPr>
        <w:t xml:space="preserve">Gifted education in New South Wales stands at a pivotal juncture. The 2025 implementation of the DET HPGE Policy (2021) presents an unprecedented opportunity to embed equity and excellence within every school, yet it also reinforces the need for systemic structures that allow this vision to succeed. This study tour across the </w:t>
      </w:r>
      <w:r w:rsidR="00D947AC">
        <w:rPr>
          <w:highlight w:val="white"/>
        </w:rPr>
        <w:t>US</w:t>
      </w:r>
      <w:r w:rsidRPr="002A0E5B">
        <w:rPr>
          <w:highlight w:val="white"/>
        </w:rPr>
        <w:t xml:space="preserve"> demonstrated that while policy contexts may vary, the core principles of effective gifted education remain universal: inclusive identification; curriculum compacting and readiness grouping; creative, strength-based learning; socio-emotional support; and sustained teacher development.</w:t>
      </w:r>
    </w:p>
    <w:p w14:paraId="23E29ED3" w14:textId="1990720F" w:rsidR="002A0E5B" w:rsidRDefault="002A0E5B" w:rsidP="002A0E5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A0E5B">
        <w:rPr>
          <w:highlight w:val="white"/>
        </w:rPr>
        <w:t xml:space="preserve">The study found that equity and excellence are not opposing </w:t>
      </w:r>
      <w:r w:rsidR="008C2385" w:rsidRPr="002A0E5B">
        <w:rPr>
          <w:highlight w:val="white"/>
        </w:rPr>
        <w:t>aims but</w:t>
      </w:r>
      <w:r w:rsidRPr="002A0E5B">
        <w:rPr>
          <w:highlight w:val="white"/>
        </w:rPr>
        <w:t xml:space="preserve"> mutually reinforcing. When schools adopt multi-criteria identification and local norms, they uncover potential in students who might otherwise be overlooked. When teachers provide flexible, creative curriculum design and readiness grouping, they transform disengagement into motivation. When wellbeing and academic challenge coexist, twice-exceptional </w:t>
      </w:r>
      <w:r w:rsidR="008C2385" w:rsidRPr="002A0E5B">
        <w:rPr>
          <w:highlight w:val="white"/>
        </w:rPr>
        <w:t>students’</w:t>
      </w:r>
      <w:r w:rsidRPr="002A0E5B">
        <w:rPr>
          <w:highlight w:val="white"/>
        </w:rPr>
        <w:t xml:space="preserve"> flourish. And when leadership protects time, funding, and professional learning, gifted education becomes sustainable rather than dependent on individual initiative.</w:t>
      </w:r>
    </w:p>
    <w:p w14:paraId="003DCC18" w14:textId="77777777" w:rsidR="002A0E5B" w:rsidRPr="002A0E5B" w:rsidRDefault="002A0E5B" w:rsidP="002A0E5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A0E5B">
        <w:rPr>
          <w:highlight w:val="white"/>
        </w:rPr>
        <w:t xml:space="preserve">Perhaps the most compelling finding was the potential afforded by integrating two influential models of gifted education: Renzulli’s SEM and Gagné’s DMGT, though distinct in purpose, align. The SEM offers pedagogical structure; enrichment, creativity, and authentic learning, while the DMGT provides the developmental logic for transforming ability into talent. Embedding the SEM within the DMGT framework allows schools to move beyond isolated programmes toward a </w:t>
      </w:r>
      <w:r w:rsidRPr="002A0E5B">
        <w:rPr>
          <w:i/>
          <w:iCs/>
          <w:highlight w:val="white"/>
        </w:rPr>
        <w:t>whole-school culture of talent development</w:t>
      </w:r>
      <w:r w:rsidRPr="002A0E5B">
        <w:rPr>
          <w:highlight w:val="white"/>
        </w:rPr>
        <w:t>. This combination situates enrichment as the environmental catalyst that activates the developmental process, ensuring that gifted education is accessible, inclusive, and continuous. By combining the DMGT’s conceptual model with the SEM’s pedagogical framework, NSW schools can build systems that are both inclusive and rigorous, ensuring that every student, regardless of background, can access learning that meets them at their point of readiness and challenge, while also providing access to gifted pedagogies to a much wider population of gifted students. For comprehensive public schools, particularly those in low-SES communities, this integrated approach represents a pathway toward equity.</w:t>
      </w:r>
    </w:p>
    <w:p w14:paraId="71EEE35F" w14:textId="678C2F37" w:rsidR="002A0E5B" w:rsidRDefault="002A0E5B"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A0E5B">
        <w:rPr>
          <w:highlight w:val="white"/>
        </w:rPr>
        <w:t xml:space="preserve">Throughout this study, I asked each expert what drew them to the field of gifted education. Their answers converged around ideas of possibility and potential. Dr Sally Reis described </w:t>
      </w:r>
      <w:r>
        <w:rPr>
          <w:highlight w:val="white"/>
        </w:rPr>
        <w:t>‘</w:t>
      </w:r>
      <w:r w:rsidRPr="002A0E5B">
        <w:rPr>
          <w:highlight w:val="white"/>
        </w:rPr>
        <w:t>creating opportunities for the light to turn on for a child who didn’t know it was there</w:t>
      </w:r>
      <w:r>
        <w:rPr>
          <w:highlight w:val="white"/>
        </w:rPr>
        <w:t>’</w:t>
      </w:r>
      <w:r w:rsidRPr="002A0E5B">
        <w:rPr>
          <w:highlight w:val="white"/>
        </w:rPr>
        <w:t xml:space="preserve">, while Dr Joseph Renzulli spoke of his life’s work as broadening conceptions of giftedness so that </w:t>
      </w:r>
      <w:r>
        <w:rPr>
          <w:highlight w:val="white"/>
        </w:rPr>
        <w:t>‘</w:t>
      </w:r>
      <w:r w:rsidRPr="002A0E5B">
        <w:rPr>
          <w:highlight w:val="white"/>
        </w:rPr>
        <w:t>more students can find their place to shine.</w:t>
      </w:r>
      <w:r>
        <w:rPr>
          <w:highlight w:val="white"/>
        </w:rPr>
        <w:t>’</w:t>
      </w:r>
      <w:r w:rsidRPr="002A0E5B">
        <w:rPr>
          <w:highlight w:val="white"/>
        </w:rPr>
        <w:t xml:space="preserve"> Dr Del Siegle’s vision was to </w:t>
      </w:r>
      <w:r>
        <w:rPr>
          <w:highlight w:val="white"/>
        </w:rPr>
        <w:t>‘</w:t>
      </w:r>
      <w:r w:rsidRPr="002A0E5B">
        <w:rPr>
          <w:highlight w:val="white"/>
        </w:rPr>
        <w:t>make school meaningful again</w:t>
      </w:r>
      <w:r>
        <w:rPr>
          <w:highlight w:val="white"/>
        </w:rPr>
        <w:t>’</w:t>
      </w:r>
      <w:r w:rsidRPr="002A0E5B">
        <w:rPr>
          <w:highlight w:val="white"/>
        </w:rPr>
        <w:t xml:space="preserve"> for those who had disengaged through lack of challenge. These reflections capture the moral heart of gifted education: it is not about </w:t>
      </w:r>
      <w:r w:rsidR="00D815D6" w:rsidRPr="002A0E5B">
        <w:rPr>
          <w:highlight w:val="white"/>
        </w:rPr>
        <w:t>privilege but</w:t>
      </w:r>
      <w:r w:rsidRPr="002A0E5B">
        <w:rPr>
          <w:highlight w:val="white"/>
        </w:rPr>
        <w:t xml:space="preserve"> about promise and potential for the future of our students and our communities. While Dr Renzulli’s work famously advocates for the ‘Three E’s; Enjoyment, Engagement, and Enthusiasm for learning’, Mark Long at Bridges Academy added a fourth: Equity. As New South Wales continues to embed High Potential and Gifted Education, we have the frameworks, research, and professional capacity to bring this vision to life: a system where gifted education is woven into the fabric of teaching and learning, ensuring that every gifted learner, regardless of postcode or circumstance, is recognised, extended, and empowered to thrive.</w:t>
      </w:r>
    </w:p>
    <w:p w14:paraId="590FD1D8" w14:textId="77777777" w:rsidR="00AD2995" w:rsidRDefault="00AD2995">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6F90D6AD" w14:textId="0A256E94" w:rsidR="00CD79CF" w:rsidRPr="00ED3B04" w:rsidRDefault="00CD79CF" w:rsidP="00CD79CF">
      <w:pPr>
        <w:pStyle w:val="Heading1"/>
      </w:pPr>
      <w:r>
        <w:lastRenderedPageBreak/>
        <w:t>Acknowledgements</w:t>
      </w:r>
    </w:p>
    <w:p w14:paraId="3A40985A" w14:textId="659E3FD2" w:rsidR="00B33D75" w:rsidRPr="002006E6" w:rsidRDefault="004A1997" w:rsidP="00557A3D">
      <w:pPr>
        <w:pStyle w:val="Normaltext"/>
      </w:pPr>
      <w:r>
        <w:t xml:space="preserve">Thank you for the </w:t>
      </w:r>
      <w:r w:rsidRPr="002006E6">
        <w:t xml:space="preserve">support and collaboration of </w:t>
      </w:r>
      <w:r>
        <w:t xml:space="preserve">all </w:t>
      </w:r>
      <w:r w:rsidRPr="002006E6">
        <w:t xml:space="preserve">who assisted in preparing for and engaging in the study </w:t>
      </w:r>
      <w:r w:rsidR="00BF0055" w:rsidRPr="002006E6">
        <w:t>tour</w:t>
      </w:r>
      <w:r w:rsidR="00BF0055">
        <w:t xml:space="preserve"> and</w:t>
      </w:r>
      <w:r>
        <w:t xml:space="preserve"> contributed to </w:t>
      </w:r>
      <w:r w:rsidRPr="002006E6">
        <w:t>enriching the overall experience.</w:t>
      </w:r>
      <w:r w:rsidR="002A0E5B">
        <w:t xml:space="preserve"> Thanks to the Premier’s Teacher Scholarships program, whose </w:t>
      </w:r>
      <w:r w:rsidR="00E76027">
        <w:t>generous</w:t>
      </w:r>
      <w:r w:rsidR="002A0E5B">
        <w:t xml:space="preserve"> funding of this </w:t>
      </w:r>
      <w:r>
        <w:t>scholarship made the study tour possible.</w:t>
      </w:r>
    </w:p>
    <w:p w14:paraId="7166A6E9" w14:textId="77777777" w:rsidR="004D3AEE" w:rsidRPr="00ED3B04" w:rsidRDefault="004D3AEE" w:rsidP="004D3AEE">
      <w:pPr>
        <w:pStyle w:val="Heading1"/>
      </w:pPr>
      <w:r>
        <w:t xml:space="preserve">References </w:t>
      </w:r>
    </w:p>
    <w:p w14:paraId="0A1E2957" w14:textId="77777777" w:rsidR="004D3AEE" w:rsidRDefault="00FB15FB" w:rsidP="004D3AEE">
      <w:pPr>
        <w:rPr>
          <w:highlight w:val="white"/>
        </w:rPr>
      </w:pPr>
      <w:r>
        <w:rPr>
          <w:highlight w:val="white"/>
        </w:rPr>
        <w:t>Include where cited references are linked to the body of your report. While you may have read extensively on your subject, a reading list is different from a reference list and is not required.</w:t>
      </w:r>
      <w:r w:rsidR="004D3AEE">
        <w:rPr>
          <w:highlight w:val="white"/>
        </w:rPr>
        <w:t xml:space="preserve"> </w:t>
      </w:r>
      <w:r w:rsidR="004D3AEE" w:rsidRPr="004D3AEE">
        <w:rPr>
          <w:highlight w:val="white"/>
        </w:rPr>
        <w:t xml:space="preserve">The </w:t>
      </w:r>
      <w:hyperlink r:id="rId16" w:tooltip="link to Harvard AGPS referencing on Cite This For Me" w:history="1">
        <w:r w:rsidR="004D3AEE" w:rsidRPr="004D3AEE">
          <w:rPr>
            <w:rStyle w:val="Hyperlink"/>
            <w:highlight w:val="white"/>
          </w:rPr>
          <w:t>Harvard AGPS</w:t>
        </w:r>
      </w:hyperlink>
      <w:r w:rsidR="004D3AEE" w:rsidRPr="004D3AEE">
        <w:rPr>
          <w:highlight w:val="white"/>
        </w:rPr>
        <w:t xml:space="preserve"> is recommended</w:t>
      </w:r>
      <w:r w:rsidR="004D3AEE">
        <w:rPr>
          <w:highlight w:val="white"/>
        </w:rPr>
        <w:t>.</w:t>
      </w:r>
    </w:p>
    <w:p w14:paraId="1CAAD099" w14:textId="23E30B70" w:rsidR="002A0E5B" w:rsidRDefault="002A0E5B" w:rsidP="004D3AEE">
      <w:pPr>
        <w:rPr>
          <w:highlight w:val="white"/>
        </w:rPr>
      </w:pPr>
      <w:r>
        <w:rPr>
          <w:highlight w:val="white"/>
        </w:rPr>
        <w:t xml:space="preserve">Columbus Group. (1991). </w:t>
      </w:r>
      <w:r w:rsidRPr="002A0E5B">
        <w:rPr>
          <w:i/>
          <w:iCs/>
          <w:highlight w:val="white"/>
        </w:rPr>
        <w:t>Unpublished Transcript of the 1991 Columbus Group Symposium on Asynchronous Development</w:t>
      </w:r>
    </w:p>
    <w:p w14:paraId="51F82434" w14:textId="239FB0FD" w:rsidR="002A0E5B" w:rsidRDefault="002A0E5B" w:rsidP="004D3AEE">
      <w:pPr>
        <w:rPr>
          <w:highlight w:val="white"/>
        </w:rPr>
      </w:pPr>
      <w:r>
        <w:rPr>
          <w:highlight w:val="white"/>
        </w:rPr>
        <w:t xml:space="preserve">Gagné, F. (2009). Building gifts into talents: Detailed overview of the DMGT 2.0. </w:t>
      </w:r>
      <w:r w:rsidRPr="002A0E5B">
        <w:rPr>
          <w:i/>
          <w:iCs/>
          <w:highlight w:val="white"/>
        </w:rPr>
        <w:t>Handbook of Giftedness in Children</w:t>
      </w:r>
      <w:r>
        <w:rPr>
          <w:highlight w:val="white"/>
        </w:rPr>
        <w:t>, 1, 75-113.</w:t>
      </w:r>
    </w:p>
    <w:p w14:paraId="092510C4" w14:textId="4C85B860" w:rsidR="002A0E5B" w:rsidRDefault="002A0E5B" w:rsidP="004D3AEE">
      <w:pPr>
        <w:rPr>
          <w:highlight w:val="white"/>
        </w:rPr>
      </w:pPr>
      <w:r>
        <w:rPr>
          <w:highlight w:val="white"/>
        </w:rPr>
        <w:t xml:space="preserve">Jung, J.Y. (2014). Predictors of attitudes to gifted programs and gifted students: Evidence from preservice educators. </w:t>
      </w:r>
      <w:r w:rsidRPr="002A0E5B">
        <w:rPr>
          <w:i/>
          <w:iCs/>
          <w:highlight w:val="white"/>
        </w:rPr>
        <w:t>Journal for the Education of the Gifted</w:t>
      </w:r>
      <w:r>
        <w:rPr>
          <w:highlight w:val="white"/>
        </w:rPr>
        <w:t>, 37(3), 250-268.</w:t>
      </w:r>
    </w:p>
    <w:p w14:paraId="7A556FA4" w14:textId="0B765895" w:rsidR="002A0E5B" w:rsidRDefault="002A0E5B" w:rsidP="004D3AEE">
      <w:pPr>
        <w:rPr>
          <w:highlight w:val="white"/>
        </w:rPr>
      </w:pPr>
      <w:r>
        <w:rPr>
          <w:highlight w:val="white"/>
        </w:rPr>
        <w:t xml:space="preserve">Kaufman, J.C. &amp; </w:t>
      </w:r>
      <w:proofErr w:type="spellStart"/>
      <w:r>
        <w:rPr>
          <w:highlight w:val="white"/>
        </w:rPr>
        <w:t>Beghetto</w:t>
      </w:r>
      <w:proofErr w:type="spellEnd"/>
      <w:r>
        <w:rPr>
          <w:highlight w:val="white"/>
        </w:rPr>
        <w:t xml:space="preserve">, R.A. (2009). Beyond big and little: The Four-C model of creativity. </w:t>
      </w:r>
      <w:r w:rsidRPr="002A0E5B">
        <w:rPr>
          <w:i/>
          <w:iCs/>
          <w:highlight w:val="white"/>
        </w:rPr>
        <w:t>Review of General Psychology</w:t>
      </w:r>
      <w:r>
        <w:rPr>
          <w:highlight w:val="white"/>
        </w:rPr>
        <w:t xml:space="preserve">, 13(1), 1-12. </w:t>
      </w:r>
      <w:hyperlink r:id="rId17" w:history="1">
        <w:r w:rsidRPr="00915A2E">
          <w:rPr>
            <w:rStyle w:val="Hyperlink"/>
            <w:highlight w:val="white"/>
          </w:rPr>
          <w:t>https://doi.org/10.1037/a0013688</w:t>
        </w:r>
      </w:hyperlink>
      <w:r>
        <w:rPr>
          <w:highlight w:val="white"/>
        </w:rPr>
        <w:t xml:space="preserve"> </w:t>
      </w:r>
    </w:p>
    <w:p w14:paraId="2104E2E8" w14:textId="148E91A4" w:rsidR="002A0E5B" w:rsidRDefault="002A0E5B" w:rsidP="004D3AEE">
      <w:pPr>
        <w:rPr>
          <w:highlight w:val="white"/>
        </w:rPr>
      </w:pPr>
      <w:r>
        <w:rPr>
          <w:highlight w:val="white"/>
        </w:rPr>
        <w:t xml:space="preserve">Little, C.A. (2004). </w:t>
      </w:r>
      <w:proofErr w:type="spellStart"/>
      <w:r>
        <w:rPr>
          <w:highlight w:val="white"/>
        </w:rPr>
        <w:t>Desigining</w:t>
      </w:r>
      <w:proofErr w:type="spellEnd"/>
      <w:r>
        <w:rPr>
          <w:highlight w:val="white"/>
        </w:rPr>
        <w:t xml:space="preserve"> challenging curriculum for advanced learners. [Conference Presentation]. Neag School of Education, University of Connecticut, Hartford, CT.</w:t>
      </w:r>
    </w:p>
    <w:p w14:paraId="314B2C83" w14:textId="35A685F0" w:rsidR="002A0E5B" w:rsidRDefault="002A0E5B" w:rsidP="004D3AEE">
      <w:r>
        <w:rPr>
          <w:highlight w:val="white"/>
        </w:rPr>
        <w:t xml:space="preserve">NSW Department of Education. (2021). </w:t>
      </w:r>
      <w:r w:rsidRPr="002A0E5B">
        <w:rPr>
          <w:i/>
          <w:iCs/>
          <w:highlight w:val="white"/>
        </w:rPr>
        <w:t>High Potential and Gifted Education Policy</w:t>
      </w:r>
      <w:r>
        <w:rPr>
          <w:highlight w:val="white"/>
        </w:rPr>
        <w:t xml:space="preserve">. Sydney: NSW Government. Available at </w:t>
      </w:r>
      <w:hyperlink r:id="rId18" w:history="1">
        <w:r w:rsidRPr="00915A2E">
          <w:rPr>
            <w:rStyle w:val="Hyperlink"/>
          </w:rPr>
          <w:t>https://education.nsw.gov.au/teaching-and-learning/high-potential-and-gifted-education</w:t>
        </w:r>
      </w:hyperlink>
      <w:r>
        <w:t xml:space="preserve"> </w:t>
      </w:r>
    </w:p>
    <w:p w14:paraId="4A81DD63" w14:textId="02B6B3E2" w:rsidR="002A0E5B" w:rsidRDefault="002A0E5B" w:rsidP="004D3AEE">
      <w:r>
        <w:t xml:space="preserve">Project EAGLE. (n.d.). Eliciting Advanced Gifted Learning Evidence. University of Connecticut. Retrieved 2 September 2025 from </w:t>
      </w:r>
      <w:hyperlink r:id="rId19" w:history="1">
        <w:r w:rsidRPr="00915A2E">
          <w:rPr>
            <w:rStyle w:val="Hyperlink"/>
          </w:rPr>
          <w:t>https://identifygifted.education.uconn.edu</w:t>
        </w:r>
      </w:hyperlink>
      <w:r>
        <w:t xml:space="preserve"> </w:t>
      </w:r>
    </w:p>
    <w:p w14:paraId="0C5942C6" w14:textId="51434FDB" w:rsidR="002A0E5B" w:rsidRDefault="002A0E5B" w:rsidP="004D3AEE">
      <w:r>
        <w:t xml:space="preserve">Renzulli, J.S. (2011). What makes giftedness? Re-examining a definition. </w:t>
      </w:r>
      <w:r w:rsidRPr="002A0E5B">
        <w:rPr>
          <w:i/>
          <w:iCs/>
        </w:rPr>
        <w:t xml:space="preserve">Phi Delta </w:t>
      </w:r>
      <w:proofErr w:type="spellStart"/>
      <w:r w:rsidRPr="002A0E5B">
        <w:rPr>
          <w:i/>
          <w:iCs/>
        </w:rPr>
        <w:t>Kappan</w:t>
      </w:r>
      <w:proofErr w:type="spellEnd"/>
      <w:r>
        <w:t xml:space="preserve">, 92(8), 81-88. </w:t>
      </w:r>
      <w:hyperlink r:id="rId20" w:history="1">
        <w:r w:rsidRPr="00915A2E">
          <w:rPr>
            <w:rStyle w:val="Hyperlink"/>
          </w:rPr>
          <w:t>https://doi.org/10.1177/003172171109200821</w:t>
        </w:r>
      </w:hyperlink>
    </w:p>
    <w:p w14:paraId="2208B772" w14:textId="78E811B3" w:rsidR="002A0E5B" w:rsidRDefault="002A0E5B" w:rsidP="004D3AEE">
      <w:r>
        <w:t xml:space="preserve">Renzulli, J.S. &amp; Reis, S.M. (2014). </w:t>
      </w:r>
      <w:r w:rsidRPr="002A0E5B">
        <w:rPr>
          <w:i/>
          <w:iCs/>
        </w:rPr>
        <w:t>The Schoolwide Enrichment Model: A how-to guide for educational excellence</w:t>
      </w:r>
      <w:r>
        <w:t>. Waco, TX: Prufrock Press</w:t>
      </w:r>
    </w:p>
    <w:p w14:paraId="72BFB236" w14:textId="5CCE5E58" w:rsidR="002A0E5B" w:rsidRDefault="002A0E5B" w:rsidP="004D3AEE">
      <w:r>
        <w:t xml:space="preserve">Rose, D.H. &amp; Meyer, A. (2002). </w:t>
      </w:r>
      <w:r w:rsidRPr="002A0E5B">
        <w:rPr>
          <w:i/>
          <w:iCs/>
        </w:rPr>
        <w:t>Teaching every student in the digital age: Universal design for learning</w:t>
      </w:r>
      <w:r>
        <w:t xml:space="preserve">. Alexandria, </w:t>
      </w:r>
      <w:proofErr w:type="gramStart"/>
      <w:r>
        <w:t>VA:ASCD</w:t>
      </w:r>
      <w:proofErr w:type="gramEnd"/>
    </w:p>
    <w:p w14:paraId="33F0B214" w14:textId="7B3A00EA" w:rsidR="002A0E5B" w:rsidRDefault="002A0E5B" w:rsidP="004D3AEE">
      <w:r>
        <w:t xml:space="preserve">Silverman, L.K. (1997). The construct of asynchronous development. </w:t>
      </w:r>
      <w:r w:rsidRPr="002A0E5B">
        <w:rPr>
          <w:i/>
          <w:iCs/>
        </w:rPr>
        <w:t>Peabody Journal of Education</w:t>
      </w:r>
      <w:r>
        <w:t>, 72(3-4), 36-58.</w:t>
      </w:r>
    </w:p>
    <w:p w14:paraId="0F71E17B" w14:textId="33B829AF" w:rsidR="004D3AEE" w:rsidRPr="004D3AEE" w:rsidRDefault="00D947AC" w:rsidP="004D3AEE">
      <w:pPr>
        <w:rPr>
          <w:highlight w:val="white"/>
        </w:rPr>
      </w:pPr>
      <w:r>
        <w:t>US</w:t>
      </w:r>
      <w:r w:rsidR="002A0E5B">
        <w:t xml:space="preserve"> Department of Education. (2023). </w:t>
      </w:r>
      <w:r w:rsidR="002A0E5B" w:rsidRPr="002A0E5B">
        <w:rPr>
          <w:i/>
          <w:iCs/>
        </w:rPr>
        <w:t>Public school revenue sources, school year 2020-21</w:t>
      </w:r>
      <w:r w:rsidR="002A0E5B">
        <w:t xml:space="preserve">. Washington, DC: National </w:t>
      </w:r>
      <w:proofErr w:type="spellStart"/>
      <w:r w:rsidR="002A0E5B">
        <w:t>Center</w:t>
      </w:r>
      <w:proofErr w:type="spellEnd"/>
      <w:r w:rsidR="002A0E5B">
        <w:t xml:space="preserve"> for Education Statistics</w:t>
      </w: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28EC" w14:textId="77777777" w:rsidR="00FC45F0" w:rsidRDefault="00FC45F0" w:rsidP="000255B4">
      <w:pPr>
        <w:spacing w:before="0" w:after="0" w:line="240" w:lineRule="auto"/>
      </w:pPr>
      <w:r>
        <w:separator/>
      </w:r>
    </w:p>
  </w:endnote>
  <w:endnote w:type="continuationSeparator" w:id="0">
    <w:p w14:paraId="7815ED37" w14:textId="77777777" w:rsidR="00FC45F0" w:rsidRDefault="00FC45F0"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1C14000F" w:rsidR="000255B4" w:rsidRDefault="002A0E5B" w:rsidP="000255B4">
    <w:pPr>
      <w:pStyle w:val="Footer"/>
      <w:tabs>
        <w:tab w:val="clear" w:pos="4513"/>
        <w:tab w:val="clear" w:pos="9026"/>
        <w:tab w:val="right" w:pos="9498"/>
      </w:tabs>
    </w:pPr>
    <w:r>
      <w:t>Nurturing potential</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AD2995">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03E" w14:textId="77777777" w:rsidR="0017140E" w:rsidRDefault="00117296"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w:t>
    </w:r>
    <w:r w:rsidR="0067083F">
      <w:rPr>
        <w:sz w:val="20"/>
        <w:szCs w:val="20"/>
      </w:rPr>
      <w:t>5</w:t>
    </w:r>
    <w:r>
      <w:rPr>
        <w:sz w:val="20"/>
        <w:szCs w:val="20"/>
      </w:rPr>
      <w:t xml:space="preser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sidR="0067083F">
      <w:rPr>
        <w:sz w:val="20"/>
        <w:szCs w:val="20"/>
      </w:rPr>
      <w:t xml:space="preserve"> </w:t>
    </w:r>
  </w:p>
  <w:p w14:paraId="3DA981C7" w14:textId="0B1AE95C" w:rsidR="00910707" w:rsidRPr="00117296" w:rsidRDefault="00117296"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w:t>
    </w:r>
    <w:r w:rsidR="0017140E">
      <w:rPr>
        <w:sz w:val="20"/>
        <w:szCs w:val="20"/>
      </w:rPr>
      <w:t xml:space="preserve">It captures the highlights of the </w:t>
    </w:r>
    <w:r w:rsidR="0067083F">
      <w:rPr>
        <w:sz w:val="20"/>
        <w:szCs w:val="20"/>
      </w:rPr>
      <w:t>many</w:t>
    </w:r>
    <w:r w:rsidR="0067083F" w:rsidRPr="0067083F">
      <w:rPr>
        <w:sz w:val="20"/>
        <w:szCs w:val="20"/>
      </w:rPr>
      <w:t xml:space="preserve"> observations and learnings</w:t>
    </w:r>
    <w:r w:rsidR="0067083F">
      <w:rPr>
        <w:sz w:val="20"/>
        <w:szCs w:val="20"/>
      </w:rPr>
      <w:t xml:space="preserve"> gained</w:t>
    </w:r>
    <w:r w:rsidR="0017140E">
      <w:rPr>
        <w:sz w:val="20"/>
        <w:szCs w:val="20"/>
      </w:rPr>
      <w:t xml:space="preserve">, which </w:t>
    </w:r>
    <w:r w:rsidR="00EA3EB2">
      <w:rPr>
        <w:sz w:val="20"/>
        <w:szCs w:val="20"/>
      </w:rPr>
      <w:t>are</w:t>
    </w:r>
    <w:r w:rsidR="0017140E">
      <w:rPr>
        <w:sz w:val="20"/>
        <w:szCs w:val="20"/>
      </w:rPr>
      <w:t xml:space="preserve"> to be </w:t>
    </w:r>
    <w:r w:rsidR="00915A95">
      <w:rPr>
        <w:sz w:val="20"/>
        <w:szCs w:val="20"/>
      </w:rPr>
      <w:t xml:space="preserve">further </w:t>
    </w:r>
    <w:r w:rsidR="0067083F" w:rsidRPr="0067083F">
      <w:rPr>
        <w:sz w:val="20"/>
        <w:szCs w:val="20"/>
      </w:rPr>
      <w:t>share</w:t>
    </w:r>
    <w:r w:rsidR="0017140E">
      <w:rPr>
        <w:sz w:val="20"/>
        <w:szCs w:val="20"/>
      </w:rPr>
      <w:t>d</w:t>
    </w:r>
    <w:r w:rsidR="0067083F" w:rsidRPr="0067083F">
      <w:rPr>
        <w:sz w:val="20"/>
        <w:szCs w:val="20"/>
      </w:rPr>
      <w:t xml:space="preserve"> through future educational opportunities.</w:t>
    </w:r>
    <w:r w:rsidR="00EA3EB2">
      <w:rPr>
        <w:sz w:val="20"/>
        <w:szCs w:val="20"/>
      </w:rPr>
      <w:t xml:space="preserve"> </w:t>
    </w:r>
    <w:r w:rsidR="0067083F">
      <w:rPr>
        <w:sz w:val="20"/>
        <w:szCs w:val="20"/>
      </w:rPr>
      <w:t xml:space="preserve">The report </w:t>
    </w:r>
    <w:r>
      <w:rPr>
        <w:sz w:val="20"/>
        <w:szCs w:val="20"/>
      </w:rPr>
      <w:t xml:space="preserve">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0A7D" w14:textId="77777777" w:rsidR="00FC45F0" w:rsidRDefault="00FC45F0" w:rsidP="000255B4">
      <w:pPr>
        <w:spacing w:before="0" w:after="0" w:line="240" w:lineRule="auto"/>
      </w:pPr>
      <w:r>
        <w:separator/>
      </w:r>
    </w:p>
  </w:footnote>
  <w:footnote w:type="continuationSeparator" w:id="0">
    <w:p w14:paraId="4F727CC0" w14:textId="77777777" w:rsidR="00FC45F0" w:rsidRDefault="00FC45F0"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757353C"/>
    <w:multiLevelType w:val="hybridMultilevel"/>
    <w:tmpl w:val="0D1415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E7CA5"/>
    <w:multiLevelType w:val="hybridMultilevel"/>
    <w:tmpl w:val="1BC0E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785E3E"/>
    <w:multiLevelType w:val="hybridMultilevel"/>
    <w:tmpl w:val="78722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61166A0"/>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6B637F12"/>
    <w:multiLevelType w:val="hybridMultilevel"/>
    <w:tmpl w:val="52946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767C01"/>
    <w:multiLevelType w:val="multilevel"/>
    <w:tmpl w:val="DCE4B9E0"/>
    <w:numStyleLink w:val="PTSOrderedListStyle"/>
  </w:abstractNum>
  <w:num w:numId="1" w16cid:durableId="522282926">
    <w:abstractNumId w:val="20"/>
  </w:num>
  <w:num w:numId="2" w16cid:durableId="963927439">
    <w:abstractNumId w:val="34"/>
  </w:num>
  <w:num w:numId="3" w16cid:durableId="1038435900">
    <w:abstractNumId w:val="39"/>
  </w:num>
  <w:num w:numId="4" w16cid:durableId="1874801615">
    <w:abstractNumId w:val="38"/>
  </w:num>
  <w:num w:numId="5" w16cid:durableId="465700344">
    <w:abstractNumId w:val="22"/>
  </w:num>
  <w:num w:numId="6" w16cid:durableId="352653544">
    <w:abstractNumId w:val="29"/>
  </w:num>
  <w:num w:numId="7" w16cid:durableId="1264805997">
    <w:abstractNumId w:val="26"/>
  </w:num>
  <w:num w:numId="8" w16cid:durableId="1043939693">
    <w:abstractNumId w:val="30"/>
  </w:num>
  <w:num w:numId="9" w16cid:durableId="832447887">
    <w:abstractNumId w:val="10"/>
  </w:num>
  <w:num w:numId="10" w16cid:durableId="441344456">
    <w:abstractNumId w:val="12"/>
  </w:num>
  <w:num w:numId="11" w16cid:durableId="1694375457">
    <w:abstractNumId w:val="18"/>
  </w:num>
  <w:num w:numId="12" w16cid:durableId="1354378654">
    <w:abstractNumId w:val="14"/>
  </w:num>
  <w:num w:numId="13" w16cid:durableId="923805672">
    <w:abstractNumId w:val="32"/>
  </w:num>
  <w:num w:numId="14" w16cid:durableId="701981400">
    <w:abstractNumId w:val="41"/>
  </w:num>
  <w:num w:numId="15" w16cid:durableId="1703938253">
    <w:abstractNumId w:val="25"/>
  </w:num>
  <w:num w:numId="16" w16cid:durableId="1539930045">
    <w:abstractNumId w:val="19"/>
  </w:num>
  <w:num w:numId="17" w16cid:durableId="1421099837">
    <w:abstractNumId w:val="44"/>
  </w:num>
  <w:num w:numId="18" w16cid:durableId="2096895664">
    <w:abstractNumId w:val="37"/>
  </w:num>
  <w:num w:numId="19" w16cid:durableId="236212348">
    <w:abstractNumId w:val="35"/>
  </w:num>
  <w:num w:numId="20" w16cid:durableId="932274738">
    <w:abstractNumId w:val="27"/>
  </w:num>
  <w:num w:numId="21" w16cid:durableId="1180661850">
    <w:abstractNumId w:val="33"/>
  </w:num>
  <w:num w:numId="22" w16cid:durableId="688408783">
    <w:abstractNumId w:val="15"/>
  </w:num>
  <w:num w:numId="23" w16cid:durableId="461575964">
    <w:abstractNumId w:val="45"/>
  </w:num>
  <w:num w:numId="24" w16cid:durableId="637803994">
    <w:abstractNumId w:val="16"/>
  </w:num>
  <w:num w:numId="25" w16cid:durableId="2136360820">
    <w:abstractNumId w:val="11"/>
  </w:num>
  <w:num w:numId="26" w16cid:durableId="798256476">
    <w:abstractNumId w:val="17"/>
  </w:num>
  <w:num w:numId="27" w16cid:durableId="708532385">
    <w:abstractNumId w:val="28"/>
  </w:num>
  <w:num w:numId="28" w16cid:durableId="1200123690">
    <w:abstractNumId w:val="21"/>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0"/>
  </w:num>
  <w:num w:numId="41" w16cid:durableId="1634939162">
    <w:abstractNumId w:val="23"/>
  </w:num>
  <w:num w:numId="42" w16cid:durableId="1937908515">
    <w:abstractNumId w:val="24"/>
  </w:num>
  <w:num w:numId="43" w16cid:durableId="444085747">
    <w:abstractNumId w:val="43"/>
  </w:num>
  <w:num w:numId="44" w16cid:durableId="1739937821">
    <w:abstractNumId w:val="13"/>
  </w:num>
  <w:num w:numId="45" w16cid:durableId="1249730815">
    <w:abstractNumId w:val="31"/>
  </w:num>
  <w:num w:numId="46" w16cid:durableId="117473325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6CCF"/>
    <w:rsid w:val="00087207"/>
    <w:rsid w:val="00091CB4"/>
    <w:rsid w:val="000963CD"/>
    <w:rsid w:val="000C11CD"/>
    <w:rsid w:val="000C18ED"/>
    <w:rsid w:val="000D7A6E"/>
    <w:rsid w:val="000D7F55"/>
    <w:rsid w:val="000E10CD"/>
    <w:rsid w:val="00117296"/>
    <w:rsid w:val="00152E9A"/>
    <w:rsid w:val="00155404"/>
    <w:rsid w:val="00155C7C"/>
    <w:rsid w:val="0017140E"/>
    <w:rsid w:val="001B4C3C"/>
    <w:rsid w:val="001C0A56"/>
    <w:rsid w:val="001C1A56"/>
    <w:rsid w:val="001D3FF0"/>
    <w:rsid w:val="002006E6"/>
    <w:rsid w:val="00275489"/>
    <w:rsid w:val="00294239"/>
    <w:rsid w:val="0029708C"/>
    <w:rsid w:val="002A0E5B"/>
    <w:rsid w:val="002B3433"/>
    <w:rsid w:val="00320BD5"/>
    <w:rsid w:val="00327960"/>
    <w:rsid w:val="00342D9B"/>
    <w:rsid w:val="003716C7"/>
    <w:rsid w:val="00386EA6"/>
    <w:rsid w:val="003A27E9"/>
    <w:rsid w:val="003D1828"/>
    <w:rsid w:val="0040108E"/>
    <w:rsid w:val="004036BF"/>
    <w:rsid w:val="0043189E"/>
    <w:rsid w:val="00446E05"/>
    <w:rsid w:val="00473B7E"/>
    <w:rsid w:val="00477517"/>
    <w:rsid w:val="00481525"/>
    <w:rsid w:val="004A1997"/>
    <w:rsid w:val="004D3AEE"/>
    <w:rsid w:val="004D4A5D"/>
    <w:rsid w:val="004E735C"/>
    <w:rsid w:val="00507B74"/>
    <w:rsid w:val="00512790"/>
    <w:rsid w:val="005162C5"/>
    <w:rsid w:val="00557A3D"/>
    <w:rsid w:val="005935DB"/>
    <w:rsid w:val="005B4F41"/>
    <w:rsid w:val="005D4364"/>
    <w:rsid w:val="005F1495"/>
    <w:rsid w:val="005F1846"/>
    <w:rsid w:val="0067083F"/>
    <w:rsid w:val="006800D9"/>
    <w:rsid w:val="006B4571"/>
    <w:rsid w:val="006C484F"/>
    <w:rsid w:val="006E2817"/>
    <w:rsid w:val="00720CAA"/>
    <w:rsid w:val="007279F1"/>
    <w:rsid w:val="00794760"/>
    <w:rsid w:val="007D4B9D"/>
    <w:rsid w:val="007F75DC"/>
    <w:rsid w:val="00843D21"/>
    <w:rsid w:val="008619E2"/>
    <w:rsid w:val="00867FBE"/>
    <w:rsid w:val="008C2385"/>
    <w:rsid w:val="008F0A75"/>
    <w:rsid w:val="008F5148"/>
    <w:rsid w:val="0090533A"/>
    <w:rsid w:val="00910707"/>
    <w:rsid w:val="00915A95"/>
    <w:rsid w:val="00921561"/>
    <w:rsid w:val="00930037"/>
    <w:rsid w:val="00943538"/>
    <w:rsid w:val="009539A5"/>
    <w:rsid w:val="009553CE"/>
    <w:rsid w:val="00976DE1"/>
    <w:rsid w:val="009B51D0"/>
    <w:rsid w:val="009F3C9D"/>
    <w:rsid w:val="00A208C6"/>
    <w:rsid w:val="00A32200"/>
    <w:rsid w:val="00A5506B"/>
    <w:rsid w:val="00A573A5"/>
    <w:rsid w:val="00A615E0"/>
    <w:rsid w:val="00A90E9F"/>
    <w:rsid w:val="00AB2F84"/>
    <w:rsid w:val="00AB7750"/>
    <w:rsid w:val="00AC1780"/>
    <w:rsid w:val="00AD2995"/>
    <w:rsid w:val="00B02AE5"/>
    <w:rsid w:val="00B12F43"/>
    <w:rsid w:val="00B21EEE"/>
    <w:rsid w:val="00B22472"/>
    <w:rsid w:val="00B33D75"/>
    <w:rsid w:val="00B5310E"/>
    <w:rsid w:val="00BB0675"/>
    <w:rsid w:val="00BD46F4"/>
    <w:rsid w:val="00BF0055"/>
    <w:rsid w:val="00C509F6"/>
    <w:rsid w:val="00C7010F"/>
    <w:rsid w:val="00C76B6E"/>
    <w:rsid w:val="00C902DF"/>
    <w:rsid w:val="00C92191"/>
    <w:rsid w:val="00C97242"/>
    <w:rsid w:val="00CC5CCC"/>
    <w:rsid w:val="00CD79CF"/>
    <w:rsid w:val="00CF4C86"/>
    <w:rsid w:val="00D06FE8"/>
    <w:rsid w:val="00D17681"/>
    <w:rsid w:val="00D23F07"/>
    <w:rsid w:val="00D63C18"/>
    <w:rsid w:val="00D65435"/>
    <w:rsid w:val="00D815D6"/>
    <w:rsid w:val="00D947AC"/>
    <w:rsid w:val="00DB316A"/>
    <w:rsid w:val="00DC4AF3"/>
    <w:rsid w:val="00DD57AF"/>
    <w:rsid w:val="00E138BA"/>
    <w:rsid w:val="00E14DC7"/>
    <w:rsid w:val="00E51EA8"/>
    <w:rsid w:val="00E568E6"/>
    <w:rsid w:val="00E76027"/>
    <w:rsid w:val="00EA3EB2"/>
    <w:rsid w:val="00EC0ED6"/>
    <w:rsid w:val="00EC26CD"/>
    <w:rsid w:val="00ED3B04"/>
    <w:rsid w:val="00F1653C"/>
    <w:rsid w:val="00F2752E"/>
    <w:rsid w:val="00F36095"/>
    <w:rsid w:val="00F37270"/>
    <w:rsid w:val="00F41988"/>
    <w:rsid w:val="00F65681"/>
    <w:rsid w:val="00F815C6"/>
    <w:rsid w:val="00FA3727"/>
    <w:rsid w:val="00FB15FB"/>
    <w:rsid w:val="00FC45F0"/>
    <w:rsid w:val="00FF4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customStyle="1" w:styleId="Normaltext">
    <w:name w:val="Normal text"/>
    <w:basedOn w:val="Normal"/>
    <w:link w:val="NormaltextChar"/>
    <w:qFormat/>
    <w:rsid w:val="00557A3D"/>
    <w:rPr>
      <w:shd w:val="clear" w:color="auto" w:fill="FFFFFF"/>
    </w:rPr>
  </w:style>
  <w:style w:type="character" w:customStyle="1" w:styleId="NormaltextChar">
    <w:name w:val="Normal text Char"/>
    <w:basedOn w:val="DefaultParagraphFont"/>
    <w:link w:val="Normaltext"/>
    <w:rsid w:val="00557A3D"/>
    <w:rPr>
      <w:rFonts w:eastAsia="Calibri" w:cs="Calibri"/>
      <w:color w:val="000000"/>
      <w:sz w:val="22"/>
      <w:szCs w:val="24"/>
      <w:lang w:eastAsia="en-US"/>
    </w:rPr>
  </w:style>
  <w:style w:type="character" w:styleId="Emphasis">
    <w:name w:val="Emphasis"/>
    <w:basedOn w:val="DefaultParagraphFont"/>
    <w:uiPriority w:val="20"/>
    <w:qFormat/>
    <w:rsid w:val="005F1846"/>
    <w:rPr>
      <w:i/>
      <w:iCs/>
    </w:rPr>
  </w:style>
  <w:style w:type="character" w:styleId="UnresolvedMention">
    <w:name w:val="Unresolved Mention"/>
    <w:basedOn w:val="DefaultParagraphFont"/>
    <w:uiPriority w:val="99"/>
    <w:semiHidden/>
    <w:unhideWhenUsed/>
    <w:rsid w:val="002A0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5265">
      <w:bodyDiv w:val="1"/>
      <w:marLeft w:val="0"/>
      <w:marRight w:val="0"/>
      <w:marTop w:val="0"/>
      <w:marBottom w:val="0"/>
      <w:divBdr>
        <w:top w:val="none" w:sz="0" w:space="0" w:color="auto"/>
        <w:left w:val="none" w:sz="0" w:space="0" w:color="auto"/>
        <w:bottom w:val="none" w:sz="0" w:space="0" w:color="auto"/>
        <w:right w:val="none" w:sz="0" w:space="0" w:color="auto"/>
      </w:divBdr>
    </w:div>
    <w:div w:id="965811425">
      <w:bodyDiv w:val="1"/>
      <w:marLeft w:val="0"/>
      <w:marRight w:val="0"/>
      <w:marTop w:val="0"/>
      <w:marBottom w:val="0"/>
      <w:divBdr>
        <w:top w:val="none" w:sz="0" w:space="0" w:color="auto"/>
        <w:left w:val="none" w:sz="0" w:space="0" w:color="auto"/>
        <w:bottom w:val="none" w:sz="0" w:space="0" w:color="auto"/>
        <w:right w:val="none" w:sz="0" w:space="0" w:color="auto"/>
      </w:divBdr>
    </w:div>
    <w:div w:id="994065472">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200237587">
      <w:bodyDiv w:val="1"/>
      <w:marLeft w:val="0"/>
      <w:marRight w:val="0"/>
      <w:marTop w:val="0"/>
      <w:marBottom w:val="0"/>
      <w:divBdr>
        <w:top w:val="none" w:sz="0" w:space="0" w:color="auto"/>
        <w:left w:val="none" w:sz="0" w:space="0" w:color="auto"/>
        <w:bottom w:val="none" w:sz="0" w:space="0" w:color="auto"/>
        <w:right w:val="none" w:sz="0" w:space="0" w:color="auto"/>
      </w:divBdr>
    </w:div>
    <w:div w:id="1736197629">
      <w:bodyDiv w:val="1"/>
      <w:marLeft w:val="0"/>
      <w:marRight w:val="0"/>
      <w:marTop w:val="0"/>
      <w:marBottom w:val="0"/>
      <w:divBdr>
        <w:top w:val="none" w:sz="0" w:space="0" w:color="auto"/>
        <w:left w:val="none" w:sz="0" w:space="0" w:color="auto"/>
        <w:bottom w:val="none" w:sz="0" w:space="0" w:color="auto"/>
        <w:right w:val="none" w:sz="0" w:space="0" w:color="auto"/>
      </w:divBdr>
    </w:div>
    <w:div w:id="20240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ducation.nsw.gov.au/teaching-and-learning/high-potential-and-gifted-educ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37/a0013688" TargetMode="External"/><Relationship Id="rId2" Type="http://schemas.openxmlformats.org/officeDocument/2006/relationships/customXml" Target="../customXml/item2.xml"/><Relationship Id="rId16" Type="http://schemas.openxmlformats.org/officeDocument/2006/relationships/hyperlink" Target="http://www.citethisforme.com/guides/harvard-agps" TargetMode="External"/><Relationship Id="rId20" Type="http://schemas.openxmlformats.org/officeDocument/2006/relationships/hyperlink" Target="https://doi.org/10.1177/0031721711092008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identifygifted.education.uconn.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2.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3.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4.xml><?xml version="1.0" encoding="utf-8"?>
<ds:datastoreItem xmlns:ds="http://schemas.openxmlformats.org/officeDocument/2006/customXml" ds:itemID="{051E7E2A-BDA4-4B49-9BF0-F78BE9D6D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4979</Words>
  <Characters>32222</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10</cp:revision>
  <cp:lastPrinted>2018-04-13T01:20:00Z</cp:lastPrinted>
  <dcterms:created xsi:type="dcterms:W3CDTF">2025-12-01T01:46:00Z</dcterms:created>
  <dcterms:modified xsi:type="dcterms:W3CDTF">2025-12-15T05:36:00Z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