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Pr="00B43F71" w:rsidRDefault="0006340C" w:rsidP="00EC0ED6">
      <w:r w:rsidRPr="00B43F71">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14852DED" w14:textId="77777777" w:rsidR="002C7CB5" w:rsidRPr="00B43F71" w:rsidRDefault="002C7CB5" w:rsidP="002C7CB5">
      <w:pPr>
        <w:pStyle w:val="Pre-Title"/>
        <w:spacing w:after="1320"/>
      </w:pPr>
      <w:r w:rsidRPr="00B43F71">
        <w:t xml:space="preserve">2025 Premier’s University of Sydney Mathematics Scholarship </w:t>
      </w:r>
    </w:p>
    <w:p w14:paraId="5B2C7A98" w14:textId="0D875079" w:rsidR="002C7CB5" w:rsidRPr="00B43F71" w:rsidRDefault="002C7CB5" w:rsidP="002C7CB5">
      <w:pPr>
        <w:pStyle w:val="Title"/>
      </w:pPr>
      <w:bookmarkStart w:id="0" w:name="_Hlk206848140"/>
      <w:r w:rsidRPr="00B43F71">
        <w:t xml:space="preserve">Getting </w:t>
      </w:r>
      <w:r w:rsidR="00B43F71" w:rsidRPr="00B43F71">
        <w:t>h</w:t>
      </w:r>
      <w:r w:rsidRPr="00B43F71">
        <w:t>ands-</w:t>
      </w:r>
      <w:r w:rsidR="00B43F71" w:rsidRPr="00B43F71">
        <w:t>o</w:t>
      </w:r>
      <w:r w:rsidRPr="00B43F71">
        <w:t xml:space="preserve">n in the </w:t>
      </w:r>
      <w:r w:rsidR="00B43F71" w:rsidRPr="00B43F71">
        <w:t>s</w:t>
      </w:r>
      <w:r w:rsidRPr="00B43F71">
        <w:t xml:space="preserve">econdary </w:t>
      </w:r>
      <w:r w:rsidR="00B43F71" w:rsidRPr="00B43F71">
        <w:t>m</w:t>
      </w:r>
      <w:r w:rsidRPr="00B43F71">
        <w:t xml:space="preserve">athematics </w:t>
      </w:r>
      <w:r w:rsidR="00B43F71" w:rsidRPr="00B43F71">
        <w:t>c</w:t>
      </w:r>
      <w:r w:rsidRPr="00B43F71">
        <w:t>lassroom</w:t>
      </w:r>
    </w:p>
    <w:bookmarkEnd w:id="0"/>
    <w:p w14:paraId="441CB682" w14:textId="5468038B" w:rsidR="00ED3B04" w:rsidRPr="00B43F71" w:rsidRDefault="002C7CB5" w:rsidP="002C7CB5">
      <w:pPr>
        <w:pStyle w:val="Subtitle"/>
        <w:rPr>
          <w:rFonts w:eastAsia="Tahoma"/>
        </w:rPr>
      </w:pPr>
      <w:proofErr w:type="gramStart"/>
      <w:r w:rsidRPr="00B43F71">
        <w:rPr>
          <w:rFonts w:eastAsia="Tahoma"/>
        </w:rPr>
        <w:t>How</w:t>
      </w:r>
      <w:proofErr w:type="gramEnd"/>
      <w:r w:rsidRPr="00B43F71">
        <w:rPr>
          <w:rFonts w:eastAsia="Tahoma"/>
        </w:rPr>
        <w:t xml:space="preserve"> concrete tools and visual models can help develop conceptual learning and improve mathematical reasoning</w:t>
      </w:r>
    </w:p>
    <w:p w14:paraId="227DAEB0" w14:textId="77777777" w:rsidR="002C7CB5" w:rsidRPr="00B43F71" w:rsidRDefault="002C7CB5" w:rsidP="002C7CB5">
      <w:pPr>
        <w:pStyle w:val="Author"/>
        <w:spacing w:before="1320"/>
      </w:pPr>
      <w:r w:rsidRPr="00B43F71">
        <w:t>Jacqueline Lyon</w:t>
      </w:r>
    </w:p>
    <w:p w14:paraId="4AA34AD6" w14:textId="77777777" w:rsidR="002C7CB5" w:rsidRPr="00B43F71" w:rsidRDefault="002C7CB5" w:rsidP="002C7CB5">
      <w:pPr>
        <w:spacing w:after="0"/>
      </w:pPr>
      <w:r w:rsidRPr="00B43F71">
        <w:t>Mathematics Growth Team - Orange High School/ Dubbo College Senior Campus</w:t>
      </w:r>
    </w:p>
    <w:p w14:paraId="26B4A539" w14:textId="1DE46E4D" w:rsidR="00ED3B04" w:rsidRPr="00B43F71" w:rsidRDefault="00ED3B04" w:rsidP="00910707">
      <w:pPr>
        <w:pStyle w:val="Sponsor"/>
        <w:spacing w:before="1320"/>
      </w:pPr>
      <w:r w:rsidRPr="00B43F71">
        <w:t>Sponsored by</w:t>
      </w:r>
      <w:r w:rsidR="00F846D7">
        <w:t xml:space="preserve"> The University of Sydney</w:t>
      </w:r>
    </w:p>
    <w:p w14:paraId="7B33461C" w14:textId="04B89C7A" w:rsidR="00EC0ED6" w:rsidRPr="00B43F71" w:rsidRDefault="002C7CB5" w:rsidP="000255B4">
      <w:r w:rsidRPr="00B43F71">
        <w:rPr>
          <w:noProof/>
        </w:rPr>
        <w:drawing>
          <wp:inline distT="0" distB="0" distL="0" distR="0" wp14:anchorId="39579943" wp14:editId="63CFE32B">
            <wp:extent cx="2268220" cy="792480"/>
            <wp:effectExtent l="0" t="0" r="0" b="7620"/>
            <wp:docPr id="21281425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42596"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8220" cy="792480"/>
                    </a:xfrm>
                    <a:prstGeom prst="rect">
                      <a:avLst/>
                    </a:prstGeom>
                    <a:noFill/>
                  </pic:spPr>
                </pic:pic>
              </a:graphicData>
            </a:graphic>
          </wp:inline>
        </w:drawing>
      </w:r>
    </w:p>
    <w:p w14:paraId="7915882B" w14:textId="5F27BFF2" w:rsidR="00F1653C" w:rsidRPr="00B43F71" w:rsidRDefault="00F1653C" w:rsidP="000255B4">
      <w:pPr>
        <w:sectPr w:rsidR="00F1653C" w:rsidRPr="00B43F71" w:rsidSect="00720CAA">
          <w:footerReference w:type="default" r:id="rId13"/>
          <w:footerReference w:type="first" r:id="rId14"/>
          <w:pgSz w:w="11900" w:h="16840" w:code="9"/>
          <w:pgMar w:top="1134" w:right="1134" w:bottom="1134" w:left="1134" w:header="0" w:footer="737" w:gutter="0"/>
          <w:pgNumType w:start="0"/>
          <w:cols w:space="720"/>
          <w:titlePg/>
          <w:docGrid w:linePitch="326"/>
        </w:sectPr>
      </w:pPr>
    </w:p>
    <w:p w14:paraId="43FEBDA4" w14:textId="77777777" w:rsidR="00ED3B04" w:rsidRPr="00B43F71" w:rsidRDefault="00ED3B04" w:rsidP="00ED3B04">
      <w:pPr>
        <w:pStyle w:val="Heading1"/>
      </w:pPr>
      <w:r w:rsidRPr="00B43F71">
        <w:lastRenderedPageBreak/>
        <w:t>Introduction</w:t>
      </w:r>
    </w:p>
    <w:p w14:paraId="7945FB85" w14:textId="43EB5680" w:rsidR="002C7CB5" w:rsidRPr="00B43F71" w:rsidRDefault="002C7CB5" w:rsidP="00B43F71">
      <w:r w:rsidRPr="00B43F71">
        <w:t xml:space="preserve">This research project </w:t>
      </w:r>
      <w:r w:rsidR="004670EF">
        <w:t>focused</w:t>
      </w:r>
      <w:r w:rsidRPr="00B43F71">
        <w:t xml:space="preserve"> on the value of increasing hands-on opportunities in the secondary mathematics classroom. The driving force behind this project was developed through my work with the Mathematics Growth Team </w:t>
      </w:r>
      <w:r w:rsidR="008F37FD">
        <w:t xml:space="preserve">(MGT) </w:t>
      </w:r>
      <w:r w:rsidRPr="00B43F71">
        <w:t xml:space="preserve">as a </w:t>
      </w:r>
      <w:r w:rsidR="00B43F71" w:rsidRPr="00B43F71">
        <w:t>t</w:t>
      </w:r>
      <w:r w:rsidRPr="00B43F71">
        <w:t>rainer</w:t>
      </w:r>
      <w:r w:rsidR="00B43F71" w:rsidRPr="00B43F71">
        <w:t>,</w:t>
      </w:r>
      <w:r w:rsidRPr="00B43F71">
        <w:t xml:space="preserve"> and </w:t>
      </w:r>
      <w:r w:rsidR="00B43F71" w:rsidRPr="00B43F71">
        <w:t xml:space="preserve">through </w:t>
      </w:r>
      <w:r w:rsidRPr="00B43F71">
        <w:t>reflections on current research and literature. From personal observations, working with several schools and their mathematics programs, it became apparent that in many locations mathematics was impersonal, abstract and required students to work on lists of problems usually from a textbook or worksheet.</w:t>
      </w:r>
    </w:p>
    <w:p w14:paraId="4C54C2E5" w14:textId="03C4F064" w:rsidR="006D061B" w:rsidRPr="00B43F71" w:rsidRDefault="002C7CB5" w:rsidP="00B43F71">
      <w:r w:rsidRPr="00B43F71">
        <w:t xml:space="preserve">The outcomes of these practices make little connection to the real-world applications of mathematics, </w:t>
      </w:r>
      <w:r w:rsidR="003957EF">
        <w:t xml:space="preserve">and </w:t>
      </w:r>
      <w:r w:rsidRPr="00B43F71">
        <w:t xml:space="preserve">provide limited opportunities </w:t>
      </w:r>
      <w:r w:rsidR="00B43F71" w:rsidRPr="00B43F71">
        <w:t xml:space="preserve">for learners </w:t>
      </w:r>
      <w:r w:rsidRPr="00B43F71">
        <w:t>to investigate, play, make connections and test their reasoning and justification skills. These skills have become the focus of the working mathematically umbrella across all content within the syllabus document.</w:t>
      </w:r>
      <w:r w:rsidR="00AF0ACD" w:rsidRPr="00B43F71">
        <w:t xml:space="preserve"> I have </w:t>
      </w:r>
      <w:r w:rsidR="00B000CD" w:rsidRPr="00B43F71">
        <w:t xml:space="preserve">used the ideas, activities and models identified by </w:t>
      </w:r>
      <w:r w:rsidR="008A75AD" w:rsidRPr="00B43F71">
        <w:t>E</w:t>
      </w:r>
      <w:r w:rsidR="00B000CD" w:rsidRPr="00B43F71">
        <w:t>d Southall</w:t>
      </w:r>
      <w:r w:rsidR="00037970" w:rsidRPr="00B43F71">
        <w:t xml:space="preserve"> (2021)</w:t>
      </w:r>
      <w:r w:rsidR="00B000CD" w:rsidRPr="00B43F71">
        <w:t xml:space="preserve"> and Peter </w:t>
      </w:r>
      <w:r w:rsidR="00727DC5" w:rsidRPr="00B43F71">
        <w:t>Mattock (</w:t>
      </w:r>
      <w:r w:rsidR="00037970" w:rsidRPr="00B43F71">
        <w:t>2019)</w:t>
      </w:r>
      <w:r w:rsidR="00B000CD" w:rsidRPr="00B43F71">
        <w:t xml:space="preserve"> to inform my </w:t>
      </w:r>
      <w:r w:rsidR="00547CB4" w:rsidRPr="00B43F71">
        <w:t>practice. The</w:t>
      </w:r>
      <w:r w:rsidR="006D061B" w:rsidRPr="00B43F71">
        <w:t xml:space="preserve"> work of Mike Askew (2015) and his focus on tasks, tools and talk</w:t>
      </w:r>
      <w:r w:rsidR="00A6134B">
        <w:t>,</w:t>
      </w:r>
      <w:r w:rsidR="006D061B" w:rsidRPr="00B43F71">
        <w:t xml:space="preserve"> establishes a platform for classroom practice to select and introduce hands-on tasks and visual models to the classroom.</w:t>
      </w:r>
    </w:p>
    <w:p w14:paraId="004D6D69" w14:textId="1710D3C1" w:rsidR="002C7CB5" w:rsidRPr="00B43F71" w:rsidRDefault="002C7CB5" w:rsidP="00B43F71">
      <w:pPr>
        <w:rPr>
          <w:rFonts w:eastAsia="Times New Roman" w:cs="Arial"/>
          <w:lang w:eastAsia="en-AU"/>
        </w:rPr>
      </w:pPr>
      <w:r w:rsidRPr="00B43F71">
        <w:t>In the classroom</w:t>
      </w:r>
      <w:r w:rsidR="00936FDE">
        <w:t>,</w:t>
      </w:r>
      <w:r w:rsidRPr="00B43F71">
        <w:t xml:space="preserve"> I use the </w:t>
      </w:r>
      <w:r w:rsidR="00902121">
        <w:t xml:space="preserve">simple </w:t>
      </w:r>
      <w:r w:rsidR="000B7B2D">
        <w:t xml:space="preserve">question </w:t>
      </w:r>
      <w:r w:rsidRPr="00B43F71">
        <w:t>“What food describes your feelings/attitudes about mathematics?”</w:t>
      </w:r>
      <w:r w:rsidR="00BE7731">
        <w:t xml:space="preserve"> to better understand student</w:t>
      </w:r>
      <w:r w:rsidR="00C80EA9">
        <w:t>s’ emotional relationship with mathematics.</w:t>
      </w:r>
      <w:r w:rsidRPr="00B43F71">
        <w:t xml:space="preserve"> This question has made it evident that students are entering and continuing through secondary mathematics with negative feelings, mathematic</w:t>
      </w:r>
      <w:r w:rsidR="004810E6" w:rsidRPr="00B43F71">
        <w:t>al</w:t>
      </w:r>
      <w:r w:rsidRPr="00B43F71">
        <w:t xml:space="preserve"> anxiety fixed mindset.</w:t>
      </w:r>
      <w:r w:rsidRPr="00B43F71">
        <w:rPr>
          <w:rFonts w:eastAsia="Times New Roman" w:cs="Arial"/>
          <w:lang w:eastAsia="en-AU"/>
        </w:rPr>
        <w:t xml:space="preserve"> "Many children grow up thinking that either you can do math, or you can't”. (J Boaler, C Dweck 2015) This is untrue and harmful to developing a growth mindset</w:t>
      </w:r>
      <w:r w:rsidR="00B43F71" w:rsidRPr="00B43F71">
        <w:rPr>
          <w:rFonts w:eastAsia="Times New Roman" w:cs="Arial"/>
          <w:lang w:eastAsia="en-AU"/>
        </w:rPr>
        <w:t>;</w:t>
      </w:r>
      <w:r w:rsidRPr="00B43F71">
        <w:rPr>
          <w:rFonts w:eastAsia="Times New Roman" w:cs="Arial"/>
          <w:lang w:eastAsia="en-AU"/>
        </w:rPr>
        <w:t xml:space="preserve"> the community and schools need to work together to change how mathematics is delivered to change these perceptions.</w:t>
      </w:r>
      <w:r w:rsidRPr="00B43F71">
        <w:rPr>
          <w:rFonts w:eastAsia="Times New Roman" w:cs="Arial"/>
          <w:sz w:val="24"/>
          <w:lang w:eastAsia="en-AU"/>
        </w:rPr>
        <w:t> </w:t>
      </w:r>
    </w:p>
    <w:p w14:paraId="7BD98AC6" w14:textId="613E48B6" w:rsidR="00ED3B04" w:rsidRPr="00B43F71" w:rsidRDefault="005935DB" w:rsidP="00ED3B04">
      <w:pPr>
        <w:pStyle w:val="Heading1"/>
      </w:pPr>
      <w:r w:rsidRPr="00B43F71">
        <w:t>Focus of Study</w:t>
      </w:r>
    </w:p>
    <w:p w14:paraId="1E90171A" w14:textId="5298D874" w:rsidR="00FB15FB" w:rsidRPr="00B43F71" w:rsidRDefault="002C7CB5" w:rsidP="0013248F">
      <w:pPr>
        <w:rPr>
          <w:shd w:val="clear" w:color="auto" w:fill="FFFFFF"/>
        </w:rPr>
      </w:pPr>
      <w:r w:rsidRPr="00B43F71">
        <w:rPr>
          <w:shd w:val="clear" w:color="auto" w:fill="FFFFFF"/>
        </w:rPr>
        <w:t>The driving questions that formed this study tour were:</w:t>
      </w:r>
    </w:p>
    <w:p w14:paraId="362405D4" w14:textId="1D64F827" w:rsidR="002C7CB5" w:rsidRPr="00B43F71" w:rsidRDefault="006D061B" w:rsidP="00FB1AD0">
      <w:pPr>
        <w:pStyle w:val="ListParagraph"/>
        <w:numPr>
          <w:ilvl w:val="0"/>
          <w:numId w:val="3"/>
        </w:numPr>
        <w:spacing w:before="60" w:after="180"/>
        <w:rPr>
          <w:shd w:val="clear" w:color="auto" w:fill="FFFFFF"/>
        </w:rPr>
      </w:pPr>
      <w:r w:rsidRPr="00B43F71">
        <w:rPr>
          <w:shd w:val="clear" w:color="auto" w:fill="FFFFFF"/>
        </w:rPr>
        <w:t>How can we support teachers to value</w:t>
      </w:r>
      <w:r w:rsidR="00104021" w:rsidRPr="00B43F71">
        <w:rPr>
          <w:shd w:val="clear" w:color="auto" w:fill="FFFFFF"/>
        </w:rPr>
        <w:t>, engage with and use manipulatives and visual models in the classroom?</w:t>
      </w:r>
    </w:p>
    <w:p w14:paraId="38D9D14C" w14:textId="3C1898F1" w:rsidR="00104021" w:rsidRPr="00B43F71" w:rsidRDefault="00104021" w:rsidP="00FB1AD0">
      <w:pPr>
        <w:pStyle w:val="ListParagraph"/>
        <w:numPr>
          <w:ilvl w:val="0"/>
          <w:numId w:val="3"/>
        </w:numPr>
        <w:spacing w:before="60" w:after="180"/>
        <w:rPr>
          <w:shd w:val="clear" w:color="auto" w:fill="FFFFFF"/>
        </w:rPr>
      </w:pPr>
      <w:r w:rsidRPr="00B43F71">
        <w:rPr>
          <w:shd w:val="clear" w:color="auto" w:fill="FFFFFF"/>
        </w:rPr>
        <w:t>How are effective schools supporting teachers to develop these skills?</w:t>
      </w:r>
    </w:p>
    <w:p w14:paraId="1DA1FD6C" w14:textId="3724E87B" w:rsidR="00104021" w:rsidRPr="00B43F71" w:rsidRDefault="00104021" w:rsidP="00FB1AD0">
      <w:pPr>
        <w:pStyle w:val="ListParagraph"/>
        <w:numPr>
          <w:ilvl w:val="0"/>
          <w:numId w:val="3"/>
        </w:numPr>
        <w:spacing w:before="60" w:after="180"/>
        <w:rPr>
          <w:shd w:val="clear" w:color="auto" w:fill="FFFFFF"/>
        </w:rPr>
      </w:pPr>
      <w:r w:rsidRPr="00B43F71">
        <w:rPr>
          <w:shd w:val="clear" w:color="auto" w:fill="FFFFFF"/>
        </w:rPr>
        <w:t>What are the impacts for teacher and their students when teaching includes hands-on activities and visual models?</w:t>
      </w:r>
    </w:p>
    <w:p w14:paraId="18D30A07" w14:textId="77777777" w:rsidR="00ED3B04" w:rsidRPr="00B43F71" w:rsidRDefault="005935DB" w:rsidP="00943538">
      <w:pPr>
        <w:pStyle w:val="Heading1"/>
      </w:pPr>
      <w:r w:rsidRPr="00B43F71">
        <w:t>Significant Learning</w:t>
      </w:r>
    </w:p>
    <w:p w14:paraId="0F0995BD" w14:textId="77777777" w:rsidR="009760EF" w:rsidRDefault="009760EF" w:rsidP="001B7C3A">
      <w:pPr>
        <w:rPr>
          <w:shd w:val="clear" w:color="auto" w:fill="FFFFFF"/>
        </w:rPr>
      </w:pPr>
      <w:r w:rsidRPr="009760EF">
        <w:rPr>
          <w:shd w:val="clear" w:color="auto" w:fill="FFFFFF"/>
        </w:rPr>
        <w:t>The study tour reinforced my belief in the importance of hands-on tasks and visual models for developing student fluency, as well as their potential to enhance student engagement and enjoyment of mathematics. It also provided significant learning opportunities in other areas, often challenging and prompting me to re-evaluate my perspectives on mathematics education within schools and the broader community.</w:t>
      </w:r>
    </w:p>
    <w:p w14:paraId="25D0A884" w14:textId="022C7C56" w:rsidR="00280CE7" w:rsidRPr="00B43F71" w:rsidRDefault="004F0D38" w:rsidP="001B7C3A">
      <w:pPr>
        <w:rPr>
          <w:shd w:val="clear" w:color="auto" w:fill="FFFFFF"/>
        </w:rPr>
      </w:pPr>
      <w:r w:rsidRPr="00B43F71">
        <w:rPr>
          <w:shd w:val="clear" w:color="auto" w:fill="FFFFFF"/>
        </w:rPr>
        <w:t>Visits to univers</w:t>
      </w:r>
      <w:r w:rsidR="007322F4" w:rsidRPr="00B43F71">
        <w:rPr>
          <w:shd w:val="clear" w:color="auto" w:fill="FFFFFF"/>
        </w:rPr>
        <w:t>ities</w:t>
      </w:r>
      <w:r w:rsidR="00B43F71">
        <w:rPr>
          <w:shd w:val="clear" w:color="auto" w:fill="FFFFFF"/>
        </w:rPr>
        <w:t xml:space="preserve"> and </w:t>
      </w:r>
      <w:r w:rsidR="007322F4" w:rsidRPr="00B43F71">
        <w:rPr>
          <w:shd w:val="clear" w:color="auto" w:fill="FFFFFF"/>
        </w:rPr>
        <w:t>opportunit</w:t>
      </w:r>
      <w:r w:rsidR="00B43F71">
        <w:rPr>
          <w:shd w:val="clear" w:color="auto" w:fill="FFFFFF"/>
        </w:rPr>
        <w:t>ies</w:t>
      </w:r>
      <w:r w:rsidR="007322F4" w:rsidRPr="00B43F71">
        <w:rPr>
          <w:shd w:val="clear" w:color="auto" w:fill="FFFFFF"/>
        </w:rPr>
        <w:t xml:space="preserve"> to meet and work with researchers and their outreach schools</w:t>
      </w:r>
      <w:r w:rsidR="00E501C6" w:rsidRPr="00B43F71">
        <w:rPr>
          <w:shd w:val="clear" w:color="auto" w:fill="FFFFFF"/>
        </w:rPr>
        <w:t xml:space="preserve"> opened new perspectives on mathematics education and opportunities to widen practice </w:t>
      </w:r>
      <w:r w:rsidR="00E501C6" w:rsidRPr="00B43F71">
        <w:rPr>
          <w:shd w:val="clear" w:color="auto" w:fill="FFFFFF"/>
        </w:rPr>
        <w:lastRenderedPageBreak/>
        <w:t xml:space="preserve">and become more inclusive. </w:t>
      </w:r>
      <w:r w:rsidR="003E2F33" w:rsidRPr="00B43F71">
        <w:rPr>
          <w:shd w:val="clear" w:color="auto" w:fill="FFFFFF"/>
        </w:rPr>
        <w:t xml:space="preserve">As I was meeting with </w:t>
      </w:r>
      <w:r w:rsidR="008D5707" w:rsidRPr="00B43F71">
        <w:rPr>
          <w:shd w:val="clear" w:color="auto" w:fill="FFFFFF"/>
        </w:rPr>
        <w:t xml:space="preserve">university lecturers, mathematics authors, attending schools and professional learning I </w:t>
      </w:r>
      <w:r w:rsidR="008436D2" w:rsidRPr="00B43F71">
        <w:rPr>
          <w:shd w:val="clear" w:color="auto" w:fill="FFFFFF"/>
        </w:rPr>
        <w:t>engag</w:t>
      </w:r>
      <w:r w:rsidR="00C66D31">
        <w:rPr>
          <w:shd w:val="clear" w:color="auto" w:fill="FFFFFF"/>
        </w:rPr>
        <w:t>ed</w:t>
      </w:r>
      <w:r w:rsidR="008436D2" w:rsidRPr="00B43F71">
        <w:rPr>
          <w:shd w:val="clear" w:color="auto" w:fill="FFFFFF"/>
        </w:rPr>
        <w:t xml:space="preserve"> with</w:t>
      </w:r>
      <w:r w:rsidR="00CF648A" w:rsidRPr="00B43F71">
        <w:rPr>
          <w:shd w:val="clear" w:color="auto" w:fill="FFFFFF"/>
        </w:rPr>
        <w:t xml:space="preserve"> </w:t>
      </w:r>
      <w:r w:rsidR="00CF648A" w:rsidRPr="00B43F71">
        <w:rPr>
          <w:rStyle w:val="BookTitle"/>
        </w:rPr>
        <w:t xml:space="preserve">Mathematics for Human </w:t>
      </w:r>
      <w:r w:rsidR="00300694" w:rsidRPr="00B43F71">
        <w:rPr>
          <w:rStyle w:val="BookTitle"/>
        </w:rPr>
        <w:t>F</w:t>
      </w:r>
      <w:r w:rsidR="00CF648A" w:rsidRPr="00B43F71">
        <w:rPr>
          <w:rStyle w:val="BookTitle"/>
        </w:rPr>
        <w:t>lourishing</w:t>
      </w:r>
      <w:r w:rsidR="00CF648A" w:rsidRPr="00B43F71">
        <w:rPr>
          <w:shd w:val="clear" w:color="auto" w:fill="FFFFFF"/>
        </w:rPr>
        <w:t xml:space="preserve"> (F Su, </w:t>
      </w:r>
      <w:r w:rsidR="00300694" w:rsidRPr="00B43F71">
        <w:rPr>
          <w:shd w:val="clear" w:color="auto" w:fill="FFFFFF"/>
        </w:rPr>
        <w:t xml:space="preserve">2020) which </w:t>
      </w:r>
      <w:r w:rsidR="00996DB7" w:rsidRPr="00B43F71">
        <w:rPr>
          <w:shd w:val="clear" w:color="auto" w:fill="FFFFFF"/>
        </w:rPr>
        <w:t>explored ideas includ</w:t>
      </w:r>
      <w:r w:rsidR="00B43F71">
        <w:rPr>
          <w:shd w:val="clear" w:color="auto" w:fill="FFFFFF"/>
        </w:rPr>
        <w:t>ing</w:t>
      </w:r>
      <w:r w:rsidR="00996DB7" w:rsidRPr="00B43F71">
        <w:rPr>
          <w:shd w:val="clear" w:color="auto" w:fill="FFFFFF"/>
        </w:rPr>
        <w:t xml:space="preserve"> exploration, play, struggle</w:t>
      </w:r>
      <w:r w:rsidR="000A07DC" w:rsidRPr="00B43F71">
        <w:rPr>
          <w:shd w:val="clear" w:color="auto" w:fill="FFFFFF"/>
        </w:rPr>
        <w:t xml:space="preserve"> and community. These </w:t>
      </w:r>
      <w:r w:rsidR="00E9767E" w:rsidRPr="00B43F71">
        <w:rPr>
          <w:shd w:val="clear" w:color="auto" w:fill="FFFFFF"/>
        </w:rPr>
        <w:t>paralleled my study tour</w:t>
      </w:r>
      <w:r w:rsidR="006B53BF">
        <w:rPr>
          <w:shd w:val="clear" w:color="auto" w:fill="FFFFFF"/>
        </w:rPr>
        <w:t xml:space="preserve"> </w:t>
      </w:r>
      <w:r w:rsidR="00B43F71">
        <w:rPr>
          <w:shd w:val="clear" w:color="auto" w:fill="FFFFFF"/>
        </w:rPr>
        <w:t xml:space="preserve">and </w:t>
      </w:r>
      <w:r w:rsidR="00E9767E" w:rsidRPr="00B43F71">
        <w:rPr>
          <w:shd w:val="clear" w:color="auto" w:fill="FFFFFF"/>
        </w:rPr>
        <w:t>bec</w:t>
      </w:r>
      <w:r w:rsidR="00B43F71">
        <w:rPr>
          <w:shd w:val="clear" w:color="auto" w:fill="FFFFFF"/>
        </w:rPr>
        <w:t>a</w:t>
      </w:r>
      <w:r w:rsidR="00E9767E" w:rsidRPr="00B43F71">
        <w:rPr>
          <w:shd w:val="clear" w:color="auto" w:fill="FFFFFF"/>
        </w:rPr>
        <w:t>me leading questions which impacted my learning and direction.</w:t>
      </w:r>
    </w:p>
    <w:p w14:paraId="62881D29" w14:textId="0E817D83" w:rsidR="00E429E8" w:rsidRPr="00B43F71" w:rsidRDefault="00E429E8" w:rsidP="00B43F71">
      <w:pPr>
        <w:spacing w:after="0"/>
        <w:contextualSpacing/>
        <w:rPr>
          <w:shd w:val="clear" w:color="auto" w:fill="FFFFFF"/>
        </w:rPr>
      </w:pPr>
      <w:r w:rsidRPr="00B43F71">
        <w:rPr>
          <w:shd w:val="clear" w:color="auto" w:fill="FFFFFF"/>
        </w:rPr>
        <w:t>The significant learning themes explored in this report include:</w:t>
      </w:r>
    </w:p>
    <w:p w14:paraId="4B02CAE5" w14:textId="39BB87CF" w:rsidR="00E429E8" w:rsidRPr="00B43F71" w:rsidRDefault="006B53BF" w:rsidP="00FB1AD0">
      <w:pPr>
        <w:pStyle w:val="ListParagraph"/>
        <w:numPr>
          <w:ilvl w:val="0"/>
          <w:numId w:val="4"/>
        </w:numPr>
        <w:spacing w:before="60" w:after="180"/>
        <w:contextualSpacing/>
        <w:rPr>
          <w:shd w:val="clear" w:color="auto" w:fill="FFFFFF"/>
        </w:rPr>
      </w:pPr>
      <w:r>
        <w:rPr>
          <w:shd w:val="clear" w:color="auto" w:fill="FFFFFF"/>
        </w:rPr>
        <w:t>e</w:t>
      </w:r>
      <w:r w:rsidR="0043336A" w:rsidRPr="00B43F71">
        <w:rPr>
          <w:shd w:val="clear" w:color="auto" w:fill="FFFFFF"/>
        </w:rPr>
        <w:t>ngaging communities</w:t>
      </w:r>
    </w:p>
    <w:p w14:paraId="52B5F1B9" w14:textId="699E1D89" w:rsidR="0043336A" w:rsidRPr="00B43F71" w:rsidRDefault="006B53BF" w:rsidP="00FB1AD0">
      <w:pPr>
        <w:pStyle w:val="ListParagraph"/>
        <w:numPr>
          <w:ilvl w:val="0"/>
          <w:numId w:val="4"/>
        </w:numPr>
        <w:spacing w:before="60" w:after="180"/>
        <w:contextualSpacing/>
        <w:rPr>
          <w:shd w:val="clear" w:color="auto" w:fill="FFFFFF"/>
        </w:rPr>
      </w:pPr>
      <w:r>
        <w:rPr>
          <w:shd w:val="clear" w:color="auto" w:fill="FFFFFF"/>
        </w:rPr>
        <w:t>n</w:t>
      </w:r>
      <w:r w:rsidR="0043336A" w:rsidRPr="00B43F71">
        <w:rPr>
          <w:shd w:val="clear" w:color="auto" w:fill="FFFFFF"/>
        </w:rPr>
        <w:t>on-verbal reasoning, games an</w:t>
      </w:r>
      <w:r w:rsidR="003E2F33" w:rsidRPr="00B43F71">
        <w:rPr>
          <w:shd w:val="clear" w:color="auto" w:fill="FFFFFF"/>
        </w:rPr>
        <w:t>d curiosity</w:t>
      </w:r>
      <w:r w:rsidR="0021650A" w:rsidRPr="00B43F71">
        <w:rPr>
          <w:shd w:val="clear" w:color="auto" w:fill="FFFFFF"/>
        </w:rPr>
        <w:t xml:space="preserve"> in mathematics</w:t>
      </w:r>
    </w:p>
    <w:p w14:paraId="54CA9333" w14:textId="67263484" w:rsidR="003E2F33" w:rsidRPr="00B43F71" w:rsidRDefault="006B53BF" w:rsidP="00FB1AD0">
      <w:pPr>
        <w:pStyle w:val="ListParagraph"/>
        <w:numPr>
          <w:ilvl w:val="0"/>
          <w:numId w:val="4"/>
        </w:numPr>
        <w:spacing w:before="60" w:after="180"/>
        <w:rPr>
          <w:shd w:val="clear" w:color="auto" w:fill="FFFFFF"/>
        </w:rPr>
      </w:pPr>
      <w:r>
        <w:rPr>
          <w:shd w:val="clear" w:color="auto" w:fill="FFFFFF"/>
        </w:rPr>
        <w:t>s</w:t>
      </w:r>
      <w:r w:rsidR="00E107A5" w:rsidRPr="00B43F71">
        <w:rPr>
          <w:shd w:val="clear" w:color="auto" w:fill="FFFFFF"/>
        </w:rPr>
        <w:t xml:space="preserve">torytelling in </w:t>
      </w:r>
      <w:r w:rsidR="00A97C61" w:rsidRPr="00B43F71">
        <w:rPr>
          <w:shd w:val="clear" w:color="auto" w:fill="FFFFFF"/>
        </w:rPr>
        <w:t>m</w:t>
      </w:r>
      <w:r w:rsidR="00E107A5" w:rsidRPr="00B43F71">
        <w:rPr>
          <w:shd w:val="clear" w:color="auto" w:fill="FFFFFF"/>
        </w:rPr>
        <w:t>athematics</w:t>
      </w:r>
    </w:p>
    <w:p w14:paraId="7CAA4FB3" w14:textId="3D74485B" w:rsidR="005935DB" w:rsidRPr="006B53BF" w:rsidRDefault="00E25B0D" w:rsidP="006B53BF">
      <w:pPr>
        <w:pStyle w:val="Heading2"/>
      </w:pPr>
      <w:r w:rsidRPr="006B53BF">
        <w:t>Engag</w:t>
      </w:r>
      <w:r w:rsidR="008A2378" w:rsidRPr="006B53BF">
        <w:t>ing communities</w:t>
      </w:r>
    </w:p>
    <w:p w14:paraId="161D1301" w14:textId="6564C3B1" w:rsidR="009038C9" w:rsidRDefault="009038C9" w:rsidP="006B53BF">
      <w:pPr>
        <w:rPr>
          <w:rStyle w:val="Strong"/>
          <w:rFonts w:cs="Arial"/>
          <w:b w:val="0"/>
          <w:bCs w:val="0"/>
          <w:szCs w:val="22"/>
        </w:rPr>
      </w:pPr>
      <w:r w:rsidRPr="00B43F71">
        <w:t xml:space="preserve">Mathematics can be seen as abstract </w:t>
      </w:r>
      <w:r w:rsidR="00823B24" w:rsidRPr="00B43F71">
        <w:t>subject</w:t>
      </w:r>
      <w:r w:rsidRPr="00B43F71">
        <w:t>, disconnected from everyday life.</w:t>
      </w:r>
      <w:r w:rsidR="00823B24" w:rsidRPr="00B43F71">
        <w:t xml:space="preserve"> Engaging </w:t>
      </w:r>
      <w:r w:rsidRPr="00B43F71">
        <w:t xml:space="preserve">communities through </w:t>
      </w:r>
      <w:r w:rsidRPr="00B43F71">
        <w:rPr>
          <w:rStyle w:val="Strong"/>
          <w:rFonts w:cs="Arial"/>
          <w:b w:val="0"/>
          <w:bCs w:val="0"/>
          <w:szCs w:val="22"/>
        </w:rPr>
        <w:t>public displays</w:t>
      </w:r>
      <w:r w:rsidRPr="00B43F71">
        <w:rPr>
          <w:b/>
          <w:bCs/>
        </w:rPr>
        <w:t xml:space="preserve">, </w:t>
      </w:r>
      <w:r w:rsidRPr="00B43F71">
        <w:rPr>
          <w:rStyle w:val="Strong"/>
          <w:rFonts w:cs="Arial"/>
          <w:b w:val="0"/>
          <w:bCs w:val="0"/>
          <w:szCs w:val="22"/>
        </w:rPr>
        <w:t>family learning</w:t>
      </w:r>
      <w:r w:rsidRPr="00B43F71">
        <w:t>, and</w:t>
      </w:r>
      <w:r w:rsidRPr="00B43F71">
        <w:rPr>
          <w:b/>
          <w:bCs/>
        </w:rPr>
        <w:t xml:space="preserve"> </w:t>
      </w:r>
      <w:r w:rsidRPr="00B43F71">
        <w:rPr>
          <w:rStyle w:val="Strong"/>
          <w:rFonts w:cs="Arial"/>
          <w:b w:val="0"/>
          <w:bCs w:val="0"/>
          <w:szCs w:val="22"/>
        </w:rPr>
        <w:t>academic outreach</w:t>
      </w:r>
      <w:r w:rsidRPr="00B43F71">
        <w:t xml:space="preserve"> makes math</w:t>
      </w:r>
      <w:r w:rsidR="007803C2" w:rsidRPr="00B43F71">
        <w:t>ematic</w:t>
      </w:r>
      <w:r w:rsidRPr="00B43F71">
        <w:t>s</w:t>
      </w:r>
      <w:r w:rsidRPr="00B43F71">
        <w:rPr>
          <w:b/>
          <w:bCs/>
        </w:rPr>
        <w:t xml:space="preserve"> </w:t>
      </w:r>
      <w:r w:rsidRPr="00B43F71">
        <w:rPr>
          <w:rStyle w:val="Strong"/>
          <w:rFonts w:cs="Arial"/>
          <w:b w:val="0"/>
          <w:bCs w:val="0"/>
          <w:szCs w:val="22"/>
        </w:rPr>
        <w:t>visible, accessible, and relevant</w:t>
      </w:r>
      <w:r w:rsidRPr="00B43F71">
        <w:rPr>
          <w:b/>
          <w:bCs/>
        </w:rPr>
        <w:t>.</w:t>
      </w:r>
      <w:r w:rsidR="00B33DCA" w:rsidRPr="00B43F71">
        <w:rPr>
          <w:b/>
          <w:bCs/>
        </w:rPr>
        <w:t xml:space="preserve"> </w:t>
      </w:r>
      <w:r w:rsidR="007803C2" w:rsidRPr="00B43F71">
        <w:t>Investing in policy and</w:t>
      </w:r>
      <w:r w:rsidR="00DB0A29" w:rsidRPr="00B43F71">
        <w:t xml:space="preserve"> </w:t>
      </w:r>
      <w:r w:rsidR="00AB47F3" w:rsidRPr="00B43F71">
        <w:t xml:space="preserve">planning </w:t>
      </w:r>
      <w:r w:rsidR="00B43F71">
        <w:t xml:space="preserve">and </w:t>
      </w:r>
      <w:r w:rsidR="00AB47F3" w:rsidRPr="00B43F71">
        <w:t>sustaining</w:t>
      </w:r>
      <w:r w:rsidR="007803C2" w:rsidRPr="00B43F71">
        <w:t xml:space="preserve"> an ongoing investment (ACME- 2012</w:t>
      </w:r>
      <w:r w:rsidRPr="00B43F71">
        <w:t xml:space="preserve">) in </w:t>
      </w:r>
      <w:r w:rsidR="007803C2" w:rsidRPr="00B43F71">
        <w:rPr>
          <w:rStyle w:val="Strong"/>
          <w:rFonts w:cs="Arial"/>
          <w:b w:val="0"/>
          <w:bCs w:val="0"/>
          <w:szCs w:val="22"/>
        </w:rPr>
        <w:t>mathematics education</w:t>
      </w:r>
      <w:r w:rsidRPr="00B43F71">
        <w:t xml:space="preserve"> </w:t>
      </w:r>
      <w:r w:rsidR="00BF1F43" w:rsidRPr="00B43F71">
        <w:t>helps learners to find</w:t>
      </w:r>
      <w:r w:rsidRPr="00B43F71">
        <w:t xml:space="preserve"> </w:t>
      </w:r>
      <w:r w:rsidRPr="00B43F71">
        <w:rPr>
          <w:rStyle w:val="Strong"/>
          <w:rFonts w:cs="Arial"/>
          <w:b w:val="0"/>
          <w:bCs w:val="0"/>
          <w:szCs w:val="22"/>
        </w:rPr>
        <w:t>pathw</w:t>
      </w:r>
      <w:r w:rsidR="00615037" w:rsidRPr="00B43F71">
        <w:rPr>
          <w:rStyle w:val="Strong"/>
          <w:rFonts w:cs="Arial"/>
          <w:b w:val="0"/>
          <w:bCs w:val="0"/>
          <w:szCs w:val="22"/>
        </w:rPr>
        <w:t>ays to success.</w:t>
      </w:r>
    </w:p>
    <w:p w14:paraId="74697EEA" w14:textId="3B5EB375" w:rsidR="006B53BF" w:rsidRDefault="006B53BF" w:rsidP="006B53BF">
      <w:pPr>
        <w:pStyle w:val="Heading4"/>
        <w:rPr>
          <w:rStyle w:val="Strong"/>
          <w:rFonts w:cs="Arial"/>
          <w:b/>
          <w:bCs/>
          <w:szCs w:val="22"/>
        </w:rPr>
      </w:pPr>
      <w:r>
        <w:rPr>
          <w:rStyle w:val="Strong"/>
          <w:rFonts w:cs="Arial"/>
          <w:b/>
          <w:bCs/>
          <w:szCs w:val="22"/>
        </w:rPr>
        <w:t xml:space="preserve">Engagement in mathematics through everyday spaces </w:t>
      </w:r>
    </w:p>
    <w:p w14:paraId="3D03A6A0" w14:textId="41448B24" w:rsidR="000E0D9B" w:rsidRPr="00B43F71" w:rsidRDefault="00007486" w:rsidP="006B53BF">
      <w:pPr>
        <w:rPr>
          <w:rStyle w:val="Strong"/>
          <w:rFonts w:cs="Arial"/>
          <w:b w:val="0"/>
          <w:bCs w:val="0"/>
          <w:szCs w:val="22"/>
        </w:rPr>
      </w:pPr>
      <w:r w:rsidRPr="00B43F71">
        <w:rPr>
          <w:rStyle w:val="Strong"/>
          <w:rFonts w:cs="Arial"/>
          <w:b w:val="0"/>
          <w:bCs w:val="0"/>
          <w:szCs w:val="22"/>
        </w:rPr>
        <w:t xml:space="preserve">The </w:t>
      </w:r>
      <w:r w:rsidR="00F265FF" w:rsidRPr="00B43F71">
        <w:rPr>
          <w:rStyle w:val="Strong"/>
          <w:rFonts w:cs="Arial"/>
          <w:b w:val="0"/>
          <w:bCs w:val="0"/>
          <w:szCs w:val="22"/>
        </w:rPr>
        <w:t xml:space="preserve">use of public space to celebrate mathematics is one avenue to democratise the subject, showing its impact </w:t>
      </w:r>
      <w:r w:rsidR="00F82DFD" w:rsidRPr="00B43F71">
        <w:rPr>
          <w:rStyle w:val="Strong"/>
          <w:rFonts w:cs="Arial"/>
          <w:b w:val="0"/>
          <w:bCs w:val="0"/>
          <w:szCs w:val="22"/>
        </w:rPr>
        <w:t>in areas such as art, history, economics and daily life. In Australia</w:t>
      </w:r>
      <w:r w:rsidR="0016458A" w:rsidRPr="00B43F71">
        <w:rPr>
          <w:rStyle w:val="Strong"/>
          <w:rFonts w:cs="Arial"/>
          <w:b w:val="0"/>
          <w:bCs w:val="0"/>
          <w:szCs w:val="22"/>
        </w:rPr>
        <w:t xml:space="preserve"> it was difficult to find displays that truly celebrated mathematics</w:t>
      </w:r>
      <w:r w:rsidR="000F66F9">
        <w:rPr>
          <w:rStyle w:val="Strong"/>
          <w:rFonts w:cs="Arial"/>
          <w:b w:val="0"/>
          <w:bCs w:val="0"/>
          <w:szCs w:val="22"/>
        </w:rPr>
        <w:t>;</w:t>
      </w:r>
      <w:r w:rsidR="0016458A" w:rsidRPr="00B43F71">
        <w:rPr>
          <w:rStyle w:val="Strong"/>
          <w:rFonts w:cs="Arial"/>
          <w:b w:val="0"/>
          <w:bCs w:val="0"/>
          <w:szCs w:val="22"/>
        </w:rPr>
        <w:t xml:space="preserve"> often the power of mathematics was hidden behind</w:t>
      </w:r>
      <w:r w:rsidR="00180392" w:rsidRPr="00B43F71">
        <w:rPr>
          <w:rStyle w:val="Strong"/>
          <w:rFonts w:cs="Arial"/>
          <w:b w:val="0"/>
          <w:bCs w:val="0"/>
          <w:szCs w:val="22"/>
        </w:rPr>
        <w:t xml:space="preserve"> the layer of technology and science</w:t>
      </w:r>
      <w:r w:rsidR="00CE4F2C" w:rsidRPr="00B43F71">
        <w:rPr>
          <w:rStyle w:val="Strong"/>
          <w:rFonts w:cs="Arial"/>
          <w:b w:val="0"/>
          <w:bCs w:val="0"/>
          <w:szCs w:val="22"/>
        </w:rPr>
        <w:t xml:space="preserve">. The display in </w:t>
      </w:r>
      <w:r w:rsidR="00671416" w:rsidRPr="00B43F71">
        <w:rPr>
          <w:rStyle w:val="Strong"/>
          <w:rFonts w:cs="Arial"/>
          <w:b w:val="0"/>
          <w:bCs w:val="0"/>
          <w:szCs w:val="22"/>
        </w:rPr>
        <w:t>Chau Chek Wing Museum</w:t>
      </w:r>
      <w:r w:rsidR="00FF51A3" w:rsidRPr="00B43F71">
        <w:rPr>
          <w:rStyle w:val="Strong"/>
          <w:rFonts w:cs="Arial"/>
          <w:b w:val="0"/>
          <w:bCs w:val="0"/>
          <w:szCs w:val="22"/>
        </w:rPr>
        <w:t xml:space="preserve"> </w:t>
      </w:r>
      <w:r w:rsidR="00720E4A" w:rsidRPr="00B43F71">
        <w:rPr>
          <w:rStyle w:val="Strong"/>
          <w:rFonts w:cs="Arial"/>
          <w:b w:val="0"/>
          <w:bCs w:val="0"/>
          <w:szCs w:val="22"/>
        </w:rPr>
        <w:t>in Sydney University</w:t>
      </w:r>
      <w:r w:rsidR="000F66F9">
        <w:rPr>
          <w:rStyle w:val="Strong"/>
          <w:rFonts w:cs="Arial"/>
          <w:b w:val="0"/>
          <w:bCs w:val="0"/>
          <w:szCs w:val="22"/>
        </w:rPr>
        <w:t>, ‘</w:t>
      </w:r>
      <w:proofErr w:type="spellStart"/>
      <w:proofErr w:type="gramStart"/>
      <w:r w:rsidR="00E826F1" w:rsidRPr="00B43F71">
        <w:rPr>
          <w:rStyle w:val="Strong"/>
          <w:rFonts w:cs="Arial"/>
          <w:b w:val="0"/>
          <w:bCs w:val="0"/>
          <w:szCs w:val="22"/>
        </w:rPr>
        <w:t>Micro</w:t>
      </w:r>
      <w:r w:rsidR="00720E4A" w:rsidRPr="00B43F71">
        <w:rPr>
          <w:rStyle w:val="Strong"/>
          <w:rFonts w:cs="Arial"/>
          <w:b w:val="0"/>
          <w:bCs w:val="0"/>
          <w:szCs w:val="22"/>
        </w:rPr>
        <w:t>:Macro</w:t>
      </w:r>
      <w:proofErr w:type="spellEnd"/>
      <w:proofErr w:type="gramEnd"/>
      <w:r w:rsidR="00720E4A" w:rsidRPr="00B43F71">
        <w:rPr>
          <w:rStyle w:val="Strong"/>
          <w:rFonts w:cs="Arial"/>
          <w:b w:val="0"/>
          <w:bCs w:val="0"/>
          <w:szCs w:val="22"/>
        </w:rPr>
        <w:t xml:space="preserve"> models of insight and </w:t>
      </w:r>
      <w:r w:rsidR="007719DF" w:rsidRPr="00B43F71">
        <w:rPr>
          <w:rStyle w:val="Strong"/>
          <w:rFonts w:cs="Arial"/>
          <w:b w:val="0"/>
          <w:bCs w:val="0"/>
          <w:szCs w:val="22"/>
        </w:rPr>
        <w:t>inspiration</w:t>
      </w:r>
      <w:r w:rsidR="000F66F9">
        <w:rPr>
          <w:rStyle w:val="Strong"/>
          <w:rFonts w:cs="Arial"/>
          <w:b w:val="0"/>
          <w:bCs w:val="0"/>
          <w:szCs w:val="22"/>
        </w:rPr>
        <w:t>’,</w:t>
      </w:r>
      <w:r w:rsidR="004C385F" w:rsidRPr="00B43F71">
        <w:rPr>
          <w:rStyle w:val="Strong"/>
          <w:rFonts w:cs="Arial"/>
          <w:b w:val="0"/>
          <w:bCs w:val="0"/>
          <w:szCs w:val="22"/>
        </w:rPr>
        <w:t xml:space="preserve"> was a</w:t>
      </w:r>
      <w:r w:rsidR="00BF1F43" w:rsidRPr="00B43F71">
        <w:rPr>
          <w:rStyle w:val="Strong"/>
          <w:rFonts w:cs="Arial"/>
          <w:b w:val="0"/>
          <w:bCs w:val="0"/>
          <w:szCs w:val="22"/>
        </w:rPr>
        <w:t xml:space="preserve">n </w:t>
      </w:r>
      <w:r w:rsidR="00E826F1" w:rsidRPr="00B43F71">
        <w:rPr>
          <w:rStyle w:val="Strong"/>
          <w:rFonts w:cs="Arial"/>
          <w:b w:val="0"/>
          <w:bCs w:val="0"/>
          <w:szCs w:val="22"/>
        </w:rPr>
        <w:t>exception. Conversely</w:t>
      </w:r>
      <w:r w:rsidR="00BB7BA5">
        <w:rPr>
          <w:rStyle w:val="Strong"/>
          <w:rFonts w:cs="Arial"/>
          <w:b w:val="0"/>
          <w:bCs w:val="0"/>
          <w:szCs w:val="22"/>
        </w:rPr>
        <w:t>,</w:t>
      </w:r>
      <w:r w:rsidR="00E826F1" w:rsidRPr="00B43F71">
        <w:rPr>
          <w:rStyle w:val="Strong"/>
          <w:rFonts w:cs="Arial"/>
          <w:b w:val="0"/>
          <w:bCs w:val="0"/>
          <w:szCs w:val="22"/>
        </w:rPr>
        <w:t xml:space="preserve"> the UK</w:t>
      </w:r>
      <w:r w:rsidR="00722857" w:rsidRPr="00B43F71">
        <w:rPr>
          <w:rStyle w:val="Strong"/>
          <w:rFonts w:cs="Arial"/>
          <w:b w:val="0"/>
          <w:bCs w:val="0"/>
          <w:szCs w:val="22"/>
        </w:rPr>
        <w:t xml:space="preserve"> had an abundance of </w:t>
      </w:r>
      <w:r w:rsidR="00BB7BA5">
        <w:rPr>
          <w:rStyle w:val="Strong"/>
          <w:rFonts w:cs="Arial"/>
          <w:b w:val="0"/>
          <w:bCs w:val="0"/>
          <w:szCs w:val="22"/>
        </w:rPr>
        <w:t>well-attended</w:t>
      </w:r>
      <w:r w:rsidR="00722857" w:rsidRPr="00B43F71">
        <w:rPr>
          <w:rStyle w:val="Strong"/>
          <w:rFonts w:cs="Arial"/>
          <w:b w:val="0"/>
          <w:bCs w:val="0"/>
          <w:szCs w:val="22"/>
        </w:rPr>
        <w:t xml:space="preserve"> public spaces where mathematics was the core of the display.</w:t>
      </w:r>
      <w:r w:rsidR="00742C87" w:rsidRPr="00B43F71">
        <w:rPr>
          <w:rStyle w:val="Strong"/>
          <w:rFonts w:cs="Arial"/>
          <w:b w:val="0"/>
          <w:bCs w:val="0"/>
          <w:szCs w:val="22"/>
        </w:rPr>
        <w:t xml:space="preserve"> These include</w:t>
      </w:r>
      <w:r w:rsidR="00AB47F3" w:rsidRPr="00B43F71">
        <w:rPr>
          <w:rStyle w:val="Strong"/>
          <w:rFonts w:cs="Arial"/>
          <w:b w:val="0"/>
          <w:bCs w:val="0"/>
          <w:szCs w:val="22"/>
        </w:rPr>
        <w:t>d</w:t>
      </w:r>
      <w:r w:rsidR="000F66F9">
        <w:rPr>
          <w:rStyle w:val="Strong"/>
          <w:rFonts w:cs="Arial"/>
          <w:b w:val="0"/>
          <w:bCs w:val="0"/>
          <w:szCs w:val="22"/>
        </w:rPr>
        <w:t>:</w:t>
      </w:r>
      <w:r w:rsidR="00AB47F3" w:rsidRPr="00B43F71">
        <w:rPr>
          <w:rStyle w:val="Strong"/>
          <w:rFonts w:cs="Arial"/>
          <w:b w:val="0"/>
          <w:bCs w:val="0"/>
          <w:szCs w:val="22"/>
        </w:rPr>
        <w:t xml:space="preserve"> The</w:t>
      </w:r>
      <w:r w:rsidR="00742C87" w:rsidRPr="00B43F71">
        <w:rPr>
          <w:rStyle w:val="Strong"/>
          <w:rFonts w:cs="Arial"/>
          <w:b w:val="0"/>
          <w:bCs w:val="0"/>
          <w:szCs w:val="22"/>
        </w:rPr>
        <w:t xml:space="preserve"> Winton Gallery, Greenwich Prime </w:t>
      </w:r>
      <w:r w:rsidR="00DB234A" w:rsidRPr="00B43F71">
        <w:rPr>
          <w:rStyle w:val="Strong"/>
          <w:rFonts w:cs="Arial"/>
          <w:b w:val="0"/>
          <w:bCs w:val="0"/>
          <w:szCs w:val="22"/>
        </w:rPr>
        <w:t>M</w:t>
      </w:r>
      <w:r w:rsidR="00742C87" w:rsidRPr="00B43F71">
        <w:rPr>
          <w:rStyle w:val="Strong"/>
          <w:rFonts w:cs="Arial"/>
          <w:b w:val="0"/>
          <w:bCs w:val="0"/>
          <w:szCs w:val="22"/>
        </w:rPr>
        <w:t>eridian, Naval Museums</w:t>
      </w:r>
      <w:r w:rsidR="00FA771A" w:rsidRPr="00B43F71">
        <w:rPr>
          <w:rStyle w:val="Strong"/>
          <w:rFonts w:cs="Arial"/>
          <w:b w:val="0"/>
          <w:bCs w:val="0"/>
          <w:szCs w:val="22"/>
        </w:rPr>
        <w:t>, Bank of England Muse</w:t>
      </w:r>
      <w:r w:rsidR="00FB5837" w:rsidRPr="00B43F71">
        <w:rPr>
          <w:rStyle w:val="Strong"/>
          <w:rFonts w:cs="Arial"/>
          <w:b w:val="0"/>
          <w:bCs w:val="0"/>
          <w:szCs w:val="22"/>
        </w:rPr>
        <w:t xml:space="preserve">um and the </w:t>
      </w:r>
      <w:r w:rsidR="00A82C69" w:rsidRPr="00B43F71">
        <w:rPr>
          <w:rStyle w:val="Strong"/>
          <w:rFonts w:cs="Arial"/>
          <w:b w:val="0"/>
          <w:bCs w:val="0"/>
          <w:szCs w:val="22"/>
        </w:rPr>
        <w:t>Cutty Sark</w:t>
      </w:r>
      <w:r w:rsidR="00FB5837" w:rsidRPr="00B43F71">
        <w:rPr>
          <w:rStyle w:val="Strong"/>
          <w:rFonts w:cs="Arial"/>
          <w:b w:val="0"/>
          <w:bCs w:val="0"/>
          <w:szCs w:val="22"/>
        </w:rPr>
        <w:t xml:space="preserve"> in London</w:t>
      </w:r>
      <w:r w:rsidR="00BF1F43" w:rsidRPr="00B43F71">
        <w:rPr>
          <w:rStyle w:val="Strong"/>
          <w:rFonts w:cs="Arial"/>
          <w:b w:val="0"/>
          <w:bCs w:val="0"/>
          <w:szCs w:val="22"/>
        </w:rPr>
        <w:t>,</w:t>
      </w:r>
      <w:r w:rsidR="00445825" w:rsidRPr="00B43F71">
        <w:rPr>
          <w:rStyle w:val="Strong"/>
          <w:rFonts w:cs="Arial"/>
          <w:b w:val="0"/>
          <w:bCs w:val="0"/>
          <w:szCs w:val="22"/>
        </w:rPr>
        <w:t xml:space="preserve"> </w:t>
      </w:r>
      <w:r w:rsidR="005452DC" w:rsidRPr="00B43F71">
        <w:rPr>
          <w:rStyle w:val="Strong"/>
          <w:rFonts w:cs="Arial"/>
          <w:b w:val="0"/>
          <w:bCs w:val="0"/>
          <w:szCs w:val="22"/>
        </w:rPr>
        <w:t>York Museum – Star Carr site</w:t>
      </w:r>
      <w:r w:rsidR="00AB47F3" w:rsidRPr="00B43F71">
        <w:rPr>
          <w:rStyle w:val="Strong"/>
          <w:rFonts w:cs="Arial"/>
          <w:b w:val="0"/>
          <w:bCs w:val="0"/>
          <w:szCs w:val="22"/>
        </w:rPr>
        <w:t xml:space="preserve">, </w:t>
      </w:r>
      <w:r w:rsidR="00FB5837" w:rsidRPr="00B43F71">
        <w:rPr>
          <w:rStyle w:val="Strong"/>
          <w:rFonts w:cs="Arial"/>
          <w:b w:val="0"/>
          <w:bCs w:val="0"/>
          <w:szCs w:val="22"/>
        </w:rPr>
        <w:t xml:space="preserve">The </w:t>
      </w:r>
      <w:r w:rsidR="00445825" w:rsidRPr="00B43F71">
        <w:rPr>
          <w:rStyle w:val="Strong"/>
          <w:rFonts w:cs="Arial"/>
          <w:b w:val="0"/>
          <w:bCs w:val="0"/>
          <w:szCs w:val="22"/>
        </w:rPr>
        <w:t>Science and Industry Museum</w:t>
      </w:r>
      <w:r w:rsidR="00687D5F" w:rsidRPr="00B43F71">
        <w:rPr>
          <w:rStyle w:val="Strong"/>
          <w:rFonts w:cs="Arial"/>
          <w:b w:val="0"/>
          <w:bCs w:val="0"/>
          <w:szCs w:val="22"/>
        </w:rPr>
        <w:t xml:space="preserve"> Manchester,</w:t>
      </w:r>
      <w:r w:rsidR="008A2147" w:rsidRPr="00B43F71">
        <w:rPr>
          <w:rStyle w:val="Strong"/>
          <w:rFonts w:cs="Arial"/>
          <w:b w:val="0"/>
          <w:bCs w:val="0"/>
          <w:szCs w:val="22"/>
        </w:rPr>
        <w:t xml:space="preserve"> </w:t>
      </w:r>
      <w:r w:rsidR="000F66F9">
        <w:rPr>
          <w:rStyle w:val="Strong"/>
          <w:rFonts w:cs="Arial"/>
          <w:b w:val="0"/>
          <w:bCs w:val="0"/>
          <w:szCs w:val="22"/>
        </w:rPr>
        <w:t xml:space="preserve">and </w:t>
      </w:r>
      <w:r w:rsidR="008A2147" w:rsidRPr="00B43F71">
        <w:rPr>
          <w:rStyle w:val="Strong"/>
          <w:rFonts w:cs="Arial"/>
          <w:b w:val="0"/>
          <w:bCs w:val="0"/>
          <w:szCs w:val="22"/>
        </w:rPr>
        <w:t>Ashmolean Museum</w:t>
      </w:r>
      <w:r w:rsidR="00AB47F3" w:rsidRPr="00B43F71">
        <w:rPr>
          <w:rStyle w:val="Strong"/>
          <w:rFonts w:cs="Arial"/>
          <w:b w:val="0"/>
          <w:bCs w:val="0"/>
          <w:szCs w:val="22"/>
        </w:rPr>
        <w:t xml:space="preserve"> Oxford</w:t>
      </w:r>
      <w:r w:rsidR="00A82C69" w:rsidRPr="00B43F71">
        <w:rPr>
          <w:rStyle w:val="Strong"/>
          <w:rFonts w:cs="Arial"/>
          <w:b w:val="0"/>
          <w:bCs w:val="0"/>
          <w:szCs w:val="22"/>
        </w:rPr>
        <w:t xml:space="preserve">. </w:t>
      </w:r>
      <w:r w:rsidR="00DB234A" w:rsidRPr="00B43F71">
        <w:rPr>
          <w:rStyle w:val="Strong"/>
          <w:rFonts w:cs="Arial"/>
          <w:b w:val="0"/>
          <w:bCs w:val="0"/>
          <w:szCs w:val="22"/>
        </w:rPr>
        <w:t>The opportunity to see how mathematics had been a dynamic force in shaping our world</w:t>
      </w:r>
      <w:r w:rsidR="001605E9" w:rsidRPr="00B43F71">
        <w:rPr>
          <w:rStyle w:val="Strong"/>
          <w:rFonts w:cs="Arial"/>
          <w:b w:val="0"/>
          <w:bCs w:val="0"/>
          <w:szCs w:val="22"/>
        </w:rPr>
        <w:t>, economics, time, navigation and space</w:t>
      </w:r>
      <w:r w:rsidR="003744F5" w:rsidRPr="00B43F71">
        <w:rPr>
          <w:rStyle w:val="Strong"/>
          <w:rFonts w:cs="Arial"/>
          <w:b w:val="0"/>
          <w:bCs w:val="0"/>
          <w:szCs w:val="22"/>
        </w:rPr>
        <w:t xml:space="preserve"> highlights its role through history and changes</w:t>
      </w:r>
      <w:r w:rsidR="00641AD6" w:rsidRPr="00B43F71">
        <w:rPr>
          <w:rStyle w:val="Strong"/>
          <w:rFonts w:cs="Arial"/>
          <w:b w:val="0"/>
          <w:bCs w:val="0"/>
          <w:szCs w:val="22"/>
        </w:rPr>
        <w:t xml:space="preserve"> that will lead us into the future. </w:t>
      </w:r>
      <w:r w:rsidR="00E03C67" w:rsidRPr="00B43F71">
        <w:rPr>
          <w:rStyle w:val="Strong"/>
          <w:rFonts w:cs="Arial"/>
          <w:b w:val="0"/>
          <w:bCs w:val="0"/>
          <w:szCs w:val="22"/>
        </w:rPr>
        <w:t>Additionally,</w:t>
      </w:r>
      <w:r w:rsidR="00A82C69" w:rsidRPr="00B43F71">
        <w:rPr>
          <w:rStyle w:val="Strong"/>
          <w:rFonts w:cs="Arial"/>
          <w:b w:val="0"/>
          <w:bCs w:val="0"/>
          <w:szCs w:val="22"/>
        </w:rPr>
        <w:t xml:space="preserve"> mathematics “</w:t>
      </w:r>
      <w:r w:rsidR="007B411D" w:rsidRPr="00B43F71">
        <w:rPr>
          <w:rStyle w:val="Strong"/>
          <w:rFonts w:cs="Arial"/>
          <w:b w:val="0"/>
          <w:bCs w:val="0"/>
          <w:szCs w:val="22"/>
        </w:rPr>
        <w:t xml:space="preserve">shops” such as </w:t>
      </w:r>
      <w:proofErr w:type="spellStart"/>
      <w:r w:rsidR="007B411D" w:rsidRPr="00B43F71">
        <w:rPr>
          <w:rStyle w:val="Strong"/>
          <w:rFonts w:cs="Arial"/>
          <w:b w:val="0"/>
          <w:bCs w:val="0"/>
          <w:szCs w:val="22"/>
        </w:rPr>
        <w:t>MathsCity</w:t>
      </w:r>
      <w:proofErr w:type="spellEnd"/>
      <w:r w:rsidR="00E03C67" w:rsidRPr="00B43F71">
        <w:rPr>
          <w:rStyle w:val="Strong"/>
          <w:rFonts w:cs="Arial"/>
          <w:b w:val="0"/>
          <w:bCs w:val="0"/>
          <w:szCs w:val="22"/>
        </w:rPr>
        <w:t xml:space="preserve"> in Leeds</w:t>
      </w:r>
      <w:r w:rsidR="007B411D" w:rsidRPr="00B43F71">
        <w:rPr>
          <w:rStyle w:val="Strong"/>
          <w:rFonts w:cs="Arial"/>
          <w:b w:val="0"/>
          <w:bCs w:val="0"/>
          <w:szCs w:val="22"/>
        </w:rPr>
        <w:t>, staffed by STEM PhD students</w:t>
      </w:r>
      <w:r w:rsidR="00287B35" w:rsidRPr="00B43F71">
        <w:rPr>
          <w:rStyle w:val="Strong"/>
          <w:rFonts w:cs="Arial"/>
          <w:b w:val="0"/>
          <w:bCs w:val="0"/>
          <w:szCs w:val="22"/>
        </w:rPr>
        <w:t xml:space="preserve"> gave access to h</w:t>
      </w:r>
      <w:r w:rsidR="00287B35" w:rsidRPr="00B43F71">
        <w:t>ands-on, immersive experience</w:t>
      </w:r>
      <w:r w:rsidR="000F66F9">
        <w:t>s</w:t>
      </w:r>
      <w:r w:rsidR="00EB50D6">
        <w:t>,</w:t>
      </w:r>
      <w:r w:rsidR="00287B35" w:rsidRPr="00B43F71">
        <w:t xml:space="preserve"> demystifying mathematical ideas through play and interactio</w:t>
      </w:r>
      <w:r w:rsidR="00B448D7" w:rsidRPr="00B43F71">
        <w:t>n</w:t>
      </w:r>
      <w:r w:rsidR="00B23F25" w:rsidRPr="00B43F71">
        <w:rPr>
          <w:rStyle w:val="Strong"/>
          <w:rFonts w:cs="Arial"/>
          <w:b w:val="0"/>
          <w:bCs w:val="0"/>
          <w:szCs w:val="22"/>
        </w:rPr>
        <w:t xml:space="preserve">. </w:t>
      </w:r>
      <w:r w:rsidR="003B4862" w:rsidRPr="00B43F71">
        <w:rPr>
          <w:rStyle w:val="Strong"/>
          <w:rFonts w:cs="Arial"/>
          <w:b w:val="0"/>
          <w:bCs w:val="0"/>
          <w:szCs w:val="22"/>
        </w:rPr>
        <w:t>All these sites were occupied by students visiting and engaging with the displays</w:t>
      </w:r>
      <w:r w:rsidR="00870E14" w:rsidRPr="00B43F71">
        <w:rPr>
          <w:rStyle w:val="Strong"/>
          <w:rFonts w:cs="Arial"/>
          <w:b w:val="0"/>
          <w:bCs w:val="0"/>
          <w:szCs w:val="22"/>
        </w:rPr>
        <w:t>, promoting the value of mathematics.</w:t>
      </w:r>
    </w:p>
    <w:p w14:paraId="6A51B069" w14:textId="187E6745" w:rsidR="006B53BF" w:rsidRDefault="006B53BF" w:rsidP="006B53BF">
      <w:pPr>
        <w:pStyle w:val="Heading4"/>
      </w:pPr>
      <w:r>
        <w:t>Supporting parents and families</w:t>
      </w:r>
    </w:p>
    <w:p w14:paraId="0AC788A8" w14:textId="28008990" w:rsidR="000E0D9B" w:rsidRPr="00B43F71" w:rsidRDefault="00382001" w:rsidP="006B53BF">
      <w:r w:rsidRPr="00B43F71">
        <w:t>One of the most impactful ways to transform mathematics education is by actively involving parents and families in the learning process. Many adults, particularly those who struggled with maths in school or missed foundational learning opportunities, often feel unequipped to support their children's mathematical development. This gap can create a cycle of anxiety and low confidence that passes from one generation to the next.</w:t>
      </w:r>
    </w:p>
    <w:p w14:paraId="431B9D97" w14:textId="3BE768B3" w:rsidR="00C7509A" w:rsidRPr="00B43F71" w:rsidRDefault="000E5533" w:rsidP="006B53BF">
      <w:r w:rsidRPr="00B43F71">
        <w:t>My visit to</w:t>
      </w:r>
      <w:r w:rsidR="00157E5B" w:rsidRPr="00B43F71">
        <w:t xml:space="preserve"> a</w:t>
      </w:r>
      <w:r w:rsidRPr="00B43F71">
        <w:t xml:space="preserve"> </w:t>
      </w:r>
      <w:r w:rsidR="0047171D" w:rsidRPr="00B43F71">
        <w:rPr>
          <w:rStyle w:val="Strong"/>
          <w:rFonts w:cs="Arial"/>
          <w:b w:val="0"/>
          <w:bCs w:val="0"/>
          <w:szCs w:val="22"/>
        </w:rPr>
        <w:t>n</w:t>
      </w:r>
      <w:r w:rsidRPr="00B43F71">
        <w:rPr>
          <w:rStyle w:val="Strong"/>
          <w:rFonts w:cs="Arial"/>
          <w:b w:val="0"/>
          <w:bCs w:val="0"/>
          <w:szCs w:val="22"/>
        </w:rPr>
        <w:t xml:space="preserve">umeracy </w:t>
      </w:r>
      <w:r w:rsidR="0047171D" w:rsidRPr="00B43F71">
        <w:rPr>
          <w:rStyle w:val="Strong"/>
          <w:rFonts w:cs="Arial"/>
          <w:b w:val="0"/>
          <w:bCs w:val="0"/>
          <w:szCs w:val="22"/>
        </w:rPr>
        <w:t>p</w:t>
      </w:r>
      <w:r w:rsidRPr="00B43F71">
        <w:rPr>
          <w:rStyle w:val="Strong"/>
          <w:rFonts w:cs="Arial"/>
          <w:b w:val="0"/>
          <w:bCs w:val="0"/>
          <w:szCs w:val="22"/>
        </w:rPr>
        <w:t>roject</w:t>
      </w:r>
      <w:r w:rsidR="0047171D" w:rsidRPr="00B43F71">
        <w:rPr>
          <w:rStyle w:val="Strong"/>
          <w:rFonts w:cs="Arial"/>
          <w:b w:val="0"/>
          <w:bCs w:val="0"/>
          <w:szCs w:val="22"/>
        </w:rPr>
        <w:t xml:space="preserve"> “Multiply”</w:t>
      </w:r>
      <w:r w:rsidRPr="00B43F71">
        <w:rPr>
          <w:rStyle w:val="Strong"/>
          <w:rFonts w:cs="Arial"/>
          <w:b w:val="0"/>
          <w:bCs w:val="0"/>
          <w:szCs w:val="22"/>
        </w:rPr>
        <w:t xml:space="preserve"> in </w:t>
      </w:r>
      <w:r w:rsidR="0047171D" w:rsidRPr="00B43F71">
        <w:rPr>
          <w:rStyle w:val="Strong"/>
          <w:rFonts w:cs="Arial"/>
          <w:b w:val="0"/>
          <w:bCs w:val="0"/>
          <w:szCs w:val="22"/>
        </w:rPr>
        <w:t>D</w:t>
      </w:r>
      <w:r w:rsidRPr="00B43F71">
        <w:rPr>
          <w:rStyle w:val="Strong"/>
          <w:rFonts w:cs="Arial"/>
          <w:b w:val="0"/>
          <w:bCs w:val="0"/>
          <w:szCs w:val="22"/>
        </w:rPr>
        <w:t>urham</w:t>
      </w:r>
      <w:r w:rsidR="0047171D" w:rsidRPr="00B43F71">
        <w:rPr>
          <w:rStyle w:val="Strong"/>
          <w:rFonts w:cs="Arial"/>
          <w:b w:val="0"/>
          <w:bCs w:val="0"/>
          <w:szCs w:val="22"/>
        </w:rPr>
        <w:t xml:space="preserve">, run by the </w:t>
      </w:r>
      <w:r w:rsidR="00A42759">
        <w:rPr>
          <w:rStyle w:val="Strong"/>
          <w:rFonts w:cs="Arial"/>
          <w:b w:val="0"/>
          <w:bCs w:val="0"/>
          <w:szCs w:val="22"/>
        </w:rPr>
        <w:t>local c</w:t>
      </w:r>
      <w:r w:rsidR="0047171D" w:rsidRPr="00B43F71">
        <w:rPr>
          <w:rStyle w:val="Strong"/>
          <w:rFonts w:cs="Arial"/>
          <w:b w:val="0"/>
          <w:bCs w:val="0"/>
          <w:szCs w:val="22"/>
        </w:rPr>
        <w:t>ouncil</w:t>
      </w:r>
      <w:r w:rsidR="00D47151">
        <w:rPr>
          <w:rStyle w:val="Strong"/>
          <w:rFonts w:cs="Arial"/>
          <w:b w:val="0"/>
          <w:bCs w:val="0"/>
          <w:szCs w:val="22"/>
        </w:rPr>
        <w:t xml:space="preserve"> and</w:t>
      </w:r>
      <w:r w:rsidRPr="00B43F71">
        <w:t xml:space="preserve"> designed for both parents and students, support</w:t>
      </w:r>
      <w:r w:rsidR="00DC75E5">
        <w:t>ed</w:t>
      </w:r>
      <w:r w:rsidRPr="00B43F71">
        <w:t xml:space="preserve"> families where adults may lack confidence or competence in mathematics. It create</w:t>
      </w:r>
      <w:r w:rsidR="00DC75E5">
        <w:t>d</w:t>
      </w:r>
      <w:r w:rsidRPr="00B43F71">
        <w:t xml:space="preserve"> opportunities for parents and children to learn together, in an environment that is welcoming, non-judgmental, and focused on practical, everyday math</w:t>
      </w:r>
      <w:r w:rsidR="00264B31" w:rsidRPr="00B43F71">
        <w:t xml:space="preserve">ematics. The session I </w:t>
      </w:r>
      <w:r w:rsidR="001A4D65" w:rsidRPr="00B43F71">
        <w:t>attended involved</w:t>
      </w:r>
      <w:r w:rsidR="00264B31" w:rsidRPr="00B43F71">
        <w:t xml:space="preserve"> </w:t>
      </w:r>
      <w:r w:rsidR="00435689" w:rsidRPr="00B43F71">
        <w:t>hands-on</w:t>
      </w:r>
      <w:r w:rsidR="00264B31" w:rsidRPr="00B43F71">
        <w:t xml:space="preserve"> learning about decimals</w:t>
      </w:r>
      <w:r w:rsidR="00FB330A">
        <w:t xml:space="preserve"> (</w:t>
      </w:r>
      <w:r w:rsidR="00F40DF6" w:rsidRPr="00B43F71">
        <w:t xml:space="preserve">aligned with Durham University and school </w:t>
      </w:r>
      <w:r w:rsidR="001E7DD9" w:rsidRPr="00B43F71">
        <w:t>programs</w:t>
      </w:r>
      <w:r w:rsidR="00FB330A">
        <w:t xml:space="preserve">) and </w:t>
      </w:r>
      <w:r w:rsidR="00264B31" w:rsidRPr="00B43F71">
        <w:t>focused on how to assist parent</w:t>
      </w:r>
      <w:r w:rsidR="00435689" w:rsidRPr="00B43F71">
        <w:t>s</w:t>
      </w:r>
      <w:r w:rsidR="00264B31" w:rsidRPr="00B43F71">
        <w:t xml:space="preserve"> to support their </w:t>
      </w:r>
      <w:r w:rsidR="00435689" w:rsidRPr="00B43F71">
        <w:t>child’s</w:t>
      </w:r>
      <w:r w:rsidR="00264B31" w:rsidRPr="00B43F71">
        <w:t xml:space="preserve"> </w:t>
      </w:r>
      <w:r w:rsidR="00435689" w:rsidRPr="00B43F71">
        <w:t>learning</w:t>
      </w:r>
      <w:r w:rsidR="00264B31" w:rsidRPr="00B43F71">
        <w:t>. Parent</w:t>
      </w:r>
      <w:r w:rsidR="00F863F5">
        <w:t>s</w:t>
      </w:r>
      <w:r w:rsidR="00264B31" w:rsidRPr="00B43F71">
        <w:t xml:space="preserve"> were very supportive of the </w:t>
      </w:r>
      <w:r w:rsidR="00435689" w:rsidRPr="00B43F71">
        <w:t xml:space="preserve">initiative and expressed </w:t>
      </w:r>
      <w:r w:rsidR="00DB3920" w:rsidRPr="00B43F71">
        <w:t>appreciation in being able to support their families.</w:t>
      </w:r>
    </w:p>
    <w:p w14:paraId="5D9A3F13" w14:textId="20647462" w:rsidR="00D82495" w:rsidRPr="00B43F71" w:rsidRDefault="000E5533" w:rsidP="006B53BF">
      <w:r w:rsidRPr="00B43F71">
        <w:lastRenderedPageBreak/>
        <w:t>Through workshops and joint learning sessions, the project helps build fundamental skills using real-life contexts</w:t>
      </w:r>
      <w:r w:rsidR="00853C19" w:rsidRPr="00B43F71">
        <w:t xml:space="preserve"> </w:t>
      </w:r>
      <w:r w:rsidRPr="00B43F71">
        <w:t>making maths more meaningful and less intimidating. Parents are empowered to better understand the maths their children are learning in school, which in turn enables them to provide support with homework</w:t>
      </w:r>
      <w:r w:rsidR="00926634" w:rsidRPr="00B43F71">
        <w:t>. The program aims to promote intergenerational learning base</w:t>
      </w:r>
      <w:r w:rsidR="009D7941" w:rsidRPr="00B43F71">
        <w:t>d</w:t>
      </w:r>
      <w:r w:rsidR="00926634" w:rsidRPr="00B43F71">
        <w:t xml:space="preserve"> on shared family </w:t>
      </w:r>
      <w:r w:rsidR="00814602" w:rsidRPr="00B43F71">
        <w:t>experiences. T</w:t>
      </w:r>
      <w:r w:rsidR="000434AB" w:rsidRPr="00B43F71">
        <w:t>h</w:t>
      </w:r>
      <w:r w:rsidR="00814602" w:rsidRPr="00B43F71">
        <w:t>is program is transforming</w:t>
      </w:r>
      <w:r w:rsidR="00191620">
        <w:t xml:space="preserve"> the</w:t>
      </w:r>
      <w:r w:rsidR="00814602" w:rsidRPr="00B43F71">
        <w:t xml:space="preserve"> attitudes of adults, enhancing </w:t>
      </w:r>
      <w:r w:rsidR="009D7941" w:rsidRPr="00B43F71">
        <w:t>their child’s progress in mathematics</w:t>
      </w:r>
      <w:r w:rsidR="00191620">
        <w:t>,</w:t>
      </w:r>
      <w:r w:rsidR="009D7941" w:rsidRPr="00B43F71">
        <w:t xml:space="preserve"> replacing fear with curiosity.</w:t>
      </w:r>
      <w:r w:rsidR="00D82495" w:rsidRPr="00B43F71">
        <w:t xml:space="preserve"> </w:t>
      </w:r>
    </w:p>
    <w:p w14:paraId="6AD558D1" w14:textId="77777777" w:rsidR="000F66F9" w:rsidRDefault="000F66F9" w:rsidP="000F66F9">
      <w:pPr>
        <w:pStyle w:val="Heading4"/>
      </w:pPr>
      <w:r>
        <w:t>Building aspirational pathways</w:t>
      </w:r>
    </w:p>
    <w:p w14:paraId="5A46A13A" w14:textId="194E45B8" w:rsidR="00C14F45" w:rsidRPr="00B43F71" w:rsidRDefault="00C14F45" w:rsidP="00C14F45">
      <w:pPr>
        <w:pStyle w:val="NormalWeb"/>
        <w:spacing w:before="60" w:beforeAutospacing="0" w:after="180" w:afterAutospacing="0" w:line="276" w:lineRule="auto"/>
        <w:rPr>
          <w:rFonts w:ascii="Arial" w:hAnsi="Arial" w:cs="Arial"/>
          <w:sz w:val="22"/>
          <w:szCs w:val="22"/>
        </w:rPr>
      </w:pPr>
      <w:r w:rsidRPr="00B43F71">
        <w:rPr>
          <w:rFonts w:ascii="Arial" w:hAnsi="Arial" w:cs="Arial"/>
          <w:sz w:val="22"/>
          <w:szCs w:val="22"/>
        </w:rPr>
        <w:t>Creating clear, inspiring pathways into mathematics is essential for raising ambitions and broadening participation, especially among underrepresented groups. Beyond traditional classroom instruction, there is a growing recognition of the need for innovative and inclusive routes that connect young learners with higher-level study, professional opportunities, and a sense of belonging within the wider mathematical community.</w:t>
      </w:r>
    </w:p>
    <w:p w14:paraId="490CD01C" w14:textId="59BA3F27" w:rsidR="00C14F45" w:rsidRPr="00B43F71" w:rsidRDefault="00636910" w:rsidP="00F95643">
      <w:r w:rsidRPr="00B43F71">
        <w:t>T</w:t>
      </w:r>
      <w:r w:rsidR="00C14F45" w:rsidRPr="00B43F71">
        <w:t xml:space="preserve">he emergence of </w:t>
      </w:r>
      <w:r w:rsidR="00C14F45" w:rsidRPr="00B43F71">
        <w:rPr>
          <w:rStyle w:val="Strong"/>
          <w:rFonts w:cs="Arial"/>
          <w:b w:val="0"/>
          <w:bCs w:val="0"/>
          <w:szCs w:val="22"/>
        </w:rPr>
        <w:t>specialised mathematics schools</w:t>
      </w:r>
      <w:r w:rsidR="00C14F45" w:rsidRPr="00B43F71">
        <w:t xml:space="preserve">, such </w:t>
      </w:r>
      <w:r w:rsidRPr="00B43F71">
        <w:t>as the</w:t>
      </w:r>
      <w:r w:rsidR="00C14F45" w:rsidRPr="00B43F71">
        <w:t xml:space="preserve"> </w:t>
      </w:r>
      <w:r w:rsidR="00915F4D" w:rsidRPr="00B43F71">
        <w:rPr>
          <w:rStyle w:val="Strong"/>
          <w:rFonts w:cs="Arial"/>
          <w:b w:val="0"/>
          <w:bCs w:val="0"/>
          <w:szCs w:val="22"/>
        </w:rPr>
        <w:t xml:space="preserve">Leeds </w:t>
      </w:r>
      <w:r w:rsidRPr="00B43F71">
        <w:rPr>
          <w:rStyle w:val="Strong"/>
          <w:rFonts w:cs="Arial"/>
          <w:b w:val="0"/>
          <w:bCs w:val="0"/>
          <w:szCs w:val="22"/>
        </w:rPr>
        <w:t>Mathematics School</w:t>
      </w:r>
      <w:r w:rsidRPr="00B43F71">
        <w:t xml:space="preserve">, </w:t>
      </w:r>
      <w:r w:rsidR="00C14F45" w:rsidRPr="00B43F71">
        <w:t xml:space="preserve">are designed for students with a strong aptitude and interest in mathematics. By partnering directly with universities, these schools provide not only rigorous A-level preparation but also early exposure to mathematical research and university-level thinking. </w:t>
      </w:r>
      <w:r w:rsidR="00ED7F3D" w:rsidRPr="00B43F71">
        <w:t>S</w:t>
      </w:r>
      <w:r w:rsidR="00C14F45" w:rsidRPr="00B43F71">
        <w:rPr>
          <w:rStyle w:val="Strong"/>
          <w:rFonts w:cs="Arial"/>
          <w:b w:val="0"/>
          <w:bCs w:val="0"/>
          <w:szCs w:val="22"/>
        </w:rPr>
        <w:t>tudent access to PhD candidates and research mathematicians</w:t>
      </w:r>
      <w:r w:rsidR="002D7AA2" w:rsidRPr="00B43F71">
        <w:rPr>
          <w:rStyle w:val="Strong"/>
          <w:rFonts w:cs="Arial"/>
          <w:b w:val="0"/>
          <w:bCs w:val="0"/>
          <w:szCs w:val="22"/>
        </w:rPr>
        <w:t>,</w:t>
      </w:r>
      <w:r w:rsidR="00C14F45" w:rsidRPr="00B43F71">
        <w:rPr>
          <w:b/>
          <w:bCs/>
        </w:rPr>
        <w:t xml:space="preserve"> </w:t>
      </w:r>
      <w:r w:rsidR="00C14F45" w:rsidRPr="00B43F71">
        <w:t>through mentoring and outreach</w:t>
      </w:r>
      <w:r w:rsidR="002D7AA2" w:rsidRPr="00B43F71">
        <w:t>,</w:t>
      </w:r>
      <w:r w:rsidR="00C14F45" w:rsidRPr="00B43F71">
        <w:t xml:space="preserve"> are powerful because students see researchers who are closer to their own age, often from diverse backgrounds, and begin to imagine themselves in those roles. This visibility is key to diversifying participation in higher-level mathematics and breaking down perceived barriers to entry.</w:t>
      </w:r>
      <w:r w:rsidR="00613F64">
        <w:t xml:space="preserve"> </w:t>
      </w:r>
    </w:p>
    <w:p w14:paraId="3E018D0F" w14:textId="2DD68170" w:rsidR="00193D98" w:rsidRPr="00B43F71" w:rsidRDefault="00DD4BF3" w:rsidP="00F95643">
      <w:r w:rsidRPr="00B43F71">
        <w:t xml:space="preserve">The </w:t>
      </w:r>
      <w:r w:rsidR="00F94966" w:rsidRPr="00B43F71">
        <w:rPr>
          <w:rStyle w:val="Strong"/>
          <w:rFonts w:cs="Arial"/>
          <w:b w:val="0"/>
          <w:bCs w:val="0"/>
          <w:szCs w:val="22"/>
        </w:rPr>
        <w:t xml:space="preserve">London School of Mathematics and </w:t>
      </w:r>
      <w:r w:rsidR="00663C07" w:rsidRPr="00B43F71">
        <w:rPr>
          <w:rStyle w:val="Strong"/>
          <w:rFonts w:cs="Arial"/>
          <w:b w:val="0"/>
          <w:bCs w:val="0"/>
          <w:szCs w:val="22"/>
        </w:rPr>
        <w:t>P</w:t>
      </w:r>
      <w:r w:rsidR="00F94966" w:rsidRPr="00B43F71">
        <w:rPr>
          <w:rStyle w:val="Strong"/>
          <w:rFonts w:cs="Arial"/>
          <w:b w:val="0"/>
          <w:bCs w:val="0"/>
          <w:szCs w:val="22"/>
        </w:rPr>
        <w:t>rogramming</w:t>
      </w:r>
      <w:r w:rsidR="00663C07" w:rsidRPr="00B43F71">
        <w:rPr>
          <w:rStyle w:val="Strong"/>
          <w:rFonts w:cs="Arial"/>
          <w:b w:val="0"/>
          <w:bCs w:val="0"/>
          <w:szCs w:val="22"/>
        </w:rPr>
        <w:t xml:space="preserve"> </w:t>
      </w:r>
      <w:r w:rsidR="00C14F45" w:rsidRPr="00B43F71">
        <w:t>foster</w:t>
      </w:r>
      <w:r w:rsidR="00F95643">
        <w:t>s</w:t>
      </w:r>
      <w:r w:rsidR="00C14F45" w:rsidRPr="00B43F71">
        <w:t xml:space="preserve"> social learning environments </w:t>
      </w:r>
      <w:r w:rsidR="001D0EB7" w:rsidRPr="00B43F71">
        <w:t xml:space="preserve">through their maths circles program, </w:t>
      </w:r>
      <w:r w:rsidR="00C14F45" w:rsidRPr="00B43F71">
        <w:t>where participants explore mathematics collaboratively</w:t>
      </w:r>
      <w:r w:rsidR="002A45D2" w:rsidRPr="00B43F71">
        <w:t xml:space="preserve">. These </w:t>
      </w:r>
      <w:r w:rsidR="00C14F45" w:rsidRPr="00B43F71">
        <w:t xml:space="preserve">are typically low-barrier and non-hierarchical, focusing on curiosity and shared discovery rather than formal instruction. </w:t>
      </w:r>
      <w:r w:rsidR="00137380" w:rsidRPr="00B43F71">
        <w:t>During my visit students</w:t>
      </w:r>
      <w:r w:rsidR="00324F1A" w:rsidRPr="00B43F71">
        <w:t xml:space="preserve"> aged 11 years</w:t>
      </w:r>
      <w:r w:rsidR="00137380" w:rsidRPr="00B43F71">
        <w:t xml:space="preserve"> were solving the </w:t>
      </w:r>
      <w:r w:rsidR="007A01FF" w:rsidRPr="00B43F71">
        <w:t xml:space="preserve">Chessboard problem (F Su, 2020, Page </w:t>
      </w:r>
      <w:r w:rsidR="00427149" w:rsidRPr="00B43F71">
        <w:t>84)</w:t>
      </w:r>
      <w:r w:rsidR="00DA1EF1" w:rsidRPr="00B43F71">
        <w:t xml:space="preserve">. </w:t>
      </w:r>
      <w:r w:rsidR="00AE34C0" w:rsidRPr="00B43F71">
        <w:t xml:space="preserve"> The program </w:t>
      </w:r>
      <w:r w:rsidR="001131BD" w:rsidRPr="00B43F71">
        <w:t xml:space="preserve">used </w:t>
      </w:r>
      <w:r w:rsidR="005353E6">
        <w:t>problem-solving</w:t>
      </w:r>
      <w:r w:rsidR="001131BD" w:rsidRPr="00B43F71">
        <w:t xml:space="preserve"> techniques such as solving simplified</w:t>
      </w:r>
      <w:r w:rsidR="00456011" w:rsidRPr="00B43F71">
        <w:t xml:space="preserve"> </w:t>
      </w:r>
      <w:r w:rsidR="001131BD" w:rsidRPr="00B43F71">
        <w:t>problems</w:t>
      </w:r>
      <w:r w:rsidR="00F95643">
        <w:t xml:space="preserve"> and </w:t>
      </w:r>
      <w:r w:rsidR="00456011" w:rsidRPr="00B43F71">
        <w:t xml:space="preserve">trial and </w:t>
      </w:r>
      <w:r w:rsidR="00F802C8" w:rsidRPr="00B43F71">
        <w:t>error</w:t>
      </w:r>
      <w:r w:rsidR="00F802C8">
        <w:t xml:space="preserve"> and</w:t>
      </w:r>
      <w:r w:rsidR="00456011" w:rsidRPr="00B43F71">
        <w:t xml:space="preserve"> focus</w:t>
      </w:r>
      <w:r w:rsidR="00F95643">
        <w:t xml:space="preserve">ed </w:t>
      </w:r>
      <w:r w:rsidR="00456011" w:rsidRPr="00B43F71">
        <w:t>on communicating ideas verbally and in written form</w:t>
      </w:r>
      <w:r w:rsidR="00324F1A" w:rsidRPr="00B43F71">
        <w:t>. This problem was originally created for university learners and has a place in our Extension 2 Course -</w:t>
      </w:r>
      <w:r w:rsidR="00F802C8">
        <w:t xml:space="preserve"> </w:t>
      </w:r>
      <w:r w:rsidR="00324F1A" w:rsidRPr="00B43F71">
        <w:t xml:space="preserve">Proof. </w:t>
      </w:r>
      <w:r w:rsidR="00C14F45" w:rsidRPr="00B43F71">
        <w:t>The</w:t>
      </w:r>
      <w:r w:rsidR="00DA1EF1" w:rsidRPr="00B43F71">
        <w:t>se programs</w:t>
      </w:r>
      <w:r w:rsidR="00C14F45" w:rsidRPr="00B43F71">
        <w:t xml:space="preserve"> are especially valuable for learners who may feel excluded from traditional academic routes, offering an alternative path to confidence and capability in mathematics.</w:t>
      </w:r>
    </w:p>
    <w:p w14:paraId="7A551D5C" w14:textId="26B6452B" w:rsidR="00C14F45" w:rsidRPr="00B43F71" w:rsidRDefault="00C14F45" w:rsidP="00F95643">
      <w:r w:rsidRPr="00B43F71">
        <w:t>By diversifying the ways students can access and engage with mathematics, we begin to redefine who participates, who excels, and who belongs in the world of mathematical thinking.</w:t>
      </w:r>
      <w:r w:rsidR="0001692E" w:rsidRPr="00B43F71">
        <w:t xml:space="preserve"> </w:t>
      </w:r>
      <w:r w:rsidR="00983B8C" w:rsidRPr="00B43F71">
        <w:t xml:space="preserve">In </w:t>
      </w:r>
      <w:r w:rsidR="00983B8C" w:rsidRPr="00F95643">
        <w:rPr>
          <w:rStyle w:val="BookTitle"/>
        </w:rPr>
        <w:t>Mathematics for Human Flourishing</w:t>
      </w:r>
      <w:r w:rsidR="00F95643" w:rsidRPr="00F95643">
        <w:rPr>
          <w:rStyle w:val="BookTitle"/>
          <w:b w:val="0"/>
          <w:bCs w:val="0"/>
        </w:rPr>
        <w:t xml:space="preserve"> - </w:t>
      </w:r>
      <w:r w:rsidR="00B03C0D" w:rsidRPr="00B43F71">
        <w:t xml:space="preserve">Community </w:t>
      </w:r>
      <w:r w:rsidR="0001692E" w:rsidRPr="00B43F71">
        <w:t>Chapter 12</w:t>
      </w:r>
      <w:r w:rsidR="00F95643">
        <w:t xml:space="preserve">, </w:t>
      </w:r>
      <w:r w:rsidR="0001692E" w:rsidRPr="00B43F71">
        <w:t>Francis Su (</w:t>
      </w:r>
      <w:r w:rsidR="00843F1C" w:rsidRPr="00B43F71">
        <w:t xml:space="preserve">2020) discusses the misconception that mathematics is a solitary </w:t>
      </w:r>
      <w:r w:rsidR="00096FFB" w:rsidRPr="00B43F71">
        <w:t>profession</w:t>
      </w:r>
      <w:r w:rsidR="00F95643">
        <w:t>. I</w:t>
      </w:r>
      <w:r w:rsidR="00420837" w:rsidRPr="00B43F71">
        <w:t>n</w:t>
      </w:r>
      <w:r w:rsidR="00F95643">
        <w:t xml:space="preserve"> the</w:t>
      </w:r>
      <w:r w:rsidR="00420837" w:rsidRPr="00B43F71">
        <w:t xml:space="preserve"> 1990’s data collected indicates that 81%</w:t>
      </w:r>
      <w:r w:rsidR="00212094" w:rsidRPr="00B43F71">
        <w:t xml:space="preserve"> of researchers were involved in joint research</w:t>
      </w:r>
      <w:r w:rsidR="002B74D8" w:rsidRPr="00B43F71">
        <w:t xml:space="preserve"> (J Grossman</w:t>
      </w:r>
      <w:r w:rsidR="007B2E20" w:rsidRPr="00B43F71">
        <w:t>, 2002)</w:t>
      </w:r>
      <w:r w:rsidR="00507B1E" w:rsidRPr="00B43F71">
        <w:t>. The aspirational pathways</w:t>
      </w:r>
      <w:r w:rsidR="00F95643">
        <w:t>,</w:t>
      </w:r>
      <w:r w:rsidR="00507B1E" w:rsidRPr="00B43F71">
        <w:t xml:space="preserve"> </w:t>
      </w:r>
      <w:r w:rsidR="0010146E" w:rsidRPr="00B43F71">
        <w:t>through visiting a variety of mathematics schools</w:t>
      </w:r>
      <w:r w:rsidR="00507B1E" w:rsidRPr="00B43F71">
        <w:t xml:space="preserve"> during this study tour</w:t>
      </w:r>
      <w:r w:rsidR="0010146E" w:rsidRPr="00B43F71">
        <w:t>, all</w:t>
      </w:r>
      <w:r w:rsidR="00507B1E" w:rsidRPr="00B43F71">
        <w:t xml:space="preserve"> work to highlight mathematics as </w:t>
      </w:r>
      <w:r w:rsidR="004B432E" w:rsidRPr="00B43F71">
        <w:t xml:space="preserve">a </w:t>
      </w:r>
      <w:r w:rsidR="00A41F64" w:rsidRPr="00B43F71">
        <w:t xml:space="preserve">collaborative, hands-on </w:t>
      </w:r>
      <w:r w:rsidR="00825B1F">
        <w:t>problem-solving</w:t>
      </w:r>
      <w:r w:rsidR="004B432E" w:rsidRPr="00B43F71">
        <w:t xml:space="preserve"> subject.</w:t>
      </w:r>
    </w:p>
    <w:p w14:paraId="122F9F0B" w14:textId="734B8B01" w:rsidR="005935DB" w:rsidRPr="00B43F71" w:rsidRDefault="00277D36" w:rsidP="00F95643">
      <w:pPr>
        <w:pStyle w:val="Heading2"/>
      </w:pPr>
      <w:r w:rsidRPr="00B43F71">
        <w:t xml:space="preserve">Non-verbal reasoning, games and </w:t>
      </w:r>
      <w:r w:rsidR="0021650A" w:rsidRPr="00B43F71">
        <w:t>curiosity in mathematics</w:t>
      </w:r>
    </w:p>
    <w:p w14:paraId="61BFF78C" w14:textId="2E4328EC" w:rsidR="009A6597" w:rsidRPr="00B43F71" w:rsidRDefault="009A6597" w:rsidP="00F95643">
      <w:pPr>
        <w:pStyle w:val="Heading4"/>
      </w:pPr>
      <w:r w:rsidRPr="00B43F71">
        <w:t>Non-verbal reasoning</w:t>
      </w:r>
    </w:p>
    <w:p w14:paraId="1629CDE8" w14:textId="4E519045" w:rsidR="007A4A97" w:rsidRPr="00B43F71" w:rsidRDefault="007A4A97" w:rsidP="00F95643">
      <w:pPr>
        <w:rPr>
          <w:lang w:eastAsia="en-AU"/>
        </w:rPr>
      </w:pPr>
      <w:r w:rsidRPr="00B43F71">
        <w:rPr>
          <w:lang w:eastAsia="en-AU"/>
        </w:rPr>
        <w:t>Non-verbal reasoning (NVR) is a form of assessment that measures a person’s ability to understand and analy</w:t>
      </w:r>
      <w:r w:rsidR="00DA1EF1" w:rsidRPr="00B43F71">
        <w:rPr>
          <w:lang w:eastAsia="en-AU"/>
        </w:rPr>
        <w:t>s</w:t>
      </w:r>
      <w:r w:rsidRPr="00B43F71">
        <w:rPr>
          <w:lang w:eastAsia="en-AU"/>
        </w:rPr>
        <w:t>e visual information, such as shapes, patterns, and sequences. Unlike traditional verbal tests, NVR does not rely on language skills, making it a particularly useful tool for assessing intelligence in students who may have limited literacy, are learning English as an additional language, or have specific learning difficulties such as dyslexia.</w:t>
      </w:r>
    </w:p>
    <w:p w14:paraId="68BA6115" w14:textId="777895F5" w:rsidR="007A4A97" w:rsidRPr="00B43F71" w:rsidRDefault="007A4A97" w:rsidP="00F95643">
      <w:pPr>
        <w:rPr>
          <w:lang w:eastAsia="en-AU"/>
        </w:rPr>
      </w:pPr>
      <w:r w:rsidRPr="00B43F71">
        <w:rPr>
          <w:lang w:eastAsia="en-AU"/>
        </w:rPr>
        <w:lastRenderedPageBreak/>
        <w:t xml:space="preserve">In the UK, </w:t>
      </w:r>
      <w:r w:rsidR="00F95643">
        <w:rPr>
          <w:lang w:eastAsia="en-AU"/>
        </w:rPr>
        <w:t xml:space="preserve">an </w:t>
      </w:r>
      <w:r w:rsidR="00803578" w:rsidRPr="00B43F71">
        <w:rPr>
          <w:lang w:eastAsia="en-AU"/>
        </w:rPr>
        <w:t>NVR</w:t>
      </w:r>
      <w:r w:rsidRPr="00B43F71">
        <w:rPr>
          <w:lang w:eastAsia="en-AU"/>
        </w:rPr>
        <w:t xml:space="preserve"> test</w:t>
      </w:r>
      <w:r w:rsidR="00803578" w:rsidRPr="00B43F71">
        <w:rPr>
          <w:lang w:eastAsia="en-AU"/>
        </w:rPr>
        <w:t>,</w:t>
      </w:r>
      <w:r w:rsidRPr="00B43F71">
        <w:rPr>
          <w:lang w:eastAsia="en-AU"/>
        </w:rPr>
        <w:t xml:space="preserve"> </w:t>
      </w:r>
      <w:r w:rsidR="007D69C9" w:rsidRPr="00B43F71">
        <w:rPr>
          <w:lang w:eastAsia="en-AU"/>
        </w:rPr>
        <w:t>previously known as the 11+ test</w:t>
      </w:r>
      <w:r w:rsidR="00803578" w:rsidRPr="00B43F71">
        <w:rPr>
          <w:lang w:eastAsia="en-AU"/>
        </w:rPr>
        <w:t>,</w:t>
      </w:r>
      <w:r w:rsidR="00E50F7B" w:rsidRPr="00B43F71">
        <w:rPr>
          <w:lang w:eastAsia="en-AU"/>
        </w:rPr>
        <w:t xml:space="preserve"> is now used for placement in selective and grammar schools</w:t>
      </w:r>
      <w:r w:rsidRPr="00B43F71">
        <w:rPr>
          <w:lang w:eastAsia="en-AU"/>
        </w:rPr>
        <w:t>.</w:t>
      </w:r>
      <w:r w:rsidR="00803578" w:rsidRPr="00B43F71">
        <w:rPr>
          <w:lang w:eastAsia="en-AU"/>
        </w:rPr>
        <w:t xml:space="preserve"> During my school visits</w:t>
      </w:r>
      <w:r w:rsidR="0033545B" w:rsidRPr="00B43F71">
        <w:rPr>
          <w:lang w:eastAsia="en-AU"/>
        </w:rPr>
        <w:t xml:space="preserve"> in the north of England students were practicing these skills in their classrooms</w:t>
      </w:r>
      <w:r w:rsidR="00601321" w:rsidRPr="00B43F71">
        <w:rPr>
          <w:lang w:eastAsia="en-AU"/>
        </w:rPr>
        <w:t>.</w:t>
      </w:r>
      <w:r w:rsidRPr="00B43F71">
        <w:rPr>
          <w:lang w:eastAsia="en-AU"/>
        </w:rPr>
        <w:t xml:space="preserve"> The</w:t>
      </w:r>
      <w:r w:rsidR="00601321" w:rsidRPr="00B43F71">
        <w:rPr>
          <w:lang w:eastAsia="en-AU"/>
        </w:rPr>
        <w:t xml:space="preserve"> tests</w:t>
      </w:r>
      <w:r w:rsidRPr="00B43F71">
        <w:rPr>
          <w:lang w:eastAsia="en-AU"/>
        </w:rPr>
        <w:t xml:space="preserve"> are designed to evaluate what is known as </w:t>
      </w:r>
      <w:r w:rsidR="00F95643">
        <w:rPr>
          <w:lang w:eastAsia="en-AU"/>
        </w:rPr>
        <w:t>‘</w:t>
      </w:r>
      <w:r w:rsidRPr="00F95643">
        <w:rPr>
          <w:lang w:eastAsia="en-AU"/>
        </w:rPr>
        <w:t>fluid intelligence</w:t>
      </w:r>
      <w:r w:rsidR="00F95643">
        <w:rPr>
          <w:lang w:eastAsia="en-AU"/>
        </w:rPr>
        <w:t xml:space="preserve">’ – </w:t>
      </w:r>
      <w:r w:rsidRPr="00B43F71">
        <w:rPr>
          <w:lang w:eastAsia="en-AU"/>
        </w:rPr>
        <w:t>the capacity to solve new problems without relying on prior knowledge. Because these tests don’t depend on reading or writing, they offer a more level playing field for students from a range of linguistic, cultural, and educational backgrounds.</w:t>
      </w:r>
      <w:r w:rsidR="00DA1EF1" w:rsidRPr="00B43F71">
        <w:rPr>
          <w:lang w:eastAsia="en-AU"/>
        </w:rPr>
        <w:t xml:space="preserve"> The</w:t>
      </w:r>
      <w:r w:rsidR="00F95643">
        <w:rPr>
          <w:lang w:eastAsia="en-AU"/>
        </w:rPr>
        <w:t>y</w:t>
      </w:r>
      <w:r w:rsidRPr="00B43F71">
        <w:rPr>
          <w:lang w:eastAsia="en-AU"/>
        </w:rPr>
        <w:t xml:space="preserve"> use NVR tests to identify cognitive strengths and weaknesses, support decisions about school placement or streaming, and detect students who may benefit from extra support or extension. </w:t>
      </w:r>
    </w:p>
    <w:p w14:paraId="596D56D4" w14:textId="4E077602" w:rsidR="007A4A97" w:rsidRPr="00B43F71" w:rsidRDefault="00F95643" w:rsidP="00F95643">
      <w:pPr>
        <w:rPr>
          <w:lang w:eastAsia="en-AU"/>
        </w:rPr>
      </w:pPr>
      <w:r>
        <w:rPr>
          <w:lang w:eastAsia="en-AU"/>
        </w:rPr>
        <w:t>NVR</w:t>
      </w:r>
      <w:r w:rsidR="007A4A97" w:rsidRPr="00B43F71">
        <w:rPr>
          <w:lang w:eastAsia="en-AU"/>
        </w:rPr>
        <w:t xml:space="preserve"> tests typically involve visual puzzles or diagrams, and students are asked to find patterns, apply logic, and select the correct answer from a set of options</w:t>
      </w:r>
      <w:r w:rsidR="00437492" w:rsidRPr="00B43F71">
        <w:rPr>
          <w:lang w:eastAsia="en-AU"/>
        </w:rPr>
        <w:t xml:space="preserve">. </w:t>
      </w:r>
      <w:r w:rsidR="000434AB" w:rsidRPr="00B43F71">
        <w:rPr>
          <w:lang w:eastAsia="en-AU"/>
        </w:rPr>
        <w:t xml:space="preserve">Questions are usually identified as being one of the following: </w:t>
      </w:r>
      <w:r w:rsidRPr="00B43F71">
        <w:rPr>
          <w:lang w:eastAsia="en-AU"/>
        </w:rPr>
        <w:t>sequences, odd one out, matrices/ grids, code patterns and analogies/ applying operations</w:t>
      </w:r>
      <w:r w:rsidR="007A3135" w:rsidRPr="00B43F71">
        <w:rPr>
          <w:lang w:eastAsia="en-AU"/>
        </w:rPr>
        <w:t>.</w:t>
      </w:r>
    </w:p>
    <w:p w14:paraId="006E3643" w14:textId="77777777" w:rsidR="007A4A97" w:rsidRPr="00B43F71" w:rsidRDefault="007A4A97" w:rsidP="00F95643">
      <w:pPr>
        <w:rPr>
          <w:lang w:eastAsia="en-AU"/>
        </w:rPr>
      </w:pPr>
      <w:r w:rsidRPr="00B43F71">
        <w:rPr>
          <w:lang w:eastAsia="en-AU"/>
        </w:rPr>
        <w:t>These question types are all designed to test a student’s ability to think logically, pay attention to detail, and apply problem-solving skills in a visual context.</w:t>
      </w:r>
    </w:p>
    <w:p w14:paraId="588712FA" w14:textId="77777777" w:rsidR="007A4A97" w:rsidRPr="00B43F71" w:rsidRDefault="007A4A97" w:rsidP="00F95643">
      <w:pPr>
        <w:rPr>
          <w:lang w:eastAsia="en-AU"/>
        </w:rPr>
      </w:pPr>
      <w:r w:rsidRPr="00B43F71">
        <w:rPr>
          <w:lang w:eastAsia="en-AU"/>
        </w:rPr>
        <w:t>NVR testing is also used in the identification of gifted students or those who may need intervention, as it can highlight potential that may not be visible through standard academic testing alone. It has become an increasingly popular tool for educators looking to evaluate ability more fairly across diverse student populations.</w:t>
      </w:r>
    </w:p>
    <w:p w14:paraId="5CE1CA1A" w14:textId="3A8C5A9B" w:rsidR="00331FE8" w:rsidRPr="00B43F71" w:rsidRDefault="00331FE8" w:rsidP="00F95643">
      <w:pPr>
        <w:rPr>
          <w:lang w:eastAsia="en-AU"/>
        </w:rPr>
      </w:pPr>
      <w:r w:rsidRPr="00B43F71">
        <w:rPr>
          <w:lang w:eastAsia="en-AU"/>
        </w:rPr>
        <w:t xml:space="preserve">In NSW, some </w:t>
      </w:r>
      <w:r w:rsidR="00A84AF5" w:rsidRPr="00B43F71">
        <w:rPr>
          <w:lang w:eastAsia="en-AU"/>
        </w:rPr>
        <w:t>selective</w:t>
      </w:r>
      <w:r w:rsidRPr="00B43F71">
        <w:rPr>
          <w:lang w:eastAsia="en-AU"/>
        </w:rPr>
        <w:t xml:space="preserve"> </w:t>
      </w:r>
      <w:r w:rsidR="00A84AF5" w:rsidRPr="00B43F71">
        <w:rPr>
          <w:lang w:eastAsia="en-AU"/>
        </w:rPr>
        <w:t>schools</w:t>
      </w:r>
      <w:r w:rsidRPr="00B43F71">
        <w:rPr>
          <w:lang w:eastAsia="en-AU"/>
        </w:rPr>
        <w:t xml:space="preserve"> are using the NVR </w:t>
      </w:r>
      <w:r w:rsidR="00601321" w:rsidRPr="00B43F71">
        <w:rPr>
          <w:lang w:eastAsia="en-AU"/>
        </w:rPr>
        <w:t>and spatial reaso</w:t>
      </w:r>
      <w:r w:rsidR="00084FFB" w:rsidRPr="00B43F71">
        <w:rPr>
          <w:lang w:eastAsia="en-AU"/>
        </w:rPr>
        <w:t xml:space="preserve">ning </w:t>
      </w:r>
      <w:r w:rsidR="005D5CEB" w:rsidRPr="00B43F71">
        <w:rPr>
          <w:lang w:eastAsia="en-AU"/>
        </w:rPr>
        <w:t>as part of their selective or opportunity classroom placements.</w:t>
      </w:r>
      <w:r w:rsidR="0030681B" w:rsidRPr="00B43F71">
        <w:rPr>
          <w:lang w:eastAsia="en-AU"/>
        </w:rPr>
        <w:t xml:space="preserve"> </w:t>
      </w:r>
    </w:p>
    <w:p w14:paraId="4D81DD46" w14:textId="44E68D09" w:rsidR="003E2601" w:rsidRDefault="003E2601" w:rsidP="00F95643">
      <w:pPr>
        <w:pStyle w:val="Heading4"/>
        <w:rPr>
          <w:rFonts w:eastAsia="Calibri" w:cs="Calibri"/>
          <w:b w:val="0"/>
          <w:bCs w:val="0"/>
          <w:iCs w:val="0"/>
          <w:lang w:eastAsia="en-AU"/>
        </w:rPr>
      </w:pPr>
      <w:r w:rsidRPr="003E2601">
        <w:rPr>
          <w:rFonts w:eastAsia="Calibri" w:cs="Calibri"/>
          <w:b w:val="0"/>
          <w:bCs w:val="0"/>
          <w:iCs w:val="0"/>
          <w:lang w:eastAsia="en-AU"/>
        </w:rPr>
        <w:t>During my visit to NVR test writers at GL Assessment and in workshops I conducted upon my return, there was discussion about some of the test materials. One test, in particular, ‘Odd One Out,’ was noted as being complicated by the frequent use of ‘Which One Doesn’t Belong’ (WODB) (C. Danielson, 2016). The challenge arises because WODB emphasises reasoning and allows for multiple valid answers, whereas ‘Odd One Out’ requires a specific correct answer, making the testing process more complex. On the other hand, the ‘Applying Operations’ questions</w:t>
      </w:r>
      <w:r>
        <w:rPr>
          <w:rFonts w:eastAsia="Calibri" w:cs="Calibri"/>
          <w:b w:val="0"/>
          <w:bCs w:val="0"/>
          <w:iCs w:val="0"/>
          <w:lang w:eastAsia="en-AU"/>
        </w:rPr>
        <w:t xml:space="preserve">, </w:t>
      </w:r>
      <w:r w:rsidRPr="003E2601">
        <w:rPr>
          <w:rFonts w:eastAsia="Calibri" w:cs="Calibri"/>
          <w:b w:val="0"/>
          <w:bCs w:val="0"/>
          <w:iCs w:val="0"/>
          <w:lang w:eastAsia="en-AU"/>
        </w:rPr>
        <w:t>focused on problem-solving linked to geometry and transformations units</w:t>
      </w:r>
      <w:r>
        <w:rPr>
          <w:rFonts w:eastAsia="Calibri" w:cs="Calibri"/>
          <w:b w:val="0"/>
          <w:bCs w:val="0"/>
          <w:iCs w:val="0"/>
          <w:lang w:eastAsia="en-AU"/>
        </w:rPr>
        <w:t xml:space="preserve">, </w:t>
      </w:r>
      <w:r w:rsidRPr="003E2601">
        <w:rPr>
          <w:rFonts w:eastAsia="Calibri" w:cs="Calibri"/>
          <w:b w:val="0"/>
          <w:bCs w:val="0"/>
          <w:iCs w:val="0"/>
          <w:lang w:eastAsia="en-AU"/>
        </w:rPr>
        <w:t>were positively received.</w:t>
      </w:r>
    </w:p>
    <w:p w14:paraId="383CDA52" w14:textId="1196492C" w:rsidR="00AF6A52" w:rsidRPr="00B43F71" w:rsidRDefault="00AF6A52" w:rsidP="00F95643">
      <w:pPr>
        <w:pStyle w:val="Heading4"/>
      </w:pPr>
      <w:r w:rsidRPr="00B43F71">
        <w:t xml:space="preserve">Games and </w:t>
      </w:r>
      <w:r w:rsidR="00F95643">
        <w:t>p</w:t>
      </w:r>
      <w:r w:rsidRPr="00B43F71">
        <w:t>uzzles</w:t>
      </w:r>
    </w:p>
    <w:p w14:paraId="6E3BD42E" w14:textId="74FA8251" w:rsidR="00AF6A52" w:rsidRPr="00B43F71" w:rsidRDefault="00FA0111" w:rsidP="00BD38A6">
      <w:r w:rsidRPr="00B43F71">
        <w:t xml:space="preserve">One of the key strengths of logic and strategy games lies in their </w:t>
      </w:r>
      <w:r w:rsidRPr="00B43F71">
        <w:rPr>
          <w:rStyle w:val="Strong"/>
          <w:rFonts w:cs="Arial"/>
          <w:b w:val="0"/>
          <w:bCs w:val="0"/>
          <w:szCs w:val="22"/>
        </w:rPr>
        <w:t>low entry point and high ceiling</w:t>
      </w:r>
      <w:r w:rsidRPr="00B43F71">
        <w:t>. Their rules are often simple</w:t>
      </w:r>
      <w:r w:rsidR="00BD38A6">
        <w:t xml:space="preserve"> – </w:t>
      </w:r>
      <w:r w:rsidRPr="00B43F71">
        <w:t>easy enough for beginners to grasp within minutes</w:t>
      </w:r>
      <w:r w:rsidR="00BD38A6">
        <w:t xml:space="preserve"> – </w:t>
      </w:r>
      <w:r w:rsidRPr="00B43F71">
        <w:t xml:space="preserve">yet the depth of strategy they offer can challenge even the most experienced players. Games like </w:t>
      </w:r>
      <w:r w:rsidR="00BD38A6">
        <w:t>‘</w:t>
      </w:r>
      <w:r w:rsidRPr="00B43F71">
        <w:rPr>
          <w:rStyle w:val="Strong"/>
          <w:rFonts w:cs="Arial"/>
          <w:b w:val="0"/>
          <w:bCs w:val="0"/>
          <w:szCs w:val="22"/>
        </w:rPr>
        <w:t>Nine Men’s Morris</w:t>
      </w:r>
      <w:r w:rsidR="00BD38A6">
        <w:rPr>
          <w:rStyle w:val="Strong"/>
          <w:rFonts w:cs="Arial"/>
          <w:b w:val="0"/>
          <w:bCs w:val="0"/>
          <w:szCs w:val="22"/>
        </w:rPr>
        <w:t>’</w:t>
      </w:r>
      <w:r w:rsidR="00DB10EF" w:rsidRPr="00B43F71">
        <w:t xml:space="preserve"> </w:t>
      </w:r>
      <w:r w:rsidRPr="00B43F71">
        <w:t>are perfect examples</w:t>
      </w:r>
      <w:r w:rsidR="00BD38A6">
        <w:t>;</w:t>
      </w:r>
      <w:r w:rsidRPr="00B43F71">
        <w:t xml:space="preserve"> students can begin playing at a basic level, but as their skills grow, so too does their capacity to explore more advanced tactics and deeper patterns. This scalability allows learners to progress at their own pace, building both confidence and competence over time.</w:t>
      </w:r>
    </w:p>
    <w:p w14:paraId="6039836F" w14:textId="09B9C5DA" w:rsidR="00DB10EF" w:rsidRPr="00B43F71" w:rsidRDefault="00DB10EF" w:rsidP="00BD38A6">
      <w:r w:rsidRPr="00B43F71">
        <w:t xml:space="preserve">Nine Men’s Morris </w:t>
      </w:r>
      <w:r w:rsidR="00BD38A6">
        <w:t xml:space="preserve">is </w:t>
      </w:r>
      <w:r w:rsidRPr="00B43F71">
        <w:t>also connected to the history</w:t>
      </w:r>
      <w:r w:rsidR="00E33156" w:rsidRPr="00B43F71">
        <w:t xml:space="preserve"> (AD1300)</w:t>
      </w:r>
      <w:r w:rsidRPr="00B43F71">
        <w:t xml:space="preserve"> of England. </w:t>
      </w:r>
      <w:r w:rsidR="00BD38A6">
        <w:t>In</w:t>
      </w:r>
      <w:r w:rsidR="0097526B" w:rsidRPr="00B43F71">
        <w:t xml:space="preserve"> my tour this game appeared</w:t>
      </w:r>
      <w:r w:rsidR="00A52126" w:rsidRPr="00B43F71">
        <w:t xml:space="preserve"> in many locations and with different </w:t>
      </w:r>
      <w:r w:rsidR="008D3F75" w:rsidRPr="00B43F71">
        <w:t>names</w:t>
      </w:r>
      <w:r w:rsidR="00A52126" w:rsidRPr="00B43F71">
        <w:t xml:space="preserve"> (</w:t>
      </w:r>
      <w:r w:rsidR="00D74375" w:rsidRPr="00B43F71">
        <w:t>Mills, Merrills). The board w</w:t>
      </w:r>
      <w:r w:rsidR="00D06751" w:rsidRPr="00B43F71">
        <w:t>a</w:t>
      </w:r>
      <w:r w:rsidR="00D74375" w:rsidRPr="00B43F71">
        <w:t xml:space="preserve">s carved into the stone foundations </w:t>
      </w:r>
      <w:r w:rsidR="008D3F75" w:rsidRPr="00B43F71">
        <w:t>at Reading, Burton Anges Hall in Yorkshire</w:t>
      </w:r>
      <w:r w:rsidR="00042020" w:rsidRPr="00B43F71">
        <w:t>,</w:t>
      </w:r>
      <w:r w:rsidR="00E33156" w:rsidRPr="00B43F71">
        <w:t xml:space="preserve"> Durham, York and Manchester</w:t>
      </w:r>
      <w:r w:rsidR="00FF4730" w:rsidRPr="00B43F71">
        <w:t>.</w:t>
      </w:r>
    </w:p>
    <w:p w14:paraId="4BD9A14F" w14:textId="4F7135D2" w:rsidR="00904AAA" w:rsidRPr="00B43F71" w:rsidRDefault="00FA0111" w:rsidP="00BD38A6">
      <w:pPr>
        <w:rPr>
          <w:b/>
          <w:bCs/>
        </w:rPr>
      </w:pPr>
      <w:r w:rsidRPr="00B43F71">
        <w:t xml:space="preserve">Another major benefit is the </w:t>
      </w:r>
      <w:r w:rsidRPr="00B43F71">
        <w:rPr>
          <w:rStyle w:val="Strong"/>
          <w:rFonts w:cs="Arial"/>
          <w:b w:val="0"/>
          <w:bCs w:val="0"/>
          <w:szCs w:val="22"/>
        </w:rPr>
        <w:t>immediacy of feedback</w:t>
      </w:r>
      <w:r w:rsidRPr="00B43F71">
        <w:t xml:space="preserve"> these games provide. Each move offers instant insight</w:t>
      </w:r>
      <w:r w:rsidR="00BD38A6">
        <w:t xml:space="preserve"> – </w:t>
      </w:r>
      <w:r w:rsidRPr="00B43F71">
        <w:t xml:space="preserve">whether it advances a strategy or results in a setback. This real-time feedback loop encourages players to reflect, adjust, and try again, cultivating a growth mindset. Mistakes aren’t seen as failure, but as valuable steps in the learning process. Through </w:t>
      </w:r>
      <w:r w:rsidRPr="00B43F71">
        <w:rPr>
          <w:rStyle w:val="Strong"/>
          <w:rFonts w:cs="Arial"/>
          <w:b w:val="0"/>
          <w:bCs w:val="0"/>
          <w:szCs w:val="22"/>
        </w:rPr>
        <w:t>trial and error</w:t>
      </w:r>
      <w:r w:rsidRPr="00B43F71">
        <w:rPr>
          <w:b/>
          <w:bCs/>
        </w:rPr>
        <w:t xml:space="preserve">, </w:t>
      </w:r>
      <w:r w:rsidRPr="00B43F71">
        <w:t xml:space="preserve">learners develop </w:t>
      </w:r>
      <w:r w:rsidRPr="00B43F71">
        <w:rPr>
          <w:rStyle w:val="Strong"/>
          <w:rFonts w:cs="Arial"/>
          <w:b w:val="0"/>
          <w:bCs w:val="0"/>
          <w:szCs w:val="22"/>
        </w:rPr>
        <w:t>resilience</w:t>
      </w:r>
      <w:r w:rsidRPr="00B43F71">
        <w:t xml:space="preserve"> and become more comfortable with revisiting and refining their thinking.</w:t>
      </w:r>
    </w:p>
    <w:p w14:paraId="7B66D2B3" w14:textId="02066EE9" w:rsidR="00FA0111" w:rsidRPr="00B43F71" w:rsidRDefault="00FA0111" w:rsidP="00BD38A6">
      <w:pPr>
        <w:rPr>
          <w:b/>
          <w:bCs/>
        </w:rPr>
      </w:pPr>
      <w:r w:rsidRPr="00B43F71">
        <w:lastRenderedPageBreak/>
        <w:t xml:space="preserve">Perhaps most powerfully, these games transform </w:t>
      </w:r>
      <w:r w:rsidRPr="00B43F71">
        <w:rPr>
          <w:rStyle w:val="Strong"/>
          <w:rFonts w:cs="Arial"/>
          <w:b w:val="0"/>
          <w:bCs w:val="0"/>
          <w:szCs w:val="22"/>
        </w:rPr>
        <w:t>problem-solving into play</w:t>
      </w:r>
      <w:r w:rsidRPr="00B43F71">
        <w:t xml:space="preserve">. Rather than confronting abstract mathematical ideas in a purely symbolic or theoretical form, students interact with them through </w:t>
      </w:r>
      <w:r w:rsidRPr="00B43F71">
        <w:rPr>
          <w:rStyle w:val="Strong"/>
          <w:rFonts w:cs="Arial"/>
          <w:b w:val="0"/>
          <w:bCs w:val="0"/>
          <w:szCs w:val="22"/>
        </w:rPr>
        <w:t>tangible, hands-on challenges</w:t>
      </w:r>
      <w:r w:rsidRPr="00B43F71">
        <w:t xml:space="preserve">. </w:t>
      </w:r>
    </w:p>
    <w:p w14:paraId="44FD32E4" w14:textId="4ADE812B" w:rsidR="00FF4730" w:rsidRPr="00B43F71" w:rsidRDefault="00FA0111" w:rsidP="00BD38A6">
      <w:r w:rsidRPr="00B43F71">
        <w:t xml:space="preserve">These games also offer rich opportunities for </w:t>
      </w:r>
      <w:r w:rsidRPr="00B43F71">
        <w:rPr>
          <w:rStyle w:val="Strong"/>
          <w:rFonts w:cs="Arial"/>
          <w:b w:val="0"/>
          <w:bCs w:val="0"/>
          <w:szCs w:val="22"/>
        </w:rPr>
        <w:t>pattern exploration</w:t>
      </w:r>
      <w:r w:rsidRPr="00B43F71">
        <w:t xml:space="preserve">. As players engage with repeated structures and emerging outcomes, they begin to ask deeper questions: </w:t>
      </w:r>
      <w:r w:rsidRPr="00B43F71">
        <w:rPr>
          <w:rStyle w:val="Emphasis"/>
          <w:rFonts w:cs="Arial"/>
          <w:i w:val="0"/>
          <w:iCs w:val="0"/>
          <w:szCs w:val="22"/>
        </w:rPr>
        <w:t>Why does this strategy work? What happens if I change this rule or try a different path?</w:t>
      </w:r>
      <w:r w:rsidRPr="00B43F71">
        <w:t xml:space="preserve"> Such inquiry leads to a more profound understanding of how mathematical systems behave, nurturing curiosity and encouraging learners to investigate beyond surface-level solutions.</w:t>
      </w:r>
      <w:r w:rsidR="00FF4730" w:rsidRPr="00B43F71">
        <w:t xml:space="preserve"> In discussions with mathematics circles program</w:t>
      </w:r>
      <w:r w:rsidR="008F37FD">
        <w:t>s</w:t>
      </w:r>
      <w:r w:rsidR="00FF4730" w:rsidRPr="00B43F71">
        <w:t>, PhD students indicated that the use of this game led to rich discussion and reasoning development, supported by research</w:t>
      </w:r>
      <w:r w:rsidR="00BD38A6">
        <w:t xml:space="preserve"> </w:t>
      </w:r>
      <w:r w:rsidR="00FF4730" w:rsidRPr="00B43F71">
        <w:t>(</w:t>
      </w:r>
      <w:r w:rsidR="00BD38A6">
        <w:t xml:space="preserve">Heroux, </w:t>
      </w:r>
      <w:r w:rsidR="00FF4730" w:rsidRPr="00B43F71">
        <w:t xml:space="preserve">2018). </w:t>
      </w:r>
    </w:p>
    <w:p w14:paraId="5E8FBC24" w14:textId="6966403F" w:rsidR="00FA0111" w:rsidRPr="00B43F71" w:rsidRDefault="00FA0111" w:rsidP="00BD38A6">
      <w:r w:rsidRPr="00B43F71">
        <w:t xml:space="preserve">Finally, at the core of many of these puzzles is </w:t>
      </w:r>
      <w:r w:rsidRPr="00B43F71">
        <w:rPr>
          <w:rStyle w:val="Strong"/>
          <w:rFonts w:cs="Arial"/>
          <w:b w:val="0"/>
          <w:bCs w:val="0"/>
          <w:szCs w:val="22"/>
        </w:rPr>
        <w:t>strategic and conditional reasoning</w:t>
      </w:r>
      <w:r w:rsidRPr="00B43F71">
        <w:t xml:space="preserve">. Players often think in terms of </w:t>
      </w:r>
      <w:r w:rsidR="008F37FD">
        <w:t>‘</w:t>
      </w:r>
      <w:r w:rsidRPr="00B43F71">
        <w:t>if this, then that</w:t>
      </w:r>
      <w:r w:rsidR="008F37FD">
        <w:t>’,</w:t>
      </w:r>
      <w:r w:rsidRPr="00B43F71">
        <w:t xml:space="preserve"> mirroring the logic used in </w:t>
      </w:r>
      <w:r w:rsidRPr="00B43F71">
        <w:rPr>
          <w:rStyle w:val="Strong"/>
          <w:rFonts w:cs="Arial"/>
          <w:b w:val="0"/>
          <w:bCs w:val="0"/>
          <w:szCs w:val="22"/>
        </w:rPr>
        <w:t>computer science</w:t>
      </w:r>
      <w:r w:rsidRPr="00B43F71">
        <w:rPr>
          <w:b/>
          <w:bCs/>
        </w:rPr>
        <w:t xml:space="preserve">, </w:t>
      </w:r>
      <w:r w:rsidRPr="00B43F71">
        <w:rPr>
          <w:rStyle w:val="Strong"/>
          <w:rFonts w:cs="Arial"/>
          <w:b w:val="0"/>
          <w:bCs w:val="0"/>
          <w:szCs w:val="22"/>
        </w:rPr>
        <w:t>mathematical proofs</w:t>
      </w:r>
      <w:r w:rsidRPr="00B43F71">
        <w:rPr>
          <w:b/>
          <w:bCs/>
        </w:rPr>
        <w:t>,</w:t>
      </w:r>
      <w:r w:rsidRPr="00B43F71">
        <w:t xml:space="preserve"> and </w:t>
      </w:r>
      <w:r w:rsidRPr="00B43F71">
        <w:rPr>
          <w:rStyle w:val="Strong"/>
          <w:rFonts w:cs="Arial"/>
          <w:b w:val="0"/>
          <w:bCs w:val="0"/>
          <w:szCs w:val="22"/>
        </w:rPr>
        <w:t>algorithmic thinking</w:t>
      </w:r>
      <w:r w:rsidRPr="00B43F71">
        <w:t>. By planning moves, predicting outcomes, and adapting to new information, learners practice structured reasoning in a meaningful context</w:t>
      </w:r>
      <w:r w:rsidR="008F37FD">
        <w:t xml:space="preserve"> – </w:t>
      </w:r>
      <w:r w:rsidRPr="00B43F71">
        <w:t>skills that are not only central to mathematics but also essential in a wide range of real-world problem-solving situations.</w:t>
      </w:r>
    </w:p>
    <w:p w14:paraId="543286CA" w14:textId="4685148C" w:rsidR="004C103F" w:rsidRPr="00B43F71" w:rsidRDefault="004C103F" w:rsidP="00BD38A6">
      <w:r w:rsidRPr="00B43F71">
        <w:t>In a follow-up workshop delivered in July</w:t>
      </w:r>
      <w:r w:rsidR="004A5698" w:rsidRPr="00B43F71">
        <w:t xml:space="preserve"> 2025</w:t>
      </w:r>
      <w:r w:rsidRPr="00B43F71">
        <w:t xml:space="preserve">, </w:t>
      </w:r>
      <w:r w:rsidR="004A5698" w:rsidRPr="00B43F71">
        <w:t>I</w:t>
      </w:r>
      <w:r w:rsidRPr="00B43F71">
        <w:t xml:space="preserve"> used the mathematics circles principles to develop a lesson using </w:t>
      </w:r>
      <w:proofErr w:type="spellStart"/>
      <w:r w:rsidRPr="00B43F71">
        <w:t>Futo</w:t>
      </w:r>
      <w:r w:rsidR="000A45A5" w:rsidRPr="00B43F71">
        <w:t>shiki</w:t>
      </w:r>
      <w:proofErr w:type="spellEnd"/>
      <w:r w:rsidR="000A45A5" w:rsidRPr="00B43F71">
        <w:t xml:space="preserve"> to investigate inequalities. The teachers indicated that the structure of the lesson and the </w:t>
      </w:r>
      <w:r w:rsidR="00D23055" w:rsidRPr="00B43F71">
        <w:t>opportunities to differentiate the learning</w:t>
      </w:r>
      <w:r w:rsidR="008F37FD">
        <w:t>,</w:t>
      </w:r>
      <w:r w:rsidR="00D23055" w:rsidRPr="00B43F71">
        <w:t xml:space="preserve"> while maintain</w:t>
      </w:r>
      <w:r w:rsidR="008F37FD">
        <w:t>ing</w:t>
      </w:r>
      <w:r w:rsidR="00D23055" w:rsidRPr="00B43F71">
        <w:t xml:space="preserve"> the </w:t>
      </w:r>
      <w:r w:rsidR="004A5698" w:rsidRPr="00B43F71">
        <w:t>integrity</w:t>
      </w:r>
      <w:r w:rsidR="00D23055" w:rsidRPr="00B43F71">
        <w:t xml:space="preserve"> of the game</w:t>
      </w:r>
      <w:r w:rsidR="008F37FD">
        <w:t>,</w:t>
      </w:r>
      <w:r w:rsidR="00D23055" w:rsidRPr="00B43F71">
        <w:t xml:space="preserve"> open opportunities for</w:t>
      </w:r>
      <w:r w:rsidR="004A5698" w:rsidRPr="00B43F71">
        <w:t xml:space="preserve"> learners to develop problem solving skills.</w:t>
      </w:r>
      <w:r w:rsidR="00720501" w:rsidRPr="00B43F71">
        <w:t xml:space="preserve"> The use of games and puzzles has wide</w:t>
      </w:r>
      <w:r w:rsidR="00121E92" w:rsidRPr="00B43F71">
        <w:t>ned my perspective on what constitutes hands-on activities and how we use them in a learning environment.</w:t>
      </w:r>
    </w:p>
    <w:p w14:paraId="32532E45" w14:textId="22C5BF1E" w:rsidR="00ED3B04" w:rsidRPr="008F37FD" w:rsidRDefault="00277D36" w:rsidP="008F37FD">
      <w:pPr>
        <w:pStyle w:val="Heading2"/>
        <w:rPr>
          <w:highlight w:val="white"/>
        </w:rPr>
      </w:pPr>
      <w:r w:rsidRPr="008F37FD">
        <w:rPr>
          <w:highlight w:val="white"/>
        </w:rPr>
        <w:t>Storytelling in mathematics</w:t>
      </w:r>
    </w:p>
    <w:p w14:paraId="0B32128D" w14:textId="28C798E5" w:rsidR="002B44FD" w:rsidRPr="00B43F71" w:rsidRDefault="00DD57A5" w:rsidP="008F37FD">
      <w:pPr>
        <w:rPr>
          <w:rStyle w:val="Emphasis"/>
          <w:i w:val="0"/>
          <w:iCs w:val="0"/>
        </w:rPr>
      </w:pPr>
      <w:r w:rsidRPr="00B43F71">
        <w:rPr>
          <w:rStyle w:val="Emphasis"/>
          <w:i w:val="0"/>
          <w:iCs w:val="0"/>
        </w:rPr>
        <w:t>At</w:t>
      </w:r>
      <w:r w:rsidR="00B9150E" w:rsidRPr="00B43F71">
        <w:rPr>
          <w:rStyle w:val="Emphasis"/>
          <w:i w:val="0"/>
          <w:iCs w:val="0"/>
        </w:rPr>
        <w:t xml:space="preserve"> Reading </w:t>
      </w:r>
      <w:r w:rsidR="00D86EB9" w:rsidRPr="00B43F71">
        <w:rPr>
          <w:rStyle w:val="Emphasis"/>
          <w:i w:val="0"/>
          <w:iCs w:val="0"/>
        </w:rPr>
        <w:t>University,</w:t>
      </w:r>
      <w:r w:rsidR="00B9150E" w:rsidRPr="00B43F71">
        <w:rPr>
          <w:rStyle w:val="Emphasis"/>
          <w:i w:val="0"/>
          <w:iCs w:val="0"/>
        </w:rPr>
        <w:t xml:space="preserve"> I had the opportunity to meet with Dr </w:t>
      </w:r>
      <w:proofErr w:type="spellStart"/>
      <w:r w:rsidR="00B9150E" w:rsidRPr="00B43F71">
        <w:rPr>
          <w:rStyle w:val="Emphasis"/>
          <w:i w:val="0"/>
          <w:iCs w:val="0"/>
        </w:rPr>
        <w:t>Natthapoj</w:t>
      </w:r>
      <w:proofErr w:type="spellEnd"/>
      <w:r w:rsidR="00B9150E" w:rsidRPr="00B43F71">
        <w:rPr>
          <w:rStyle w:val="Emphasis"/>
          <w:i w:val="0"/>
          <w:iCs w:val="0"/>
        </w:rPr>
        <w:t xml:space="preserve"> Vin</w:t>
      </w:r>
      <w:r w:rsidR="00D86EB9" w:rsidRPr="00B43F71">
        <w:rPr>
          <w:rStyle w:val="Emphasis"/>
          <w:i w:val="0"/>
          <w:iCs w:val="0"/>
        </w:rPr>
        <w:t>cent Trakulphadetkrai</w:t>
      </w:r>
      <w:r w:rsidR="008F37FD">
        <w:rPr>
          <w:rStyle w:val="Emphasis"/>
          <w:i w:val="0"/>
          <w:iCs w:val="0"/>
        </w:rPr>
        <w:t>, t</w:t>
      </w:r>
      <w:r w:rsidR="00D86EB9" w:rsidRPr="00B43F71">
        <w:rPr>
          <w:rStyle w:val="Emphasis"/>
          <w:i w:val="0"/>
          <w:iCs w:val="0"/>
        </w:rPr>
        <w:t xml:space="preserve">he creator of </w:t>
      </w:r>
      <w:r w:rsidR="008F37FD">
        <w:rPr>
          <w:rStyle w:val="Emphasis"/>
          <w:i w:val="0"/>
          <w:iCs w:val="0"/>
        </w:rPr>
        <w:t>‘</w:t>
      </w:r>
      <w:r w:rsidR="002B44FD" w:rsidRPr="00B43F71">
        <w:rPr>
          <w:rStyle w:val="Emphasis"/>
          <w:i w:val="0"/>
          <w:iCs w:val="0"/>
        </w:rPr>
        <w:t>Maths Through Stories</w:t>
      </w:r>
      <w:r w:rsidR="008F37FD">
        <w:rPr>
          <w:rStyle w:val="Emphasis"/>
          <w:i w:val="0"/>
          <w:iCs w:val="0"/>
        </w:rPr>
        <w:t xml:space="preserve">’ </w:t>
      </w:r>
      <w:r w:rsidR="00D86EB9" w:rsidRPr="00B43F71">
        <w:rPr>
          <w:rStyle w:val="Emphasis"/>
          <w:i w:val="0"/>
          <w:iCs w:val="0"/>
        </w:rPr>
        <w:t>which is</w:t>
      </w:r>
      <w:r w:rsidR="00D00E27" w:rsidRPr="00B43F71">
        <w:rPr>
          <w:rStyle w:val="Emphasis"/>
          <w:i w:val="0"/>
          <w:iCs w:val="0"/>
        </w:rPr>
        <w:t xml:space="preserve"> based </w:t>
      </w:r>
      <w:r w:rsidR="006D069E" w:rsidRPr="00B43F71">
        <w:rPr>
          <w:rStyle w:val="Emphasis"/>
          <w:i w:val="0"/>
          <w:iCs w:val="0"/>
        </w:rPr>
        <w:t>o</w:t>
      </w:r>
      <w:r w:rsidR="006D069E" w:rsidRPr="008F37FD">
        <w:rPr>
          <w:rStyle w:val="Emphasis"/>
        </w:rPr>
        <w:t xml:space="preserve">n </w:t>
      </w:r>
      <w:r w:rsidR="006D069E" w:rsidRPr="008F37FD">
        <w:t>a</w:t>
      </w:r>
      <w:r w:rsidR="002B44FD" w:rsidRPr="008F37FD">
        <w:t xml:space="preserve"> simple question</w:t>
      </w:r>
      <w:r w:rsidR="002B44FD" w:rsidRPr="00B43F71">
        <w:rPr>
          <w:i/>
          <w:iCs/>
        </w:rPr>
        <w:t xml:space="preserve">: </w:t>
      </w:r>
      <w:r w:rsidR="002B44FD" w:rsidRPr="00B43F71">
        <w:rPr>
          <w:rStyle w:val="Emphasis"/>
          <w:i w:val="0"/>
          <w:iCs w:val="0"/>
        </w:rPr>
        <w:t>What if children learned maths not just by solving problems, but by telling and hearing stories?</w:t>
      </w:r>
      <w:r w:rsidR="00120B4E" w:rsidRPr="00B43F71">
        <w:rPr>
          <w:rStyle w:val="Emphasis"/>
          <w:i w:val="0"/>
          <w:iCs w:val="0"/>
        </w:rPr>
        <w:t xml:space="preserve"> </w:t>
      </w:r>
      <w:r w:rsidR="00107EEC" w:rsidRPr="00B43F71">
        <w:rPr>
          <w:rStyle w:val="Emphasis"/>
          <w:i w:val="0"/>
          <w:iCs w:val="0"/>
        </w:rPr>
        <w:t>His project covers over 500 storytelling options.</w:t>
      </w:r>
      <w:r w:rsidR="002A744A" w:rsidRPr="00B43F71">
        <w:rPr>
          <w:rStyle w:val="Emphasis"/>
          <w:i w:val="0"/>
          <w:iCs w:val="0"/>
        </w:rPr>
        <w:t xml:space="preserve"> A</w:t>
      </w:r>
      <w:r w:rsidR="002E11DC" w:rsidRPr="00B43F71">
        <w:rPr>
          <w:rStyle w:val="Emphasis"/>
          <w:i w:val="0"/>
          <w:iCs w:val="0"/>
        </w:rPr>
        <w:t>ustralia has t</w:t>
      </w:r>
      <w:r w:rsidR="00F6732F" w:rsidRPr="00B43F71">
        <w:rPr>
          <w:rStyle w:val="Emphasis"/>
          <w:i w:val="0"/>
          <w:iCs w:val="0"/>
        </w:rPr>
        <w:t>hree</w:t>
      </w:r>
      <w:r w:rsidR="002E11DC" w:rsidRPr="00B43F71">
        <w:rPr>
          <w:rStyle w:val="Emphasis"/>
          <w:i w:val="0"/>
          <w:iCs w:val="0"/>
        </w:rPr>
        <w:t xml:space="preserve"> co-investigators associated </w:t>
      </w:r>
      <w:r w:rsidR="008F37FD">
        <w:rPr>
          <w:rStyle w:val="Emphasis"/>
          <w:i w:val="0"/>
          <w:iCs w:val="0"/>
        </w:rPr>
        <w:t xml:space="preserve">with </w:t>
      </w:r>
      <w:r w:rsidR="002E11DC" w:rsidRPr="00B43F71">
        <w:rPr>
          <w:rStyle w:val="Emphasis"/>
          <w:i w:val="0"/>
          <w:iCs w:val="0"/>
        </w:rPr>
        <w:t>this project</w:t>
      </w:r>
      <w:r w:rsidR="00501F31" w:rsidRPr="00B43F71">
        <w:rPr>
          <w:rStyle w:val="Emphasis"/>
          <w:i w:val="0"/>
          <w:iCs w:val="0"/>
        </w:rPr>
        <w:t xml:space="preserve"> </w:t>
      </w:r>
      <w:r w:rsidR="008974BF" w:rsidRPr="00B43F71">
        <w:rPr>
          <w:rStyle w:val="Emphasis"/>
          <w:i w:val="0"/>
          <w:iCs w:val="0"/>
        </w:rPr>
        <w:t>during the past 10 years</w:t>
      </w:r>
      <w:r w:rsidR="008F37FD">
        <w:rPr>
          <w:rStyle w:val="Emphasis"/>
          <w:i w:val="0"/>
          <w:iCs w:val="0"/>
        </w:rPr>
        <w:t>:</w:t>
      </w:r>
      <w:r w:rsidR="002E11DC" w:rsidRPr="00B43F71">
        <w:rPr>
          <w:rStyle w:val="Emphasis"/>
          <w:i w:val="0"/>
          <w:iCs w:val="0"/>
        </w:rPr>
        <w:t xml:space="preserve"> Dr </w:t>
      </w:r>
      <w:r w:rsidR="00954674" w:rsidRPr="00B43F71">
        <w:rPr>
          <w:rStyle w:val="Emphasis"/>
          <w:i w:val="0"/>
          <w:iCs w:val="0"/>
        </w:rPr>
        <w:t xml:space="preserve">Kevin Larkin </w:t>
      </w:r>
      <w:r w:rsidR="00A95221" w:rsidRPr="00B43F71">
        <w:rPr>
          <w:rStyle w:val="Emphasis"/>
          <w:i w:val="0"/>
          <w:iCs w:val="0"/>
        </w:rPr>
        <w:t xml:space="preserve">- </w:t>
      </w:r>
      <w:r w:rsidR="00954674" w:rsidRPr="00B43F71">
        <w:rPr>
          <w:rStyle w:val="Emphasis"/>
          <w:i w:val="0"/>
          <w:iCs w:val="0"/>
        </w:rPr>
        <w:t xml:space="preserve">Griffith </w:t>
      </w:r>
      <w:r w:rsidR="008974BF" w:rsidRPr="00B43F71">
        <w:rPr>
          <w:rStyle w:val="Emphasis"/>
          <w:i w:val="0"/>
          <w:iCs w:val="0"/>
        </w:rPr>
        <w:t>U</w:t>
      </w:r>
      <w:r w:rsidR="00954674" w:rsidRPr="00B43F71">
        <w:rPr>
          <w:rStyle w:val="Emphasis"/>
          <w:i w:val="0"/>
          <w:iCs w:val="0"/>
        </w:rPr>
        <w:t>niversity</w:t>
      </w:r>
      <w:r w:rsidR="00F6732F" w:rsidRPr="00B43F71">
        <w:rPr>
          <w:rStyle w:val="Emphasis"/>
          <w:i w:val="0"/>
          <w:iCs w:val="0"/>
        </w:rPr>
        <w:t xml:space="preserve">, </w:t>
      </w:r>
      <w:r w:rsidR="00954674" w:rsidRPr="00B43F71">
        <w:rPr>
          <w:rStyle w:val="Emphasis"/>
          <w:i w:val="0"/>
          <w:iCs w:val="0"/>
        </w:rPr>
        <w:t>Dr</w:t>
      </w:r>
      <w:r w:rsidR="00501F31" w:rsidRPr="00B43F71">
        <w:rPr>
          <w:rStyle w:val="Emphasis"/>
          <w:i w:val="0"/>
          <w:iCs w:val="0"/>
        </w:rPr>
        <w:t xml:space="preserve"> Sharyn Livy</w:t>
      </w:r>
      <w:r w:rsidR="00A95221" w:rsidRPr="00B43F71">
        <w:rPr>
          <w:rStyle w:val="Emphasis"/>
          <w:i w:val="0"/>
          <w:iCs w:val="0"/>
        </w:rPr>
        <w:t xml:space="preserve"> - </w:t>
      </w:r>
      <w:r w:rsidR="00501F31" w:rsidRPr="00B43F71">
        <w:rPr>
          <w:rStyle w:val="Emphasis"/>
          <w:i w:val="0"/>
          <w:iCs w:val="0"/>
        </w:rPr>
        <w:t xml:space="preserve">Monash </w:t>
      </w:r>
      <w:r w:rsidR="000F39EA" w:rsidRPr="00B43F71">
        <w:rPr>
          <w:rStyle w:val="Emphasis"/>
          <w:i w:val="0"/>
          <w:iCs w:val="0"/>
        </w:rPr>
        <w:t>U</w:t>
      </w:r>
      <w:r w:rsidR="00501F31" w:rsidRPr="00B43F71">
        <w:rPr>
          <w:rStyle w:val="Emphasis"/>
          <w:i w:val="0"/>
          <w:iCs w:val="0"/>
        </w:rPr>
        <w:t>niversity</w:t>
      </w:r>
      <w:r w:rsidR="00F6732F" w:rsidRPr="00B43F71">
        <w:rPr>
          <w:rStyle w:val="Emphasis"/>
          <w:i w:val="0"/>
          <w:iCs w:val="0"/>
        </w:rPr>
        <w:t xml:space="preserve"> and Dr</w:t>
      </w:r>
      <w:r w:rsidR="00C04403" w:rsidRPr="00B43F71">
        <w:rPr>
          <w:rStyle w:val="Emphasis"/>
          <w:i w:val="0"/>
          <w:iCs w:val="0"/>
        </w:rPr>
        <w:t xml:space="preserve"> Tracy Muir</w:t>
      </w:r>
      <w:r w:rsidR="003E698E" w:rsidRPr="00B43F71">
        <w:rPr>
          <w:rStyle w:val="Emphasis"/>
          <w:i w:val="0"/>
          <w:iCs w:val="0"/>
        </w:rPr>
        <w:t xml:space="preserve"> </w:t>
      </w:r>
      <w:r w:rsidR="00A95221" w:rsidRPr="00B43F71">
        <w:rPr>
          <w:rStyle w:val="Emphasis"/>
          <w:i w:val="0"/>
          <w:iCs w:val="0"/>
        </w:rPr>
        <w:t>-</w:t>
      </w:r>
      <w:r w:rsidR="003E698E" w:rsidRPr="00B43F71">
        <w:rPr>
          <w:rStyle w:val="Emphasis"/>
          <w:i w:val="0"/>
          <w:iCs w:val="0"/>
        </w:rPr>
        <w:t xml:space="preserve"> </w:t>
      </w:r>
      <w:r w:rsidR="00A95221" w:rsidRPr="00B43F71">
        <w:rPr>
          <w:rStyle w:val="Emphasis"/>
          <w:i w:val="0"/>
          <w:iCs w:val="0"/>
        </w:rPr>
        <w:t>U</w:t>
      </w:r>
      <w:r w:rsidR="003E698E" w:rsidRPr="00B43F71">
        <w:rPr>
          <w:rStyle w:val="Emphasis"/>
          <w:i w:val="0"/>
          <w:iCs w:val="0"/>
        </w:rPr>
        <w:t>niversity of Tasmania.</w:t>
      </w:r>
    </w:p>
    <w:p w14:paraId="024055D3" w14:textId="6DEA337F" w:rsidR="00FE655E" w:rsidRPr="00B43F71" w:rsidRDefault="00FE655E" w:rsidP="008F37FD">
      <w:pPr>
        <w:rPr>
          <w:rStyle w:val="Emphasis"/>
          <w:i w:val="0"/>
          <w:iCs w:val="0"/>
        </w:rPr>
      </w:pPr>
      <w:r w:rsidRPr="00B43F71">
        <w:rPr>
          <w:rStyle w:val="Emphasis"/>
          <w:i w:val="0"/>
          <w:iCs w:val="0"/>
        </w:rPr>
        <w:t xml:space="preserve">As part of this </w:t>
      </w:r>
      <w:r w:rsidR="008A4D38" w:rsidRPr="00B43F71">
        <w:rPr>
          <w:rStyle w:val="Emphasis"/>
          <w:i w:val="0"/>
          <w:iCs w:val="0"/>
        </w:rPr>
        <w:t>visit,</w:t>
      </w:r>
      <w:r w:rsidRPr="00B43F71">
        <w:rPr>
          <w:rStyle w:val="Emphasis"/>
          <w:i w:val="0"/>
          <w:iCs w:val="0"/>
        </w:rPr>
        <w:t xml:space="preserve"> I met university PhD students </w:t>
      </w:r>
      <w:r w:rsidR="006A584C" w:rsidRPr="00B43F71">
        <w:rPr>
          <w:rStyle w:val="Emphasis"/>
          <w:i w:val="0"/>
          <w:iCs w:val="0"/>
        </w:rPr>
        <w:t>researching storytelling from different aspects. I attended an excursion focused on using local museum resources</w:t>
      </w:r>
      <w:r w:rsidR="00262BC1" w:rsidRPr="00B43F71">
        <w:rPr>
          <w:rStyle w:val="Emphasis"/>
          <w:i w:val="0"/>
          <w:iCs w:val="0"/>
        </w:rPr>
        <w:t xml:space="preserve"> for students to identify a mathematical artifact and create their own </w:t>
      </w:r>
      <w:r w:rsidR="00DB0394" w:rsidRPr="00B43F71">
        <w:rPr>
          <w:rStyle w:val="Emphasis"/>
          <w:i w:val="0"/>
          <w:iCs w:val="0"/>
        </w:rPr>
        <w:t>mathematical</w:t>
      </w:r>
      <w:r w:rsidR="00262BC1" w:rsidRPr="00B43F71">
        <w:rPr>
          <w:rStyle w:val="Emphasis"/>
          <w:i w:val="0"/>
          <w:iCs w:val="0"/>
        </w:rPr>
        <w:t xml:space="preserve"> story.</w:t>
      </w:r>
      <w:r w:rsidR="00DB0394" w:rsidRPr="00B43F71">
        <w:rPr>
          <w:rStyle w:val="Emphasis"/>
          <w:i w:val="0"/>
          <w:iCs w:val="0"/>
        </w:rPr>
        <w:t xml:space="preserve"> The students were engaged, vibrant and keen to share their findings and journey, The development and use of mathematical language</w:t>
      </w:r>
      <w:r w:rsidR="008A4D38" w:rsidRPr="00B43F71">
        <w:rPr>
          <w:rStyle w:val="Emphasis"/>
          <w:i w:val="0"/>
          <w:iCs w:val="0"/>
        </w:rPr>
        <w:t xml:space="preserve"> and skills was central to the learning intentions. </w:t>
      </w:r>
      <w:r w:rsidR="00B64E3D" w:rsidRPr="00B43F71">
        <w:rPr>
          <w:rStyle w:val="Emphasis"/>
          <w:i w:val="0"/>
          <w:iCs w:val="0"/>
        </w:rPr>
        <w:t xml:space="preserve">Diagrams and visual models were discussed, used and communicated independently between students. </w:t>
      </w:r>
    </w:p>
    <w:p w14:paraId="158C23AB" w14:textId="4D025144" w:rsidR="00744333" w:rsidRPr="00B43F71" w:rsidRDefault="00744333" w:rsidP="008F37FD">
      <w:pPr>
        <w:rPr>
          <w:rStyle w:val="Emphasis"/>
          <w:i w:val="0"/>
          <w:iCs w:val="0"/>
        </w:rPr>
      </w:pPr>
      <w:r w:rsidRPr="00B43F71">
        <w:rPr>
          <w:rStyle w:val="Emphasis"/>
          <w:i w:val="0"/>
          <w:iCs w:val="0"/>
        </w:rPr>
        <w:t>Dr Paul Swan</w:t>
      </w:r>
      <w:r w:rsidR="008E5D00" w:rsidRPr="00B43F71">
        <w:rPr>
          <w:rStyle w:val="Emphasis"/>
          <w:i w:val="0"/>
          <w:iCs w:val="0"/>
        </w:rPr>
        <w:t xml:space="preserve"> in Western Australia</w:t>
      </w:r>
      <w:r w:rsidR="002A5DAC" w:rsidRPr="00B43F71">
        <w:rPr>
          <w:rStyle w:val="Emphasis"/>
          <w:i w:val="0"/>
          <w:iCs w:val="0"/>
        </w:rPr>
        <w:t xml:space="preserve"> has a</w:t>
      </w:r>
      <w:r w:rsidR="008E5D00" w:rsidRPr="00B43F71">
        <w:rPr>
          <w:rStyle w:val="Emphasis"/>
          <w:i w:val="0"/>
          <w:iCs w:val="0"/>
        </w:rPr>
        <w:t xml:space="preserve"> set of</w:t>
      </w:r>
      <w:r w:rsidR="002A5DAC" w:rsidRPr="00B43F71">
        <w:rPr>
          <w:rStyle w:val="Emphasis"/>
          <w:i w:val="0"/>
          <w:iCs w:val="0"/>
        </w:rPr>
        <w:t xml:space="preserve"> s</w:t>
      </w:r>
      <w:r w:rsidR="00A95221" w:rsidRPr="00B43F71">
        <w:rPr>
          <w:rStyle w:val="Emphasis"/>
          <w:i w:val="0"/>
          <w:iCs w:val="0"/>
        </w:rPr>
        <w:t xml:space="preserve">torytelling resources </w:t>
      </w:r>
      <w:r w:rsidR="008E5D00" w:rsidRPr="00B43F71">
        <w:rPr>
          <w:rStyle w:val="Emphasis"/>
          <w:i w:val="0"/>
          <w:iCs w:val="0"/>
        </w:rPr>
        <w:t>t</w:t>
      </w:r>
      <w:r w:rsidR="002A5DAC" w:rsidRPr="00B43F71">
        <w:rPr>
          <w:rStyle w:val="Emphasis"/>
          <w:i w:val="0"/>
          <w:iCs w:val="0"/>
        </w:rPr>
        <w:t>hat focuses on resources that are connected to our history and</w:t>
      </w:r>
      <w:r w:rsidR="00A3283D" w:rsidRPr="00B43F71">
        <w:rPr>
          <w:rStyle w:val="Emphasis"/>
          <w:i w:val="0"/>
          <w:iCs w:val="0"/>
        </w:rPr>
        <w:t xml:space="preserve"> </w:t>
      </w:r>
      <w:r w:rsidR="002A5DAC" w:rsidRPr="00B43F71">
        <w:rPr>
          <w:rStyle w:val="Emphasis"/>
          <w:i w:val="0"/>
          <w:iCs w:val="0"/>
        </w:rPr>
        <w:t xml:space="preserve">daily lifestyle. </w:t>
      </w:r>
      <w:r w:rsidR="00DD2EEA" w:rsidRPr="00B43F71">
        <w:rPr>
          <w:rStyle w:val="Emphasis"/>
          <w:i w:val="0"/>
          <w:iCs w:val="0"/>
        </w:rPr>
        <w:t xml:space="preserve">As a MGT trainer I have used this work </w:t>
      </w:r>
      <w:r w:rsidR="00121B77" w:rsidRPr="00B43F71">
        <w:rPr>
          <w:rStyle w:val="Emphasis"/>
          <w:i w:val="0"/>
          <w:iCs w:val="0"/>
        </w:rPr>
        <w:t xml:space="preserve">in developing stories for a remote school with a high a high percentage of </w:t>
      </w:r>
      <w:r w:rsidR="008F37FD">
        <w:rPr>
          <w:rStyle w:val="Emphasis"/>
          <w:i w:val="0"/>
          <w:iCs w:val="0"/>
        </w:rPr>
        <w:t>A</w:t>
      </w:r>
      <w:r w:rsidR="00121B77" w:rsidRPr="00B43F71">
        <w:rPr>
          <w:rStyle w:val="Emphasis"/>
          <w:i w:val="0"/>
          <w:iCs w:val="0"/>
        </w:rPr>
        <w:t xml:space="preserve">boriginal students. </w:t>
      </w:r>
      <w:r w:rsidR="009E2A39" w:rsidRPr="00B43F71">
        <w:rPr>
          <w:rStyle w:val="Emphasis"/>
          <w:i w:val="0"/>
          <w:iCs w:val="0"/>
        </w:rPr>
        <w:t>The use of storytelling allow</w:t>
      </w:r>
      <w:r w:rsidR="008E5D00" w:rsidRPr="00B43F71">
        <w:rPr>
          <w:rStyle w:val="Emphasis"/>
          <w:i w:val="0"/>
          <w:iCs w:val="0"/>
        </w:rPr>
        <w:t>ed</w:t>
      </w:r>
      <w:r w:rsidR="009E2A39" w:rsidRPr="00B43F71">
        <w:rPr>
          <w:rStyle w:val="Emphasis"/>
          <w:i w:val="0"/>
          <w:iCs w:val="0"/>
        </w:rPr>
        <w:t xml:space="preserve"> the teaching of mathematics through Aboriginal Culture and effective 8</w:t>
      </w:r>
      <w:r w:rsidR="00107EEC" w:rsidRPr="00B43F71">
        <w:rPr>
          <w:rStyle w:val="Emphasis"/>
          <w:i w:val="0"/>
          <w:iCs w:val="0"/>
        </w:rPr>
        <w:t>-</w:t>
      </w:r>
      <w:r w:rsidR="009E2A39" w:rsidRPr="00B43F71">
        <w:rPr>
          <w:rStyle w:val="Emphasis"/>
          <w:i w:val="0"/>
          <w:iCs w:val="0"/>
        </w:rPr>
        <w:t>ways instruction.</w:t>
      </w:r>
    </w:p>
    <w:p w14:paraId="3F06250A" w14:textId="77777777" w:rsidR="00ED3B04" w:rsidRPr="00B43F71" w:rsidRDefault="00ED3B04" w:rsidP="001B4C3C">
      <w:pPr>
        <w:pStyle w:val="Heading1"/>
        <w:rPr>
          <w:highlight w:val="white"/>
        </w:rPr>
      </w:pPr>
      <w:r w:rsidRPr="00B43F71">
        <w:rPr>
          <w:highlight w:val="white"/>
        </w:rPr>
        <w:t>Conclusion</w:t>
      </w:r>
    </w:p>
    <w:p w14:paraId="54997060" w14:textId="454873B1" w:rsidR="00A65DCC" w:rsidRPr="00B43F71" w:rsidRDefault="00A65DCC" w:rsidP="008F37FD">
      <w:bookmarkStart w:id="1" w:name="_gjdgxs" w:colFirst="0" w:colLast="0"/>
      <w:bookmarkEnd w:id="1"/>
      <w:r w:rsidRPr="00B43F71">
        <w:t xml:space="preserve">At the start of my study tour, I thought I had a clear understanding of hands-on activities in mathematics, particularly through resources like those developed by </w:t>
      </w:r>
      <w:r w:rsidR="006C4E4E" w:rsidRPr="00B43F71">
        <w:t>Southall</w:t>
      </w:r>
      <w:r w:rsidRPr="00B43F71">
        <w:t xml:space="preserve"> </w:t>
      </w:r>
      <w:r w:rsidR="006C4E4E" w:rsidRPr="00B43F71">
        <w:t xml:space="preserve">(2017) </w:t>
      </w:r>
      <w:r w:rsidRPr="00B43F71">
        <w:t xml:space="preserve">and </w:t>
      </w:r>
      <w:r w:rsidR="006C4E4E" w:rsidRPr="00B43F71">
        <w:t xml:space="preserve">P. </w:t>
      </w:r>
      <w:proofErr w:type="gramStart"/>
      <w:r w:rsidRPr="00B43F71">
        <w:lastRenderedPageBreak/>
        <w:t>Mattock</w:t>
      </w:r>
      <w:r w:rsidR="006C4E4E" w:rsidRPr="00B43F71">
        <w:t>(</w:t>
      </w:r>
      <w:proofErr w:type="gramEnd"/>
      <w:r w:rsidR="006C4E4E" w:rsidRPr="00B43F71">
        <w:t>2019)</w:t>
      </w:r>
      <w:r w:rsidRPr="00B43F71">
        <w:t>. I felt confident in incorporating manipulatives and models into my lessons, recognizing their transformative potential for students, especially those who find abstract concepts challenging. However, this tour provided me with a deeper insight into the broader impact of hands-on learning and how it can be effectively integrated into mathematics education.</w:t>
      </w:r>
    </w:p>
    <w:p w14:paraId="1D78FA0E" w14:textId="0D07FEFC" w:rsidR="00A65DCC" w:rsidRPr="00B43F71" w:rsidRDefault="00A65DCC" w:rsidP="008F37FD">
      <w:r w:rsidRPr="00B43F71">
        <w:t>What I learned was the way teachers engage with hands-on activities and visual models. I observed how math</w:t>
      </w:r>
      <w:r w:rsidR="006C515F">
        <w:t>ematics</w:t>
      </w:r>
      <w:r w:rsidRPr="00B43F71">
        <w:t xml:space="preserve"> education in the UK is being reshaped through community engagement, making mathematics visible and valuable beyond the classroom. Teachers are not only using diverse resources</w:t>
      </w:r>
      <w:r w:rsidR="008F37FD">
        <w:t xml:space="preserve"> – </w:t>
      </w:r>
      <w:r w:rsidRPr="00B43F71">
        <w:t xml:space="preserve">ranging from non-verbal reasoning to </w:t>
      </w:r>
      <w:r w:rsidR="001309F5" w:rsidRPr="00B43F71">
        <w:t>storytelling</w:t>
      </w:r>
      <w:r w:rsidR="00347BF8" w:rsidRPr="00B43F71">
        <w:t xml:space="preserve">, from limited literacy requirements to </w:t>
      </w:r>
      <w:r w:rsidRPr="00B43F71">
        <w:t>high-level</w:t>
      </w:r>
      <w:r w:rsidR="00347BF8" w:rsidRPr="00B43F71">
        <w:t xml:space="preserve"> mathematical metalanguage</w:t>
      </w:r>
      <w:r w:rsidRPr="00B43F71">
        <w:t xml:space="preserve"> literacy</w:t>
      </w:r>
      <w:r w:rsidR="008F37FD">
        <w:t xml:space="preserve"> – </w:t>
      </w:r>
      <w:r w:rsidRPr="00B43F71">
        <w:t>but also creating pathways to success for students who may feel disconnected from the subject. These efforts are particularly impactful for students from disenfranchised communities, as they show that math can be accessible, relevant, and empowering. The focus on problem-solving, puzzles, and games, such as</w:t>
      </w:r>
      <w:r w:rsidR="00FC044B" w:rsidRPr="00B43F71">
        <w:t xml:space="preserve"> KenKen and</w:t>
      </w:r>
      <w:r w:rsidRPr="00B43F71">
        <w:t xml:space="preserve"> </w:t>
      </w:r>
      <w:proofErr w:type="spellStart"/>
      <w:r w:rsidR="00124498" w:rsidRPr="00B43F71">
        <w:t>Futoshikri</w:t>
      </w:r>
      <w:proofErr w:type="spellEnd"/>
      <w:r w:rsidR="008F37FD">
        <w:t>,</w:t>
      </w:r>
      <w:r w:rsidRPr="00B43F71">
        <w:t xml:space="preserve"> further emphasizes the importance of fostering critical thinking and making learning enjoyable.</w:t>
      </w:r>
    </w:p>
    <w:p w14:paraId="451DA322" w14:textId="196BA1BF" w:rsidR="00A65DCC" w:rsidRPr="00B43F71" w:rsidRDefault="00A65DCC" w:rsidP="008F37FD">
      <w:r w:rsidRPr="00B43F71">
        <w:t>The study tour also highlighted the importance of teacher support. I saw strong links between schools and universities in the UK, where outreach programs and ongoing professional development were central to teaching practices. Schools with robust support systems were able to engage in innovative practices, with direct access to university students and PhD researchers, which helped shift the perception of mathematics. In contrast, schools without such support were often reliant on more traditional teaching methods, which could limit student engagement and understanding.</w:t>
      </w:r>
    </w:p>
    <w:p w14:paraId="1D082419" w14:textId="40F69683" w:rsidR="00A65DCC" w:rsidRPr="00B43F71" w:rsidRDefault="00A65DCC" w:rsidP="008F37FD">
      <w:r w:rsidRPr="00B43F71">
        <w:t xml:space="preserve">Finally, the impact of hands-on learning on students was undeniable. I witnessed how schools in the UK integrated math into their communities, </w:t>
      </w:r>
      <w:r w:rsidR="00FC044B" w:rsidRPr="00B43F71">
        <w:t>from lessons</w:t>
      </w:r>
      <w:r w:rsidRPr="00B43F71">
        <w:t xml:space="preserve"> using trigonometry to model railways or creating stories about ancient artifacts. The use of hands-on activities made math visible, engaging students in ways that fostered deep understanding and communication. This experience reinforced the idea that hands-on math is not just about manipulating objects</w:t>
      </w:r>
      <w:r w:rsidR="00887423" w:rsidRPr="00B43F71">
        <w:t xml:space="preserve"> and developing models</w:t>
      </w:r>
      <w:r w:rsidRPr="00B43F71">
        <w:t>; it</w:t>
      </w:r>
      <w:r w:rsidR="00FB1AD0">
        <w:t xml:space="preserve"> is</w:t>
      </w:r>
      <w:r w:rsidRPr="00B43F71">
        <w:t xml:space="preserve"> about making learning meaningful, accessible, and fun for all students.</w:t>
      </w:r>
    </w:p>
    <w:p w14:paraId="5C5D9744" w14:textId="77777777" w:rsidR="00A65DCC" w:rsidRPr="00B43F71" w:rsidRDefault="00A65DCC" w:rsidP="008F37FD">
      <w:r w:rsidRPr="00B43F71">
        <w:t>In conclusion, the study tour reinforced the value of hands-on activities in math education. By supporting teachers through professional development and fostering strong partnerships between schools and universities, we can ensure that all students, regardless of background, have access to transformative learning experiences.</w:t>
      </w:r>
    </w:p>
    <w:p w14:paraId="28AC9E32" w14:textId="77777777" w:rsidR="00466D43" w:rsidRPr="00B43F71" w:rsidRDefault="00466D43" w:rsidP="00466D43">
      <w:pPr>
        <w:pStyle w:val="Heading1"/>
        <w:rPr>
          <w:highlight w:val="white"/>
        </w:rPr>
      </w:pPr>
      <w:r w:rsidRPr="00B43F71">
        <w:rPr>
          <w:highlight w:val="white"/>
        </w:rPr>
        <w:t>Acknowledgements</w:t>
      </w:r>
    </w:p>
    <w:p w14:paraId="013DB371"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The Science Museum, The Winton Gallery -Tours</w:t>
      </w:r>
    </w:p>
    <w:p w14:paraId="3719B045"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Royal Museum Greenwich - Cutty Sark, Royal Observatory, National Maritime Museum</w:t>
      </w:r>
    </w:p>
    <w:p w14:paraId="6F8C2613"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 xml:space="preserve">Dr </w:t>
      </w:r>
      <w:proofErr w:type="spellStart"/>
      <w:r w:rsidRPr="00BD38A6">
        <w:rPr>
          <w:highlight w:val="white"/>
        </w:rPr>
        <w:t>Natthapoj</w:t>
      </w:r>
      <w:proofErr w:type="spellEnd"/>
      <w:r w:rsidRPr="00BD38A6">
        <w:rPr>
          <w:highlight w:val="white"/>
        </w:rPr>
        <w:t xml:space="preserve"> Vincent </w:t>
      </w:r>
      <w:proofErr w:type="spellStart"/>
      <w:r w:rsidRPr="00BD38A6">
        <w:rPr>
          <w:highlight w:val="white"/>
        </w:rPr>
        <w:t>Trakulphadetkrai</w:t>
      </w:r>
      <w:proofErr w:type="spellEnd"/>
      <w:r w:rsidRPr="00BD38A6">
        <w:rPr>
          <w:highlight w:val="white"/>
        </w:rPr>
        <w:t xml:space="preserve"> – Reading University</w:t>
      </w:r>
    </w:p>
    <w:p w14:paraId="6E9D987E"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 xml:space="preserve">Bank Of England Museum </w:t>
      </w:r>
    </w:p>
    <w:p w14:paraId="2EF001B3"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Burton Anges Hall Manor House – Nine Men’s Morris</w:t>
      </w:r>
    </w:p>
    <w:p w14:paraId="487E0778"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Scarborough College Mathematics Department</w:t>
      </w:r>
    </w:p>
    <w:p w14:paraId="25F15F76"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highlight w:val="white"/>
        </w:rPr>
      </w:pPr>
      <w:r w:rsidRPr="00BD38A6">
        <w:rPr>
          <w:highlight w:val="white"/>
        </w:rPr>
        <w:t>Scalby School – Mathematics Department</w:t>
      </w:r>
    </w:p>
    <w:p w14:paraId="37E7F5AE"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proofErr w:type="spellStart"/>
      <w:r w:rsidRPr="00BD38A6">
        <w:rPr>
          <w:highlight w:val="white"/>
        </w:rPr>
        <w:t>MathsCity</w:t>
      </w:r>
      <w:proofErr w:type="spellEnd"/>
      <w:r w:rsidRPr="00BD38A6">
        <w:rPr>
          <w:highlight w:val="white"/>
        </w:rPr>
        <w:t xml:space="preserve"> - </w:t>
      </w:r>
      <w:r w:rsidRPr="00BD38A6">
        <w:rPr>
          <w:rFonts w:cs="Arial"/>
          <w:color w:val="1F1F1F"/>
          <w:sz w:val="21"/>
          <w:szCs w:val="21"/>
          <w:shd w:val="clear" w:color="auto" w:fill="FFFFFF"/>
        </w:rPr>
        <w:t>Trinity, Shopping Centre, Leeds</w:t>
      </w:r>
    </w:p>
    <w:p w14:paraId="58C8D672"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Dr Ed Southall – The University of Huddersfield, Oak National Academy</w:t>
      </w:r>
    </w:p>
    <w:p w14:paraId="2BD7C322"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Leeds Mathematics School - Leeds</w:t>
      </w:r>
    </w:p>
    <w:p w14:paraId="0F65C286"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Durham University – Education and Pedagogy</w:t>
      </w:r>
    </w:p>
    <w:p w14:paraId="4DE459FB"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York University – Department of Mathematics and Statistics</w:t>
      </w:r>
    </w:p>
    <w:p w14:paraId="4C5CE114"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Science and Industry Museum - Manchester</w:t>
      </w:r>
    </w:p>
    <w:p w14:paraId="22338F83"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lastRenderedPageBreak/>
        <w:t>Ashmolean Museum – Oxford</w:t>
      </w:r>
    </w:p>
    <w:p w14:paraId="2F1566DD"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Bodleian – Oxford</w:t>
      </w:r>
    </w:p>
    <w:p w14:paraId="6317F0B1"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 xml:space="preserve">National Gallery Victoria (NGV) – Escher x </w:t>
      </w:r>
      <w:proofErr w:type="spellStart"/>
      <w:r w:rsidRPr="00BD38A6">
        <w:rPr>
          <w:rFonts w:cs="Arial"/>
          <w:color w:val="1F1F1F"/>
          <w:sz w:val="21"/>
          <w:szCs w:val="21"/>
          <w:shd w:val="clear" w:color="auto" w:fill="FFFFFF"/>
        </w:rPr>
        <w:t>nendo</w:t>
      </w:r>
      <w:proofErr w:type="spellEnd"/>
      <w:r w:rsidRPr="00BD38A6">
        <w:rPr>
          <w:rFonts w:cs="Arial"/>
          <w:color w:val="1F1F1F"/>
          <w:sz w:val="21"/>
          <w:szCs w:val="21"/>
          <w:shd w:val="clear" w:color="auto" w:fill="FFFFFF"/>
        </w:rPr>
        <w:t xml:space="preserve"> – Oki Sato</w:t>
      </w:r>
    </w:p>
    <w:p w14:paraId="2879B049"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Melbourne Museum</w:t>
      </w:r>
    </w:p>
    <w:p w14:paraId="5F6CAF44"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 xml:space="preserve">Eddie Woo – NSW Department of Education MGT, Sydney University </w:t>
      </w:r>
    </w:p>
    <w:p w14:paraId="678CC03B"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Cs w:val="22"/>
          <w:shd w:val="clear" w:color="auto" w:fill="FFFFFF"/>
        </w:rPr>
      </w:pPr>
      <w:r w:rsidRPr="00BD38A6">
        <w:rPr>
          <w:rFonts w:cs="Arial"/>
          <w:color w:val="1F1F1F"/>
          <w:szCs w:val="22"/>
          <w:shd w:val="clear" w:color="auto" w:fill="FFFFFF"/>
        </w:rPr>
        <w:t>Craig Holden, Rachel Winter – NSW Department of Education, MGT</w:t>
      </w:r>
    </w:p>
    <w:p w14:paraId="1DB7934B"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Cs w:val="22"/>
          <w:shd w:val="clear" w:color="auto" w:fill="FFFFFF"/>
        </w:rPr>
      </w:pPr>
      <w:r w:rsidRPr="00BD38A6">
        <w:rPr>
          <w:rFonts w:cs="Arial"/>
          <w:color w:val="1F1F1F"/>
          <w:szCs w:val="22"/>
          <w:shd w:val="clear" w:color="auto" w:fill="FFFFFF"/>
        </w:rPr>
        <w:t>Professor Manjula Sharma – University of Sydney</w:t>
      </w:r>
    </w:p>
    <w:p w14:paraId="269A6164"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Cs w:val="22"/>
          <w:shd w:val="clear" w:color="auto" w:fill="FFFFFF"/>
        </w:rPr>
      </w:pPr>
      <w:r w:rsidRPr="00BD38A6">
        <w:rPr>
          <w:rFonts w:cs="Arial"/>
          <w:color w:val="4D4D4D"/>
          <w:szCs w:val="22"/>
          <w:bdr w:val="none" w:sz="0" w:space="0" w:color="auto" w:frame="1"/>
          <w:shd w:val="clear" w:color="auto" w:fill="FFFFFF"/>
        </w:rPr>
        <w:t xml:space="preserve">Martine Illing-Kelly - </w:t>
      </w:r>
      <w:r w:rsidRPr="00BD38A6">
        <w:rPr>
          <w:rStyle w:val="markqfu4c3fo6"/>
          <w:rFonts w:cs="Arial"/>
          <w:color w:val="4D4D4D"/>
          <w:szCs w:val="22"/>
          <w:bdr w:val="none" w:sz="0" w:space="0" w:color="auto" w:frame="1"/>
          <w:shd w:val="clear" w:color="auto" w:fill="FFFFFF"/>
        </w:rPr>
        <w:t>University</w:t>
      </w:r>
      <w:r w:rsidRPr="00BD38A6">
        <w:rPr>
          <w:rFonts w:cs="Arial"/>
          <w:color w:val="4D4D4D"/>
          <w:szCs w:val="22"/>
          <w:bdr w:val="none" w:sz="0" w:space="0" w:color="auto" w:frame="1"/>
          <w:shd w:val="clear" w:color="auto" w:fill="FFFFFF"/>
        </w:rPr>
        <w:t> of Sydney</w:t>
      </w:r>
      <w:r w:rsidRPr="00BD38A6">
        <w:rPr>
          <w:rFonts w:cs="Arial"/>
          <w:b/>
          <w:bCs/>
          <w:color w:val="4D4D4D"/>
          <w:szCs w:val="22"/>
          <w:bdr w:val="none" w:sz="0" w:space="0" w:color="auto" w:frame="1"/>
          <w:shd w:val="clear" w:color="auto" w:fill="FFFFFF"/>
        </w:rPr>
        <w:t>                                                </w:t>
      </w:r>
    </w:p>
    <w:p w14:paraId="0B96F533"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Katherin Cartwright – University of Sydney/MANSW</w:t>
      </w:r>
    </w:p>
    <w:p w14:paraId="39495E06"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Miriam Lees – MANSW</w:t>
      </w:r>
    </w:p>
    <w:p w14:paraId="4EA8E45F" w14:textId="77777777" w:rsidR="00466D43" w:rsidRPr="00BD38A6"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Professor Catherine Attard – University of Western Sydney/MANSW</w:t>
      </w:r>
    </w:p>
    <w:p w14:paraId="404DE255" w14:textId="77777777" w:rsidR="00466D43" w:rsidRPr="008C49EF" w:rsidRDefault="00466D43" w:rsidP="00466D43">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spacing w:before="0" w:after="160" w:line="259" w:lineRule="auto"/>
        <w:ind w:left="714" w:hanging="357"/>
        <w:contextualSpacing/>
        <w:rPr>
          <w:rFonts w:cs="Arial"/>
          <w:color w:val="1F1F1F"/>
          <w:sz w:val="21"/>
          <w:szCs w:val="21"/>
          <w:shd w:val="clear" w:color="auto" w:fill="FFFFFF"/>
        </w:rPr>
      </w:pPr>
      <w:r w:rsidRPr="00BD38A6">
        <w:rPr>
          <w:rFonts w:cs="Arial"/>
          <w:color w:val="1F1F1F"/>
          <w:sz w:val="21"/>
          <w:szCs w:val="21"/>
          <w:shd w:val="clear" w:color="auto" w:fill="FFFFFF"/>
        </w:rPr>
        <w:t>MANSW Annual Conference 2025 – Purposeful Pedagogy: Teaching with Impact</w:t>
      </w:r>
    </w:p>
    <w:p w14:paraId="7166A6E9" w14:textId="256C422B" w:rsidR="004D3AEE" w:rsidRPr="00B43F71" w:rsidRDefault="004D3AEE" w:rsidP="004D3AEE">
      <w:pPr>
        <w:pStyle w:val="Heading1"/>
      </w:pPr>
      <w:r w:rsidRPr="00B43F71">
        <w:t xml:space="preserve">References </w:t>
      </w:r>
    </w:p>
    <w:p w14:paraId="79914D5D" w14:textId="674A5B32" w:rsidR="006D061B" w:rsidRPr="00BD38A6" w:rsidRDefault="006D061B" w:rsidP="00BD38A6">
      <w:r w:rsidRPr="00BD38A6">
        <w:t>Askew, M. (2015). Transforming Primary Mathematics: Understanding Classroom Tasks, Tools and Talk. United Kingdom: Taylor &amp; Francis</w:t>
      </w:r>
    </w:p>
    <w:p w14:paraId="751CC843" w14:textId="77777777" w:rsidR="00EC0CB6" w:rsidRPr="00BD38A6" w:rsidRDefault="00EC0CB6" w:rsidP="00BD38A6">
      <w:proofErr w:type="spellStart"/>
      <w:r w:rsidRPr="00BD38A6">
        <w:t>Boaler</w:t>
      </w:r>
      <w:proofErr w:type="spellEnd"/>
      <w:r w:rsidRPr="00BD38A6">
        <w:t>, J. (2015). Mathematical Mindsets: Unleashing Students' Potential Through Creative Math, Inspiring Messages and Innovative Teaching. United Kingdom: Wiley.</w:t>
      </w:r>
    </w:p>
    <w:p w14:paraId="4518D77E" w14:textId="4137E9A7" w:rsidR="001E7DD9" w:rsidRPr="00BD38A6" w:rsidRDefault="001E7DD9" w:rsidP="00BD38A6">
      <w:r w:rsidRPr="00BD38A6">
        <w:t>Danielson, C. (2019). Which One Doesn't Belong? Playing with Shapes. United States: </w:t>
      </w:r>
      <w:proofErr w:type="spellStart"/>
      <w:r w:rsidRPr="00BD38A6">
        <w:t>Charlesbridge</w:t>
      </w:r>
      <w:proofErr w:type="spellEnd"/>
      <w:r w:rsidRPr="00BD38A6">
        <w:t>.</w:t>
      </w:r>
    </w:p>
    <w:p w14:paraId="77F1CC0A" w14:textId="50BEDC5E" w:rsidR="00E91C67" w:rsidRPr="00BD38A6" w:rsidRDefault="00E91C67" w:rsidP="00BD38A6">
      <w:r w:rsidRPr="00BD38A6">
        <w:t>Gro</w:t>
      </w:r>
      <w:r w:rsidR="00CF1649" w:rsidRPr="00BD38A6">
        <w:t>ssman, H (</w:t>
      </w:r>
      <w:r w:rsidR="002338C6" w:rsidRPr="00BD38A6">
        <w:t xml:space="preserve">November </w:t>
      </w:r>
      <w:r w:rsidR="00CF1649" w:rsidRPr="00BD38A6">
        <w:t>2002) Patterns of Collaboration in Mathematics Research</w:t>
      </w:r>
      <w:r w:rsidR="002338C6" w:rsidRPr="00BD38A6">
        <w:t xml:space="preserve">” SIAM News 35, no.9 </w:t>
      </w:r>
      <w:r w:rsidR="007E422F" w:rsidRPr="00BD38A6">
        <w:t>pages 8 and 9.</w:t>
      </w:r>
    </w:p>
    <w:p w14:paraId="10DEE8CA" w14:textId="3171488B" w:rsidR="00FC3042" w:rsidRPr="00BD38A6" w:rsidRDefault="00FC3042" w:rsidP="00BD38A6">
      <w:r w:rsidRPr="00BD38A6">
        <w:t xml:space="preserve">Heroux, Sabrina. (2018). Doing </w:t>
      </w:r>
      <w:r w:rsidR="00C6230E" w:rsidRPr="00BD38A6">
        <w:t>M</w:t>
      </w:r>
      <w:r w:rsidRPr="00BD38A6">
        <w:t xml:space="preserve">athematics </w:t>
      </w:r>
      <w:r w:rsidR="00C6230E" w:rsidRPr="00BD38A6">
        <w:t>P</w:t>
      </w:r>
      <w:r w:rsidRPr="00BD38A6">
        <w:t>laying Nine Men’s Morris.</w:t>
      </w:r>
      <w:r w:rsidR="00C6230E" w:rsidRPr="00BD38A6">
        <w:t xml:space="preserve"> University of Quebec, Montreal.</w:t>
      </w:r>
    </w:p>
    <w:p w14:paraId="1B37B838" w14:textId="3E37D4A6" w:rsidR="00EC0CB6" w:rsidRPr="00BD38A6" w:rsidRDefault="00EC0CB6" w:rsidP="00BD38A6">
      <w:r w:rsidRPr="00BD38A6">
        <w:t>Mattock, P. (2019). Visible Maths: Using Representations and Structure to Enhance Mathematics Teaching in Schools. United Kingdom: Crown House Publishing.</w:t>
      </w:r>
    </w:p>
    <w:p w14:paraId="5D769A9A" w14:textId="5BA66BC9" w:rsidR="007719DF" w:rsidRPr="00BD38A6" w:rsidRDefault="007719DF" w:rsidP="00BD38A6">
      <w:proofErr w:type="spellStart"/>
      <w:proofErr w:type="gramStart"/>
      <w:r w:rsidRPr="00BD38A6">
        <w:t>Micro:Macro</w:t>
      </w:r>
      <w:proofErr w:type="spellEnd"/>
      <w:proofErr w:type="gramEnd"/>
      <w:r w:rsidRPr="00BD38A6">
        <w:t xml:space="preserve"> models of insight and inspiration</w:t>
      </w:r>
      <w:r w:rsidR="009927FB" w:rsidRPr="00BD38A6">
        <w:t xml:space="preserve"> (2024-2025) Chau Chak Wing </w:t>
      </w:r>
      <w:proofErr w:type="spellStart"/>
      <w:r w:rsidR="009927FB" w:rsidRPr="00BD38A6">
        <w:t>Musuem</w:t>
      </w:r>
      <w:proofErr w:type="spellEnd"/>
    </w:p>
    <w:p w14:paraId="1EB0D714" w14:textId="5D0690DF" w:rsidR="001405B8" w:rsidRPr="00BD38A6" w:rsidRDefault="001405B8" w:rsidP="00BD38A6">
      <w:r w:rsidRPr="00BD38A6">
        <w:t>Multiply</w:t>
      </w:r>
      <w:r w:rsidR="00032910" w:rsidRPr="00BD38A6">
        <w:t xml:space="preserve"> – Durham Community Action (2023)</w:t>
      </w:r>
      <w:r w:rsidR="008F37FD">
        <w:t xml:space="preserve">. </w:t>
      </w:r>
      <w:hyperlink r:id="rId15" w:history="1">
        <w:r w:rsidR="00794A25" w:rsidRPr="00BD38A6">
          <w:rPr>
            <w:rStyle w:val="Hyperlink"/>
            <w:color w:val="auto"/>
          </w:rPr>
          <w:t>https://www.durhamcommunityaction.org.uk/assets/media/Multiply---Better-Together-Presentation-June-23.pptx</w:t>
        </w:r>
      </w:hyperlink>
    </w:p>
    <w:p w14:paraId="597EDAB8" w14:textId="123BB5B9" w:rsidR="00794A25" w:rsidRPr="00BD38A6" w:rsidRDefault="00794A25" w:rsidP="00BD38A6">
      <w:r w:rsidRPr="00BD38A6">
        <w:t>Nine Men’s Morris</w:t>
      </w:r>
      <w:r w:rsidR="00605AF1" w:rsidRPr="00BD38A6">
        <w:t xml:space="preserve"> </w:t>
      </w:r>
      <w:r w:rsidR="00F9473F" w:rsidRPr="00BD38A6">
        <w:t xml:space="preserve"> - Google Play Ap </w:t>
      </w:r>
      <w:hyperlink r:id="rId16" w:history="1">
        <w:r w:rsidR="00F9473F" w:rsidRPr="00BD38A6">
          <w:rPr>
            <w:rStyle w:val="Hyperlink"/>
            <w:color w:val="auto"/>
          </w:rPr>
          <w:t>https://play.google.com/store/apps/details?id=com.springmaru.androidGame.leoNineMensMorris&amp;pli=1</w:t>
        </w:r>
      </w:hyperlink>
    </w:p>
    <w:p w14:paraId="389BA2D6" w14:textId="112B0CFB" w:rsidR="00BD38A6" w:rsidRPr="00BD38A6" w:rsidRDefault="00BD38A6" w:rsidP="00BD38A6">
      <w:r w:rsidRPr="00BD38A6">
        <w:t>NSW Department of Education (December 2022)</w:t>
      </w:r>
      <w:r w:rsidR="008F37FD">
        <w:t>.</w:t>
      </w:r>
      <w:r w:rsidRPr="00BD38A6">
        <w:t xml:space="preserve"> If-maths-were-a-food. https://education.nsw.gov.au/content/dam/main-education/teaching-and-learning/curriculum/key-learning-areas/mathematics/media/documents/mathematics-k-2-if-maths-were-a-food.docx</w:t>
      </w:r>
    </w:p>
    <w:p w14:paraId="1009DBB6" w14:textId="444D7963" w:rsidR="00BD38A6" w:rsidRPr="00BD38A6" w:rsidRDefault="00BD38A6" w:rsidP="00BD38A6">
      <w:r w:rsidRPr="00BD38A6">
        <w:t>NSW Department of Education (updates August 2025)</w:t>
      </w:r>
      <w:r w:rsidR="008F37FD">
        <w:t>.</w:t>
      </w:r>
      <w:r w:rsidRPr="00BD38A6">
        <w:t xml:space="preserve"> Embedding Aboriginal Pedagogies. https://education.nsw.gov.au/teaching-and-learning/curriculum/languages/languages-curriculum-resources-k-12/languages-curriculum-resources-k-6/embedding-aboriginal-pedagogies-in-language-teaching</w:t>
      </w:r>
    </w:p>
    <w:p w14:paraId="508155A3" w14:textId="693F79E5" w:rsidR="007803C2" w:rsidRPr="00BD38A6" w:rsidRDefault="007803C2" w:rsidP="00BD38A6">
      <w:r w:rsidRPr="00BD38A6">
        <w:lastRenderedPageBreak/>
        <w:t>Raising the Bar: Developing able young mathematicians (December 2012)</w:t>
      </w:r>
      <w:r w:rsidR="008F37FD">
        <w:t>.</w:t>
      </w:r>
      <w:r w:rsidRPr="00BD38A6">
        <w:t xml:space="preserve"> Advisory Committee of Mathematics Education (ACME), London United Kingdom.</w:t>
      </w:r>
    </w:p>
    <w:p w14:paraId="5A7CB08C" w14:textId="3C5AF49E" w:rsidR="009F0210" w:rsidRPr="00BD38A6" w:rsidRDefault="009F0210" w:rsidP="00BD38A6">
      <w:r w:rsidRPr="00BD38A6">
        <w:t xml:space="preserve">Southall, E. (2017). Yes, But </w:t>
      </w:r>
      <w:proofErr w:type="gramStart"/>
      <w:r w:rsidRPr="00BD38A6">
        <w:t>Why</w:t>
      </w:r>
      <w:proofErr w:type="gramEnd"/>
      <w:r w:rsidRPr="00BD38A6">
        <w:t>? Teaching for Understanding in Mathematics. United Kingdom: SAGE Publications.</w:t>
      </w:r>
    </w:p>
    <w:p w14:paraId="093C9D61" w14:textId="0950409D" w:rsidR="00E9767E" w:rsidRPr="00BD38A6" w:rsidRDefault="0019313E" w:rsidP="00BD38A6">
      <w:r w:rsidRPr="00BD38A6">
        <w:t>Su, F. E. (2020). Mathematics for Human Flourishing. United Kingdom: Yale University Press.</w:t>
      </w:r>
    </w:p>
    <w:sectPr w:rsidR="00E9767E" w:rsidRPr="00BD38A6"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A2F6" w14:textId="77777777" w:rsidR="00BB59B2" w:rsidRPr="00B43F71" w:rsidRDefault="00BB59B2" w:rsidP="000255B4">
      <w:pPr>
        <w:spacing w:before="0" w:after="0" w:line="240" w:lineRule="auto"/>
      </w:pPr>
      <w:r w:rsidRPr="00B43F71">
        <w:separator/>
      </w:r>
    </w:p>
  </w:endnote>
  <w:endnote w:type="continuationSeparator" w:id="0">
    <w:p w14:paraId="73A80004" w14:textId="77777777" w:rsidR="00BB59B2" w:rsidRPr="00B43F71" w:rsidRDefault="00BB59B2" w:rsidP="000255B4">
      <w:pPr>
        <w:spacing w:before="0" w:after="0" w:line="240" w:lineRule="auto"/>
      </w:pPr>
      <w:r w:rsidRPr="00B43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6C302C05" w:rsidR="000255B4" w:rsidRPr="00B43F71" w:rsidRDefault="002C7CB5" w:rsidP="000255B4">
    <w:pPr>
      <w:pStyle w:val="Footer"/>
      <w:tabs>
        <w:tab w:val="clear" w:pos="4513"/>
        <w:tab w:val="clear" w:pos="9026"/>
        <w:tab w:val="right" w:pos="9498"/>
      </w:tabs>
    </w:pPr>
    <w:r w:rsidRPr="00B43F71">
      <w:t xml:space="preserve">Getting </w:t>
    </w:r>
    <w:r w:rsidR="00B43F71" w:rsidRPr="00B43F71">
      <w:t>h</w:t>
    </w:r>
    <w:r w:rsidRPr="00B43F71">
      <w:t>ands-</w:t>
    </w:r>
    <w:r w:rsidR="00B43F71" w:rsidRPr="00B43F71">
      <w:t>o</w:t>
    </w:r>
    <w:r w:rsidRPr="00B43F71">
      <w:t xml:space="preserve">n in the </w:t>
    </w:r>
    <w:r w:rsidR="00B43F71" w:rsidRPr="00B43F71">
      <w:t>s</w:t>
    </w:r>
    <w:r w:rsidRPr="00B43F71">
      <w:t xml:space="preserve">econdary </w:t>
    </w:r>
    <w:r w:rsidR="00B43F71" w:rsidRPr="00B43F71">
      <w:t>m</w:t>
    </w:r>
    <w:r w:rsidRPr="00B43F71">
      <w:t xml:space="preserve">athematics </w:t>
    </w:r>
    <w:r w:rsidR="00B43F71" w:rsidRPr="00B43F71">
      <w:t>c</w:t>
    </w:r>
    <w:r w:rsidRPr="00B43F71">
      <w:t>lassroom</w:t>
    </w:r>
    <w:r w:rsidR="000255B4" w:rsidRPr="00B43F71">
      <w:tab/>
      <w:t xml:space="preserve">Page </w:t>
    </w:r>
    <w:r w:rsidR="000255B4" w:rsidRPr="00B43F71">
      <w:fldChar w:fldCharType="begin"/>
    </w:r>
    <w:r w:rsidR="000255B4" w:rsidRPr="00B43F71">
      <w:instrText xml:space="preserve"> PAGE  \* Arabic  \* MERGEFORMAT </w:instrText>
    </w:r>
    <w:r w:rsidR="000255B4" w:rsidRPr="00B43F71">
      <w:fldChar w:fldCharType="separate"/>
    </w:r>
    <w:r w:rsidR="004D3AEE" w:rsidRPr="00B43F71">
      <w:t>3</w:t>
    </w:r>
    <w:r w:rsidR="000255B4" w:rsidRPr="00B43F71">
      <w:fldChar w:fldCharType="end"/>
    </w:r>
    <w:r w:rsidR="000255B4" w:rsidRPr="00B43F71">
      <w:t xml:space="preserve"> of </w:t>
    </w:r>
    <w:fldSimple w:instr=" SECTIONPAGES   \* MERGEFORMAT ">
      <w:r w:rsidR="00C80EA9">
        <w:rPr>
          <w:noProof/>
        </w:rP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3CDE" w14:textId="77777777" w:rsidR="00B43F71" w:rsidRPr="00B43F71" w:rsidRDefault="00117296" w:rsidP="00117296">
    <w:pPr>
      <w:pBdr>
        <w:top w:val="single" w:sz="4" w:space="1" w:color="auto"/>
      </w:pBdr>
      <w:spacing w:after="0"/>
      <w:rPr>
        <w:sz w:val="20"/>
        <w:szCs w:val="20"/>
      </w:rPr>
    </w:pPr>
    <w:r w:rsidRPr="00B43F71">
      <w:rPr>
        <w:sz w:val="20"/>
        <w:szCs w:val="20"/>
      </w:rPr>
      <w:t xml:space="preserve">The Premier’s Teacher Scholarships program – an initiative of the NSW Premier’s Department and administered by the NSW Department of Education – provides funding for a five-week study tour to explore best practice in a recipient’s chosen focus area. The program aims to deliver outcomes for recipients, students, teacher colleagues and school communities. </w:t>
    </w:r>
  </w:p>
  <w:p w14:paraId="3DA981C7" w14:textId="7BE39479" w:rsidR="00910707" w:rsidRPr="00B43F71" w:rsidRDefault="00B43F71" w:rsidP="00117296">
    <w:pPr>
      <w:pBdr>
        <w:top w:val="single" w:sz="4" w:space="1" w:color="auto"/>
      </w:pBdr>
      <w:spacing w:after="0"/>
    </w:pPr>
    <w:r w:rsidRPr="00B43F71">
      <w:rPr>
        <w:sz w:val="20"/>
        <w:szCs w:val="20"/>
      </w:rPr>
      <w:t>This report was completed following scholarship study tour activities. It captures the highlights of the many observations and learnings gained, which are to be further shared through future educational opportunities. The report is produced by the author in their capacity as a scholarship recipient and may not represent the views of the NSW government, employing authority or sponsoring organisation.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52AB" w14:textId="77777777" w:rsidR="00BB59B2" w:rsidRPr="00B43F71" w:rsidRDefault="00BB59B2" w:rsidP="000255B4">
      <w:pPr>
        <w:spacing w:before="0" w:after="0" w:line="240" w:lineRule="auto"/>
      </w:pPr>
      <w:r w:rsidRPr="00B43F71">
        <w:separator/>
      </w:r>
    </w:p>
  </w:footnote>
  <w:footnote w:type="continuationSeparator" w:id="0">
    <w:p w14:paraId="7F3956CB" w14:textId="77777777" w:rsidR="00BB59B2" w:rsidRPr="00B43F71" w:rsidRDefault="00BB59B2" w:rsidP="000255B4">
      <w:pPr>
        <w:spacing w:before="0" w:after="0" w:line="240" w:lineRule="auto"/>
      </w:pPr>
      <w:r w:rsidRPr="00B43F7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 w15:restartNumberingAfterBreak="0">
    <w:nsid w:val="3DCE4944"/>
    <w:multiLevelType w:val="hybridMultilevel"/>
    <w:tmpl w:val="FD9A80B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 w15:restartNumberingAfterBreak="0">
    <w:nsid w:val="63395083"/>
    <w:multiLevelType w:val="hybridMultilevel"/>
    <w:tmpl w:val="E8C8F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C5D7760"/>
    <w:multiLevelType w:val="hybridMultilevel"/>
    <w:tmpl w:val="E7DE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88408783">
    <w:abstractNumId w:val="1"/>
  </w:num>
  <w:num w:numId="2" w16cid:durableId="2136360820">
    <w:abstractNumId w:val="0"/>
  </w:num>
  <w:num w:numId="3" w16cid:durableId="1133449058">
    <w:abstractNumId w:val="3"/>
  </w:num>
  <w:num w:numId="4" w16cid:durableId="993800227">
    <w:abstractNumId w:val="4"/>
  </w:num>
  <w:num w:numId="5" w16cid:durableId="41170893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07486"/>
    <w:rsid w:val="0001692E"/>
    <w:rsid w:val="000255B4"/>
    <w:rsid w:val="00032910"/>
    <w:rsid w:val="00035C95"/>
    <w:rsid w:val="00036046"/>
    <w:rsid w:val="00037970"/>
    <w:rsid w:val="00042020"/>
    <w:rsid w:val="000434AB"/>
    <w:rsid w:val="000446C1"/>
    <w:rsid w:val="0005127D"/>
    <w:rsid w:val="000514C5"/>
    <w:rsid w:val="00051AF4"/>
    <w:rsid w:val="000601C6"/>
    <w:rsid w:val="0006340C"/>
    <w:rsid w:val="00066CF7"/>
    <w:rsid w:val="000677AA"/>
    <w:rsid w:val="00084611"/>
    <w:rsid w:val="00084FFB"/>
    <w:rsid w:val="000854BB"/>
    <w:rsid w:val="00086F92"/>
    <w:rsid w:val="00087207"/>
    <w:rsid w:val="00091CB4"/>
    <w:rsid w:val="000941AE"/>
    <w:rsid w:val="000947D2"/>
    <w:rsid w:val="000963CD"/>
    <w:rsid w:val="00096FFB"/>
    <w:rsid w:val="000A07DC"/>
    <w:rsid w:val="000A45A5"/>
    <w:rsid w:val="000B7B2D"/>
    <w:rsid w:val="000C11CD"/>
    <w:rsid w:val="000C18ED"/>
    <w:rsid w:val="000D7F55"/>
    <w:rsid w:val="000E0D9B"/>
    <w:rsid w:val="000E5533"/>
    <w:rsid w:val="000F39EA"/>
    <w:rsid w:val="000F66F9"/>
    <w:rsid w:val="0010146E"/>
    <w:rsid w:val="00104021"/>
    <w:rsid w:val="00107EEC"/>
    <w:rsid w:val="00110CD0"/>
    <w:rsid w:val="001131BD"/>
    <w:rsid w:val="00117296"/>
    <w:rsid w:val="00120B4E"/>
    <w:rsid w:val="00121B77"/>
    <w:rsid w:val="00121E92"/>
    <w:rsid w:val="00124498"/>
    <w:rsid w:val="0012671A"/>
    <w:rsid w:val="00130132"/>
    <w:rsid w:val="001309F5"/>
    <w:rsid w:val="0013248F"/>
    <w:rsid w:val="001352D7"/>
    <w:rsid w:val="00137380"/>
    <w:rsid w:val="001377A8"/>
    <w:rsid w:val="001405B8"/>
    <w:rsid w:val="00152E9A"/>
    <w:rsid w:val="00155404"/>
    <w:rsid w:val="001564C7"/>
    <w:rsid w:val="00157E5B"/>
    <w:rsid w:val="001605E9"/>
    <w:rsid w:val="0016458A"/>
    <w:rsid w:val="00166C8D"/>
    <w:rsid w:val="00172A59"/>
    <w:rsid w:val="00180392"/>
    <w:rsid w:val="001836AB"/>
    <w:rsid w:val="001842CC"/>
    <w:rsid w:val="00191620"/>
    <w:rsid w:val="0019313E"/>
    <w:rsid w:val="00193D98"/>
    <w:rsid w:val="001A4D65"/>
    <w:rsid w:val="001B4C3C"/>
    <w:rsid w:val="001B7C3A"/>
    <w:rsid w:val="001C0A56"/>
    <w:rsid w:val="001C1A56"/>
    <w:rsid w:val="001D0EB7"/>
    <w:rsid w:val="001D3FF0"/>
    <w:rsid w:val="001D6400"/>
    <w:rsid w:val="001E0D3F"/>
    <w:rsid w:val="001E7676"/>
    <w:rsid w:val="001E7DD9"/>
    <w:rsid w:val="00202F17"/>
    <w:rsid w:val="00212094"/>
    <w:rsid w:val="0021650A"/>
    <w:rsid w:val="002338C6"/>
    <w:rsid w:val="00241A0A"/>
    <w:rsid w:val="00250163"/>
    <w:rsid w:val="0025344F"/>
    <w:rsid w:val="002619D0"/>
    <w:rsid w:val="00262BC1"/>
    <w:rsid w:val="00264B31"/>
    <w:rsid w:val="00265B66"/>
    <w:rsid w:val="00275489"/>
    <w:rsid w:val="00277D36"/>
    <w:rsid w:val="00280CE7"/>
    <w:rsid w:val="00283ADF"/>
    <w:rsid w:val="00287B35"/>
    <w:rsid w:val="00294239"/>
    <w:rsid w:val="002A45D2"/>
    <w:rsid w:val="002A5DAC"/>
    <w:rsid w:val="002A744A"/>
    <w:rsid w:val="002B3433"/>
    <w:rsid w:val="002B44FD"/>
    <w:rsid w:val="002B5BB8"/>
    <w:rsid w:val="002B74D8"/>
    <w:rsid w:val="002C78E5"/>
    <w:rsid w:val="002C7CB5"/>
    <w:rsid w:val="002D2FA4"/>
    <w:rsid w:val="002D48F3"/>
    <w:rsid w:val="002D7AA2"/>
    <w:rsid w:val="002E11DC"/>
    <w:rsid w:val="002E38F9"/>
    <w:rsid w:val="002E4F1B"/>
    <w:rsid w:val="002F4BC7"/>
    <w:rsid w:val="002F53C5"/>
    <w:rsid w:val="00300694"/>
    <w:rsid w:val="00304F33"/>
    <w:rsid w:val="0030681B"/>
    <w:rsid w:val="00314117"/>
    <w:rsid w:val="00324F1A"/>
    <w:rsid w:val="00327960"/>
    <w:rsid w:val="00331FE8"/>
    <w:rsid w:val="00332F9E"/>
    <w:rsid w:val="0033545B"/>
    <w:rsid w:val="00347BF8"/>
    <w:rsid w:val="003744F5"/>
    <w:rsid w:val="00376776"/>
    <w:rsid w:val="003774DD"/>
    <w:rsid w:val="00382001"/>
    <w:rsid w:val="00386EA6"/>
    <w:rsid w:val="003957EF"/>
    <w:rsid w:val="003B4862"/>
    <w:rsid w:val="003B6B76"/>
    <w:rsid w:val="003C7528"/>
    <w:rsid w:val="003D1828"/>
    <w:rsid w:val="003D553A"/>
    <w:rsid w:val="003D5EDA"/>
    <w:rsid w:val="003E2601"/>
    <w:rsid w:val="003E2DFE"/>
    <w:rsid w:val="003E2F33"/>
    <w:rsid w:val="003E698E"/>
    <w:rsid w:val="0040108E"/>
    <w:rsid w:val="00420837"/>
    <w:rsid w:val="00427149"/>
    <w:rsid w:val="0043189E"/>
    <w:rsid w:val="0043336A"/>
    <w:rsid w:val="00435689"/>
    <w:rsid w:val="00437492"/>
    <w:rsid w:val="00445825"/>
    <w:rsid w:val="00456011"/>
    <w:rsid w:val="00466D43"/>
    <w:rsid w:val="004670EF"/>
    <w:rsid w:val="0047171D"/>
    <w:rsid w:val="00477517"/>
    <w:rsid w:val="004810E6"/>
    <w:rsid w:val="004A5698"/>
    <w:rsid w:val="004B432E"/>
    <w:rsid w:val="004C103F"/>
    <w:rsid w:val="004C30BC"/>
    <w:rsid w:val="004C385F"/>
    <w:rsid w:val="004D3AEE"/>
    <w:rsid w:val="004D4A5D"/>
    <w:rsid w:val="004E43A5"/>
    <w:rsid w:val="004E735C"/>
    <w:rsid w:val="004F0D38"/>
    <w:rsid w:val="005007E9"/>
    <w:rsid w:val="00501F31"/>
    <w:rsid w:val="00507B1E"/>
    <w:rsid w:val="00507B74"/>
    <w:rsid w:val="005162C5"/>
    <w:rsid w:val="005353E6"/>
    <w:rsid w:val="00536746"/>
    <w:rsid w:val="005417A5"/>
    <w:rsid w:val="005452DC"/>
    <w:rsid w:val="00547CB4"/>
    <w:rsid w:val="00554BFB"/>
    <w:rsid w:val="00554C32"/>
    <w:rsid w:val="005676D1"/>
    <w:rsid w:val="005710B3"/>
    <w:rsid w:val="00576357"/>
    <w:rsid w:val="005776DB"/>
    <w:rsid w:val="00581486"/>
    <w:rsid w:val="005935DB"/>
    <w:rsid w:val="005B473B"/>
    <w:rsid w:val="005B6CDC"/>
    <w:rsid w:val="005C11E5"/>
    <w:rsid w:val="005C3E03"/>
    <w:rsid w:val="005C41B3"/>
    <w:rsid w:val="005D4364"/>
    <w:rsid w:val="005D5CEB"/>
    <w:rsid w:val="005F1495"/>
    <w:rsid w:val="00601321"/>
    <w:rsid w:val="00604C98"/>
    <w:rsid w:val="00605AF1"/>
    <w:rsid w:val="00606F68"/>
    <w:rsid w:val="00613D95"/>
    <w:rsid w:val="00613F64"/>
    <w:rsid w:val="00615037"/>
    <w:rsid w:val="006223ED"/>
    <w:rsid w:val="00636910"/>
    <w:rsid w:val="00641AD6"/>
    <w:rsid w:val="00654EF8"/>
    <w:rsid w:val="0065772E"/>
    <w:rsid w:val="00663C07"/>
    <w:rsid w:val="00666DD2"/>
    <w:rsid w:val="00671416"/>
    <w:rsid w:val="0068464B"/>
    <w:rsid w:val="00687D5F"/>
    <w:rsid w:val="006A584C"/>
    <w:rsid w:val="006A61EC"/>
    <w:rsid w:val="006A673F"/>
    <w:rsid w:val="006B4571"/>
    <w:rsid w:val="006B53BF"/>
    <w:rsid w:val="006C02F2"/>
    <w:rsid w:val="006C41A0"/>
    <w:rsid w:val="006C4E4E"/>
    <w:rsid w:val="006C515F"/>
    <w:rsid w:val="006D061B"/>
    <w:rsid w:val="006D069E"/>
    <w:rsid w:val="006E2817"/>
    <w:rsid w:val="00710E7F"/>
    <w:rsid w:val="00720501"/>
    <w:rsid w:val="00720CAA"/>
    <w:rsid w:val="00720E4A"/>
    <w:rsid w:val="00722857"/>
    <w:rsid w:val="007279F1"/>
    <w:rsid w:val="00727DC5"/>
    <w:rsid w:val="007322F4"/>
    <w:rsid w:val="00742C87"/>
    <w:rsid w:val="00744333"/>
    <w:rsid w:val="00747E6D"/>
    <w:rsid w:val="007719DF"/>
    <w:rsid w:val="007752E6"/>
    <w:rsid w:val="007803C2"/>
    <w:rsid w:val="00790353"/>
    <w:rsid w:val="00794532"/>
    <w:rsid w:val="00794760"/>
    <w:rsid w:val="00794A25"/>
    <w:rsid w:val="007A01FF"/>
    <w:rsid w:val="007A3135"/>
    <w:rsid w:val="007A4A97"/>
    <w:rsid w:val="007B2E20"/>
    <w:rsid w:val="007B411D"/>
    <w:rsid w:val="007D4B9D"/>
    <w:rsid w:val="007D6707"/>
    <w:rsid w:val="007D69C9"/>
    <w:rsid w:val="007E2857"/>
    <w:rsid w:val="007E422F"/>
    <w:rsid w:val="007F1344"/>
    <w:rsid w:val="007F6A84"/>
    <w:rsid w:val="00803578"/>
    <w:rsid w:val="008038B9"/>
    <w:rsid w:val="00814602"/>
    <w:rsid w:val="00814A97"/>
    <w:rsid w:val="00817349"/>
    <w:rsid w:val="0082198A"/>
    <w:rsid w:val="00823B24"/>
    <w:rsid w:val="00825B1F"/>
    <w:rsid w:val="008436D2"/>
    <w:rsid w:val="00843F1C"/>
    <w:rsid w:val="00846856"/>
    <w:rsid w:val="0085012A"/>
    <w:rsid w:val="00853C19"/>
    <w:rsid w:val="008619E2"/>
    <w:rsid w:val="00866A81"/>
    <w:rsid w:val="00870E14"/>
    <w:rsid w:val="008742BC"/>
    <w:rsid w:val="00887423"/>
    <w:rsid w:val="00891E72"/>
    <w:rsid w:val="008974BF"/>
    <w:rsid w:val="008A2147"/>
    <w:rsid w:val="008A2378"/>
    <w:rsid w:val="008A4D38"/>
    <w:rsid w:val="008A75AD"/>
    <w:rsid w:val="008C49EF"/>
    <w:rsid w:val="008C6B8A"/>
    <w:rsid w:val="008D3F75"/>
    <w:rsid w:val="008D5707"/>
    <w:rsid w:val="008E07DD"/>
    <w:rsid w:val="008E5D00"/>
    <w:rsid w:val="008F0A75"/>
    <w:rsid w:val="008F37FD"/>
    <w:rsid w:val="008F5148"/>
    <w:rsid w:val="00902121"/>
    <w:rsid w:val="009038C9"/>
    <w:rsid w:val="00904AAA"/>
    <w:rsid w:val="0090533A"/>
    <w:rsid w:val="00910707"/>
    <w:rsid w:val="00915F4D"/>
    <w:rsid w:val="00921561"/>
    <w:rsid w:val="00926634"/>
    <w:rsid w:val="00930037"/>
    <w:rsid w:val="00936FDE"/>
    <w:rsid w:val="00943538"/>
    <w:rsid w:val="009539A5"/>
    <w:rsid w:val="00954674"/>
    <w:rsid w:val="009730E3"/>
    <w:rsid w:val="0097526B"/>
    <w:rsid w:val="009760EF"/>
    <w:rsid w:val="00983B8C"/>
    <w:rsid w:val="009927FB"/>
    <w:rsid w:val="00996DB7"/>
    <w:rsid w:val="009A6597"/>
    <w:rsid w:val="009A7980"/>
    <w:rsid w:val="009B25EE"/>
    <w:rsid w:val="009B51D0"/>
    <w:rsid w:val="009C5125"/>
    <w:rsid w:val="009C72B4"/>
    <w:rsid w:val="009D0B54"/>
    <w:rsid w:val="009D1893"/>
    <w:rsid w:val="009D7941"/>
    <w:rsid w:val="009E2A39"/>
    <w:rsid w:val="009E3C3C"/>
    <w:rsid w:val="009E51DB"/>
    <w:rsid w:val="009F0210"/>
    <w:rsid w:val="009F3531"/>
    <w:rsid w:val="009F3C9D"/>
    <w:rsid w:val="00A014C0"/>
    <w:rsid w:val="00A208C6"/>
    <w:rsid w:val="00A22CE2"/>
    <w:rsid w:val="00A243FD"/>
    <w:rsid w:val="00A31AE0"/>
    <w:rsid w:val="00A320F2"/>
    <w:rsid w:val="00A32200"/>
    <w:rsid w:val="00A3283D"/>
    <w:rsid w:val="00A41F64"/>
    <w:rsid w:val="00A42759"/>
    <w:rsid w:val="00A47018"/>
    <w:rsid w:val="00A52126"/>
    <w:rsid w:val="00A573A5"/>
    <w:rsid w:val="00A578A7"/>
    <w:rsid w:val="00A6134B"/>
    <w:rsid w:val="00A615E0"/>
    <w:rsid w:val="00A65DCC"/>
    <w:rsid w:val="00A8065C"/>
    <w:rsid w:val="00A81181"/>
    <w:rsid w:val="00A82C69"/>
    <w:rsid w:val="00A84AF5"/>
    <w:rsid w:val="00A94FE7"/>
    <w:rsid w:val="00A95221"/>
    <w:rsid w:val="00A968B8"/>
    <w:rsid w:val="00A97C61"/>
    <w:rsid w:val="00AB47F3"/>
    <w:rsid w:val="00AB7750"/>
    <w:rsid w:val="00AC1780"/>
    <w:rsid w:val="00AE34C0"/>
    <w:rsid w:val="00AF0ACD"/>
    <w:rsid w:val="00AF6A52"/>
    <w:rsid w:val="00B000CD"/>
    <w:rsid w:val="00B02AE5"/>
    <w:rsid w:val="00B03C0D"/>
    <w:rsid w:val="00B12F43"/>
    <w:rsid w:val="00B21EEE"/>
    <w:rsid w:val="00B23F25"/>
    <w:rsid w:val="00B321B1"/>
    <w:rsid w:val="00B33DCA"/>
    <w:rsid w:val="00B43F71"/>
    <w:rsid w:val="00B448D7"/>
    <w:rsid w:val="00B471BE"/>
    <w:rsid w:val="00B472B1"/>
    <w:rsid w:val="00B51997"/>
    <w:rsid w:val="00B5310E"/>
    <w:rsid w:val="00B63016"/>
    <w:rsid w:val="00B64E3D"/>
    <w:rsid w:val="00B80388"/>
    <w:rsid w:val="00B877FC"/>
    <w:rsid w:val="00B9150E"/>
    <w:rsid w:val="00BB0675"/>
    <w:rsid w:val="00BB59B2"/>
    <w:rsid w:val="00BB7BA5"/>
    <w:rsid w:val="00BC1AE9"/>
    <w:rsid w:val="00BD38A6"/>
    <w:rsid w:val="00BE3332"/>
    <w:rsid w:val="00BE7731"/>
    <w:rsid w:val="00BF1F43"/>
    <w:rsid w:val="00BF7FDE"/>
    <w:rsid w:val="00C04403"/>
    <w:rsid w:val="00C138D3"/>
    <w:rsid w:val="00C1486E"/>
    <w:rsid w:val="00C14F45"/>
    <w:rsid w:val="00C23000"/>
    <w:rsid w:val="00C421C5"/>
    <w:rsid w:val="00C461AD"/>
    <w:rsid w:val="00C509F6"/>
    <w:rsid w:val="00C6230E"/>
    <w:rsid w:val="00C63031"/>
    <w:rsid w:val="00C66D31"/>
    <w:rsid w:val="00C7010F"/>
    <w:rsid w:val="00C72CE2"/>
    <w:rsid w:val="00C7509A"/>
    <w:rsid w:val="00C76B6E"/>
    <w:rsid w:val="00C80EA9"/>
    <w:rsid w:val="00C902DF"/>
    <w:rsid w:val="00C92191"/>
    <w:rsid w:val="00C97294"/>
    <w:rsid w:val="00CE4F2C"/>
    <w:rsid w:val="00CF1649"/>
    <w:rsid w:val="00CF648A"/>
    <w:rsid w:val="00D00E27"/>
    <w:rsid w:val="00D0244A"/>
    <w:rsid w:val="00D040DF"/>
    <w:rsid w:val="00D05224"/>
    <w:rsid w:val="00D06751"/>
    <w:rsid w:val="00D06FE8"/>
    <w:rsid w:val="00D14F48"/>
    <w:rsid w:val="00D17434"/>
    <w:rsid w:val="00D17681"/>
    <w:rsid w:val="00D23055"/>
    <w:rsid w:val="00D23F07"/>
    <w:rsid w:val="00D30879"/>
    <w:rsid w:val="00D33C0C"/>
    <w:rsid w:val="00D35ACA"/>
    <w:rsid w:val="00D47151"/>
    <w:rsid w:val="00D54238"/>
    <w:rsid w:val="00D63C18"/>
    <w:rsid w:val="00D65435"/>
    <w:rsid w:val="00D668C1"/>
    <w:rsid w:val="00D72756"/>
    <w:rsid w:val="00D74375"/>
    <w:rsid w:val="00D77381"/>
    <w:rsid w:val="00D82495"/>
    <w:rsid w:val="00D86EB9"/>
    <w:rsid w:val="00DA1EF1"/>
    <w:rsid w:val="00DB0394"/>
    <w:rsid w:val="00DB0A29"/>
    <w:rsid w:val="00DB10EF"/>
    <w:rsid w:val="00DB234A"/>
    <w:rsid w:val="00DB3920"/>
    <w:rsid w:val="00DC4AF3"/>
    <w:rsid w:val="00DC75E5"/>
    <w:rsid w:val="00DD2EEA"/>
    <w:rsid w:val="00DD4BF3"/>
    <w:rsid w:val="00DD57A5"/>
    <w:rsid w:val="00DE0C23"/>
    <w:rsid w:val="00E03C67"/>
    <w:rsid w:val="00E107A5"/>
    <w:rsid w:val="00E14DC7"/>
    <w:rsid w:val="00E176F8"/>
    <w:rsid w:val="00E23D51"/>
    <w:rsid w:val="00E25B0D"/>
    <w:rsid w:val="00E303F0"/>
    <w:rsid w:val="00E33156"/>
    <w:rsid w:val="00E429E8"/>
    <w:rsid w:val="00E501C6"/>
    <w:rsid w:val="00E50648"/>
    <w:rsid w:val="00E50F7B"/>
    <w:rsid w:val="00E51EA8"/>
    <w:rsid w:val="00E568E6"/>
    <w:rsid w:val="00E66A13"/>
    <w:rsid w:val="00E74888"/>
    <w:rsid w:val="00E826F1"/>
    <w:rsid w:val="00E87602"/>
    <w:rsid w:val="00E91C67"/>
    <w:rsid w:val="00E9767E"/>
    <w:rsid w:val="00EA0992"/>
    <w:rsid w:val="00EB0D79"/>
    <w:rsid w:val="00EB50D6"/>
    <w:rsid w:val="00EC0CB6"/>
    <w:rsid w:val="00EC0ED6"/>
    <w:rsid w:val="00EC26CD"/>
    <w:rsid w:val="00EC780E"/>
    <w:rsid w:val="00ED3B04"/>
    <w:rsid w:val="00ED7F3D"/>
    <w:rsid w:val="00EE407E"/>
    <w:rsid w:val="00EF1E73"/>
    <w:rsid w:val="00F07198"/>
    <w:rsid w:val="00F1653C"/>
    <w:rsid w:val="00F26179"/>
    <w:rsid w:val="00F265FF"/>
    <w:rsid w:val="00F32BD1"/>
    <w:rsid w:val="00F36095"/>
    <w:rsid w:val="00F37270"/>
    <w:rsid w:val="00F40DF6"/>
    <w:rsid w:val="00F43DFC"/>
    <w:rsid w:val="00F52EAE"/>
    <w:rsid w:val="00F5300D"/>
    <w:rsid w:val="00F607EB"/>
    <w:rsid w:val="00F63E73"/>
    <w:rsid w:val="00F65681"/>
    <w:rsid w:val="00F6732F"/>
    <w:rsid w:val="00F67405"/>
    <w:rsid w:val="00F802C8"/>
    <w:rsid w:val="00F80DEA"/>
    <w:rsid w:val="00F815C6"/>
    <w:rsid w:val="00F82DFD"/>
    <w:rsid w:val="00F846D7"/>
    <w:rsid w:val="00F863F5"/>
    <w:rsid w:val="00F90670"/>
    <w:rsid w:val="00F9473F"/>
    <w:rsid w:val="00F94966"/>
    <w:rsid w:val="00F95643"/>
    <w:rsid w:val="00FA0111"/>
    <w:rsid w:val="00FA771A"/>
    <w:rsid w:val="00FB15FB"/>
    <w:rsid w:val="00FB1AD0"/>
    <w:rsid w:val="00FB330A"/>
    <w:rsid w:val="00FB5837"/>
    <w:rsid w:val="00FC044B"/>
    <w:rsid w:val="00FC17C8"/>
    <w:rsid w:val="00FC2FA4"/>
    <w:rsid w:val="00FC3042"/>
    <w:rsid w:val="00FD229F"/>
    <w:rsid w:val="00FE655E"/>
    <w:rsid w:val="00FF4730"/>
    <w:rsid w:val="00FF51A3"/>
    <w:rsid w:val="00FF55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1"/>
      </w:numPr>
    </w:pPr>
  </w:style>
  <w:style w:type="numbering" w:customStyle="1" w:styleId="PTSUnorderedListStyle">
    <w:name w:val="PTS Unordered List Style"/>
    <w:uiPriority w:val="99"/>
    <w:rsid w:val="00327960"/>
    <w:pPr>
      <w:numPr>
        <w:numId w:val="2"/>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9038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styleId="UnresolvedMention">
    <w:name w:val="Unresolved Mention"/>
    <w:basedOn w:val="DefaultParagraphFont"/>
    <w:uiPriority w:val="99"/>
    <w:semiHidden/>
    <w:unhideWhenUsed/>
    <w:rsid w:val="000941AE"/>
    <w:rPr>
      <w:color w:val="605E5C"/>
      <w:shd w:val="clear" w:color="auto" w:fill="E1DFDD"/>
    </w:rPr>
  </w:style>
  <w:style w:type="character" w:styleId="Emphasis">
    <w:name w:val="Emphasis"/>
    <w:basedOn w:val="DefaultParagraphFont"/>
    <w:uiPriority w:val="20"/>
    <w:qFormat/>
    <w:rsid w:val="00FA0111"/>
    <w:rPr>
      <w:i/>
      <w:iCs/>
    </w:rPr>
  </w:style>
  <w:style w:type="character" w:customStyle="1" w:styleId="markqfu4c3fo6">
    <w:name w:val="markqfu4c3fo6"/>
    <w:basedOn w:val="DefaultParagraphFont"/>
    <w:rsid w:val="009B25EE"/>
  </w:style>
  <w:style w:type="paragraph" w:styleId="Revision">
    <w:name w:val="Revision"/>
    <w:hidden/>
    <w:uiPriority w:val="99"/>
    <w:semiHidden/>
    <w:rsid w:val="0013248F"/>
    <w:rPr>
      <w:rFonts w:eastAsia="Calibri" w:cs="Calibri"/>
      <w:color w:val="000000"/>
      <w:sz w:val="22"/>
      <w:szCs w:val="24"/>
      <w:lang w:eastAsia="en-US"/>
    </w:rPr>
  </w:style>
  <w:style w:type="character" w:styleId="BookTitle">
    <w:name w:val="Book Title"/>
    <w:basedOn w:val="DefaultParagraphFont"/>
    <w:uiPriority w:val="33"/>
    <w:qFormat/>
    <w:rsid w:val="00B43F71"/>
    <w:rPr>
      <w:b/>
      <w:bCs/>
      <w:i/>
      <w:iCs/>
      <w:spacing w:val="5"/>
    </w:rPr>
  </w:style>
  <w:style w:type="character" w:styleId="CommentReference">
    <w:name w:val="annotation reference"/>
    <w:basedOn w:val="DefaultParagraphFont"/>
    <w:uiPriority w:val="99"/>
    <w:semiHidden/>
    <w:unhideWhenUsed/>
    <w:rsid w:val="005B6CDC"/>
    <w:rPr>
      <w:sz w:val="16"/>
      <w:szCs w:val="16"/>
    </w:rPr>
  </w:style>
  <w:style w:type="paragraph" w:styleId="CommentText">
    <w:name w:val="annotation text"/>
    <w:basedOn w:val="Normal"/>
    <w:link w:val="CommentTextChar"/>
    <w:uiPriority w:val="99"/>
    <w:unhideWhenUsed/>
    <w:rsid w:val="005B6CDC"/>
    <w:pPr>
      <w:spacing w:line="240" w:lineRule="auto"/>
    </w:pPr>
    <w:rPr>
      <w:sz w:val="20"/>
      <w:szCs w:val="20"/>
    </w:rPr>
  </w:style>
  <w:style w:type="character" w:customStyle="1" w:styleId="CommentTextChar">
    <w:name w:val="Comment Text Char"/>
    <w:basedOn w:val="DefaultParagraphFont"/>
    <w:link w:val="CommentText"/>
    <w:uiPriority w:val="99"/>
    <w:rsid w:val="005B6CDC"/>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5B6CDC"/>
    <w:rPr>
      <w:b/>
      <w:bCs/>
    </w:rPr>
  </w:style>
  <w:style w:type="character" w:customStyle="1" w:styleId="CommentSubjectChar">
    <w:name w:val="Comment Subject Char"/>
    <w:basedOn w:val="CommentTextChar"/>
    <w:link w:val="CommentSubject"/>
    <w:uiPriority w:val="99"/>
    <w:semiHidden/>
    <w:rsid w:val="005B6CDC"/>
    <w:rPr>
      <w:rFonts w:eastAsia="Calibri" w:cs="Calibr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3255">
      <w:bodyDiv w:val="1"/>
      <w:marLeft w:val="0"/>
      <w:marRight w:val="0"/>
      <w:marTop w:val="0"/>
      <w:marBottom w:val="0"/>
      <w:divBdr>
        <w:top w:val="none" w:sz="0" w:space="0" w:color="auto"/>
        <w:left w:val="none" w:sz="0" w:space="0" w:color="auto"/>
        <w:bottom w:val="none" w:sz="0" w:space="0" w:color="auto"/>
        <w:right w:val="none" w:sz="0" w:space="0" w:color="auto"/>
      </w:divBdr>
    </w:div>
    <w:div w:id="364334685">
      <w:bodyDiv w:val="1"/>
      <w:marLeft w:val="0"/>
      <w:marRight w:val="0"/>
      <w:marTop w:val="0"/>
      <w:marBottom w:val="0"/>
      <w:divBdr>
        <w:top w:val="none" w:sz="0" w:space="0" w:color="auto"/>
        <w:left w:val="none" w:sz="0" w:space="0" w:color="auto"/>
        <w:bottom w:val="none" w:sz="0" w:space="0" w:color="auto"/>
        <w:right w:val="none" w:sz="0" w:space="0" w:color="auto"/>
      </w:divBdr>
    </w:div>
    <w:div w:id="491214983">
      <w:bodyDiv w:val="1"/>
      <w:marLeft w:val="0"/>
      <w:marRight w:val="0"/>
      <w:marTop w:val="0"/>
      <w:marBottom w:val="0"/>
      <w:divBdr>
        <w:top w:val="none" w:sz="0" w:space="0" w:color="auto"/>
        <w:left w:val="none" w:sz="0" w:space="0" w:color="auto"/>
        <w:bottom w:val="none" w:sz="0" w:space="0" w:color="auto"/>
        <w:right w:val="none" w:sz="0" w:space="0" w:color="auto"/>
      </w:divBdr>
    </w:div>
    <w:div w:id="514611927">
      <w:bodyDiv w:val="1"/>
      <w:marLeft w:val="0"/>
      <w:marRight w:val="0"/>
      <w:marTop w:val="0"/>
      <w:marBottom w:val="0"/>
      <w:divBdr>
        <w:top w:val="none" w:sz="0" w:space="0" w:color="auto"/>
        <w:left w:val="none" w:sz="0" w:space="0" w:color="auto"/>
        <w:bottom w:val="none" w:sz="0" w:space="0" w:color="auto"/>
        <w:right w:val="none" w:sz="0" w:space="0" w:color="auto"/>
      </w:divBdr>
    </w:div>
    <w:div w:id="606889288">
      <w:bodyDiv w:val="1"/>
      <w:marLeft w:val="0"/>
      <w:marRight w:val="0"/>
      <w:marTop w:val="0"/>
      <w:marBottom w:val="0"/>
      <w:divBdr>
        <w:top w:val="none" w:sz="0" w:space="0" w:color="auto"/>
        <w:left w:val="none" w:sz="0" w:space="0" w:color="auto"/>
        <w:bottom w:val="none" w:sz="0" w:space="0" w:color="auto"/>
        <w:right w:val="none" w:sz="0" w:space="0" w:color="auto"/>
      </w:divBdr>
    </w:div>
    <w:div w:id="1072235545">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154104909">
      <w:bodyDiv w:val="1"/>
      <w:marLeft w:val="0"/>
      <w:marRight w:val="0"/>
      <w:marTop w:val="0"/>
      <w:marBottom w:val="0"/>
      <w:divBdr>
        <w:top w:val="none" w:sz="0" w:space="0" w:color="auto"/>
        <w:left w:val="none" w:sz="0" w:space="0" w:color="auto"/>
        <w:bottom w:val="none" w:sz="0" w:space="0" w:color="auto"/>
        <w:right w:val="none" w:sz="0" w:space="0" w:color="auto"/>
      </w:divBdr>
    </w:div>
    <w:div w:id="1182747246">
      <w:bodyDiv w:val="1"/>
      <w:marLeft w:val="0"/>
      <w:marRight w:val="0"/>
      <w:marTop w:val="0"/>
      <w:marBottom w:val="0"/>
      <w:divBdr>
        <w:top w:val="none" w:sz="0" w:space="0" w:color="auto"/>
        <w:left w:val="none" w:sz="0" w:space="0" w:color="auto"/>
        <w:bottom w:val="none" w:sz="0" w:space="0" w:color="auto"/>
        <w:right w:val="none" w:sz="0" w:space="0" w:color="auto"/>
      </w:divBdr>
    </w:div>
    <w:div w:id="1619920198">
      <w:bodyDiv w:val="1"/>
      <w:marLeft w:val="0"/>
      <w:marRight w:val="0"/>
      <w:marTop w:val="0"/>
      <w:marBottom w:val="0"/>
      <w:divBdr>
        <w:top w:val="none" w:sz="0" w:space="0" w:color="auto"/>
        <w:left w:val="none" w:sz="0" w:space="0" w:color="auto"/>
        <w:bottom w:val="none" w:sz="0" w:space="0" w:color="auto"/>
        <w:right w:val="none" w:sz="0" w:space="0" w:color="auto"/>
      </w:divBdr>
    </w:div>
    <w:div w:id="1668367477">
      <w:bodyDiv w:val="1"/>
      <w:marLeft w:val="0"/>
      <w:marRight w:val="0"/>
      <w:marTop w:val="0"/>
      <w:marBottom w:val="0"/>
      <w:divBdr>
        <w:top w:val="none" w:sz="0" w:space="0" w:color="auto"/>
        <w:left w:val="none" w:sz="0" w:space="0" w:color="auto"/>
        <w:bottom w:val="none" w:sz="0" w:space="0" w:color="auto"/>
        <w:right w:val="none" w:sz="0" w:space="0" w:color="auto"/>
      </w:divBdr>
    </w:div>
    <w:div w:id="173408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lay.google.com/store/apps/details?id=com.springmaru.androidGame.leoNineMensMorris&amp;p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urhamcommunityaction.org.uk/assets/media/Multiply---Better-Together-Presentation-June-23.ppt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2.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customXml/itemProps3.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4.xml><?xml version="1.0" encoding="utf-8"?>
<ds:datastoreItem xmlns:ds="http://schemas.openxmlformats.org/officeDocument/2006/customXml" ds:itemID="{92F74E93-9EB7-44C0-9515-E982895F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9</Pages>
  <Words>3333</Words>
  <Characters>20580</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Pauline Cannata</cp:lastModifiedBy>
  <cp:revision>51</cp:revision>
  <cp:lastPrinted>2025-08-24T01:25:00Z</cp:lastPrinted>
  <dcterms:created xsi:type="dcterms:W3CDTF">2025-10-01T22:09:00Z</dcterms:created>
  <dcterms:modified xsi:type="dcterms:W3CDTF">2025-12-09T04:43:00Z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