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BB23E" w14:textId="77777777" w:rsidR="00003A60" w:rsidRDefault="00003A60" w:rsidP="00003A60">
      <w:r w:rsidRPr="009D522F">
        <w:rPr>
          <w:noProof/>
        </w:rPr>
        <w:drawing>
          <wp:inline distT="0" distB="0" distL="0" distR="0" wp14:anchorId="4D4541FA" wp14:editId="7500EB8F">
            <wp:extent cx="659254" cy="662052"/>
            <wp:effectExtent l="0" t="0" r="0" b="0"/>
            <wp:docPr id="1363876893"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6C81D614" w14:textId="77BBDBE7" w:rsidR="00003A60" w:rsidRPr="001450C0" w:rsidRDefault="00003A60" w:rsidP="00003A60">
      <w:pPr>
        <w:pStyle w:val="Pre-Title"/>
        <w:spacing w:after="1320"/>
      </w:pPr>
      <w:r>
        <w:t xml:space="preserve">2025 </w:t>
      </w:r>
      <w:r w:rsidRPr="001450C0">
        <w:t xml:space="preserve">Premier’s </w:t>
      </w:r>
      <w:r>
        <w:t>University of N</w:t>
      </w:r>
      <w:r w:rsidR="00E83632">
        <w:t xml:space="preserve">ew South Wales </w:t>
      </w:r>
      <w:r>
        <w:t xml:space="preserve">Rural and Remote Education </w:t>
      </w:r>
      <w:r w:rsidRPr="001450C0">
        <w:t>Scholarship</w:t>
      </w:r>
    </w:p>
    <w:p w14:paraId="4BFEAA23" w14:textId="204B01BD" w:rsidR="00003A60" w:rsidRPr="00C509F6" w:rsidRDefault="00003A60" w:rsidP="00003A60">
      <w:pPr>
        <w:pStyle w:val="Title"/>
      </w:pPr>
      <w:r>
        <w:t>Beyond the beginning:</w:t>
      </w:r>
    </w:p>
    <w:p w14:paraId="03D1D7B6" w14:textId="17B92354" w:rsidR="00003A60" w:rsidRPr="001450C0" w:rsidRDefault="00003A60" w:rsidP="00003A60">
      <w:pPr>
        <w:pStyle w:val="Subtitle"/>
        <w:rPr>
          <w:rFonts w:eastAsia="Tahoma"/>
        </w:rPr>
      </w:pPr>
      <w:r w:rsidRPr="00003A60">
        <w:rPr>
          <w:rFonts w:eastAsia="Tahoma"/>
        </w:rPr>
        <w:t xml:space="preserve">Advancing mid-career teacher mentorship initiatives in </w:t>
      </w:r>
      <w:r>
        <w:rPr>
          <w:rFonts w:eastAsia="Tahoma"/>
        </w:rPr>
        <w:t>NSW</w:t>
      </w:r>
      <w:r w:rsidRPr="00003A60">
        <w:rPr>
          <w:rFonts w:eastAsia="Tahoma"/>
        </w:rPr>
        <w:t xml:space="preserve"> rural and remote schools as an incentive for teacher retention and growth</w:t>
      </w:r>
    </w:p>
    <w:p w14:paraId="244D102D" w14:textId="655864E2" w:rsidR="00003A60" w:rsidRPr="00943538" w:rsidRDefault="00003A60" w:rsidP="00003A60">
      <w:pPr>
        <w:pStyle w:val="Author"/>
        <w:spacing w:before="1080"/>
      </w:pPr>
      <w:r>
        <w:rPr>
          <w:szCs w:val="28"/>
        </w:rPr>
        <w:t>Danielle Barisa</w:t>
      </w:r>
    </w:p>
    <w:p w14:paraId="3B724485" w14:textId="0AE65AE2" w:rsidR="00003A60" w:rsidRDefault="00003A60" w:rsidP="00003A60">
      <w:pPr>
        <w:spacing w:after="0"/>
      </w:pPr>
      <w:r>
        <w:t>Coonabarabran High School</w:t>
      </w:r>
    </w:p>
    <w:p w14:paraId="29BB88AC" w14:textId="06D3C162" w:rsidR="00003A60" w:rsidRDefault="00003A60" w:rsidP="00003A60">
      <w:pPr>
        <w:pStyle w:val="Sponsor"/>
        <w:spacing w:before="1320"/>
      </w:pPr>
      <w:r w:rsidRPr="001450C0">
        <w:t>Sponsored by</w:t>
      </w:r>
      <w:r w:rsidRPr="00003A60">
        <w:t xml:space="preserve"> </w:t>
      </w:r>
      <w:r>
        <w:t>the University of New South Wales</w:t>
      </w:r>
    </w:p>
    <w:p w14:paraId="1A76E69C" w14:textId="337CC63A" w:rsidR="00003A60" w:rsidRDefault="00D02E3E" w:rsidP="00003A60">
      <w:r>
        <w:rPr>
          <w:noProof/>
        </w:rPr>
        <w:drawing>
          <wp:inline distT="0" distB="0" distL="0" distR="0" wp14:anchorId="54CD6C52" wp14:editId="78C280DE">
            <wp:extent cx="1133954" cy="1182727"/>
            <wp:effectExtent l="0" t="0" r="9525" b="0"/>
            <wp:docPr id="9714514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51498"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133954" cy="1182727"/>
                    </a:xfrm>
                    <a:prstGeom prst="rect">
                      <a:avLst/>
                    </a:prstGeom>
                  </pic:spPr>
                </pic:pic>
              </a:graphicData>
            </a:graphic>
          </wp:inline>
        </w:drawing>
      </w:r>
    </w:p>
    <w:p w14:paraId="5E79A405" w14:textId="28688970" w:rsidR="00003A60" w:rsidRPr="00EC0ED6" w:rsidRDefault="00003A60" w:rsidP="00003A60">
      <w:pPr>
        <w:sectPr w:rsidR="00003A60" w:rsidRPr="00EC0ED6" w:rsidSect="00003A60">
          <w:footerReference w:type="default" r:id="rId13"/>
          <w:footerReference w:type="first" r:id="rId14"/>
          <w:pgSz w:w="11900" w:h="16840" w:code="9"/>
          <w:pgMar w:top="1134" w:right="1134" w:bottom="1134" w:left="1134" w:header="0" w:footer="737" w:gutter="0"/>
          <w:pgNumType w:start="0"/>
          <w:cols w:space="720"/>
          <w:titlePg/>
          <w:docGrid w:linePitch="326"/>
        </w:sectPr>
      </w:pPr>
    </w:p>
    <w:p w14:paraId="7B963A3D" w14:textId="77777777" w:rsidR="00003A60" w:rsidRPr="00003A60" w:rsidRDefault="00003A60" w:rsidP="00003A60">
      <w:pPr>
        <w:pStyle w:val="Heading1"/>
      </w:pPr>
      <w:r w:rsidRPr="00003A60">
        <w:lastRenderedPageBreak/>
        <w:t>Introduction</w:t>
      </w:r>
    </w:p>
    <w:p w14:paraId="13E40FA3" w14:textId="4318EAF0" w:rsidR="00175BAA" w:rsidRDefault="00943D08" w:rsidP="00003A60">
      <w:pPr>
        <w:rPr>
          <w:b/>
        </w:rPr>
      </w:pPr>
      <w:r>
        <w:t>Ensuring high-quality teaching and sustained professional development is vital for equitable outcomes in rural and remote New South Wales. While schools typically provide robust induction support for early-career teachers</w:t>
      </w:r>
      <w:r>
        <w:rPr>
          <w:color w:val="000000"/>
        </w:rPr>
        <w:t>, this assistance often tapers off after two to three years, just as teachers begin to face new questions, evolving responsibilities and complex challenges. These extend from curriculum leadership to community engagement, and teachers risk plateauing in their practice or being consumed by burnout by the seventh year without ongoing guidance. This research therefore examined global trends in teacher quality, career-long mentoring and extending support beyond induction, to determine their relevance for rural NSW schools.</w:t>
      </w:r>
      <w:r>
        <w:t xml:space="preserve"> Recognising that teachers exert the greatest influence on student learning, fostering their sense of belonging, wellbeing and ongoing career development is crucial to retain</w:t>
      </w:r>
      <w:r w:rsidR="006B36BA">
        <w:t>ing</w:t>
      </w:r>
      <w:r>
        <w:t xml:space="preserve"> educators in these communities.</w:t>
      </w:r>
    </w:p>
    <w:p w14:paraId="03B5E920" w14:textId="77777777" w:rsidR="00003A60" w:rsidRDefault="00943D08" w:rsidP="00003A60">
      <w:pPr>
        <w:rPr>
          <w:color w:val="000000"/>
        </w:rPr>
      </w:pPr>
      <w:r>
        <w:t xml:space="preserve">Mid-career teachers, defined here as those in their seventh year or beyond, face a pivotal decision point: </w:t>
      </w:r>
      <w:proofErr w:type="gramStart"/>
      <w:r>
        <w:t>whether or not</w:t>
      </w:r>
      <w:proofErr w:type="gramEnd"/>
      <w:r>
        <w:t xml:space="preserve"> they will commit t</w:t>
      </w:r>
      <w:r>
        <w:rPr>
          <w:color w:val="000000"/>
        </w:rPr>
        <w:t xml:space="preserve">o their profession. Supporting this cohort is especially important in rural settings, where recruitment and retention challenges are acute. Mentoring can bolster wellbeing, enhance pedagogical skills, build leadership capacity and strengthen school culture, thereby encouraging teachers to continue their careers in remote locations. </w:t>
      </w:r>
    </w:p>
    <w:p w14:paraId="2F38A8D2" w14:textId="0F37C203" w:rsidR="00175BAA" w:rsidRDefault="00943D08" w:rsidP="00003A60">
      <w:pPr>
        <w:rPr>
          <w:b/>
        </w:rPr>
      </w:pPr>
      <w:r>
        <w:rPr>
          <w:color w:val="000000"/>
        </w:rPr>
        <w:t>Using a mixed-methods design, the study conducted in-depth interviews with educators and leaders from international schools renowned for comprehensive mentoring frameworks. On-site visits enabled observation of these structures in practice. Mid-career participants shared insights into how sustained mentoring shaped their professional learning trajectories, leadership readiness and, ultimately, student outcomes. Analysis identified core elements of career-long mentoring initiatives and their adaptability to rural NSW, addressing challenges such as geographic isolation and limited resources.</w:t>
      </w:r>
      <w:r w:rsidR="00A830AD">
        <w:rPr>
          <w:color w:val="000000"/>
        </w:rPr>
        <w:t xml:space="preserve"> </w:t>
      </w:r>
      <w:r>
        <w:rPr>
          <w:color w:val="000000"/>
        </w:rPr>
        <w:t xml:space="preserve">The findings underpinned a context-sensitive mentoring framework tailored to remote schools. By embedding this framework in professional development policies, the study offers practical strategies to enhance teacher belonging and wellbeing, support career progression and, in turn, improve teacher retention and </w:t>
      </w:r>
      <w:r>
        <w:t>student achievement in rural NSW.</w:t>
      </w:r>
    </w:p>
    <w:p w14:paraId="2BB15A81" w14:textId="77777777" w:rsidR="00175BAA" w:rsidRDefault="00943D08" w:rsidP="00003A60">
      <w:pPr>
        <w:pStyle w:val="Heading1"/>
      </w:pPr>
      <w:r>
        <w:t>Focus of Study</w:t>
      </w:r>
    </w:p>
    <w:p w14:paraId="4DE9D503" w14:textId="77777777" w:rsidR="00175BAA" w:rsidRDefault="00943D08" w:rsidP="00003A60">
      <w:pPr>
        <w:rPr>
          <w:b/>
          <w:highlight w:val="white"/>
        </w:rPr>
      </w:pPr>
      <w:r>
        <w:rPr>
          <w:highlight w:val="white"/>
        </w:rPr>
        <w:t>The focus of this study was to investigate the role of mentoring in sustaining teacher retention and development in rural NSW schools. It centred on:</w:t>
      </w:r>
    </w:p>
    <w:p w14:paraId="1E9DBF3D" w14:textId="6E0273B2" w:rsidR="00175BAA" w:rsidRPr="00003A60" w:rsidRDefault="00943D08" w:rsidP="00003A60">
      <w:pPr>
        <w:pStyle w:val="ListParagraph"/>
        <w:numPr>
          <w:ilvl w:val="0"/>
          <w:numId w:val="3"/>
        </w:numPr>
        <w:rPr>
          <w:b/>
          <w:highlight w:val="white"/>
        </w:rPr>
      </w:pPr>
      <w:r w:rsidRPr="00003A60">
        <w:rPr>
          <w:highlight w:val="white"/>
        </w:rPr>
        <w:t>Mentoring as a decisive factor in keeping teachers in the profession and in rural settings</w:t>
      </w:r>
      <w:r w:rsidR="00B4425B">
        <w:rPr>
          <w:highlight w:val="white"/>
        </w:rPr>
        <w:t>.</w:t>
      </w:r>
    </w:p>
    <w:p w14:paraId="24BE5743" w14:textId="6F1D7417" w:rsidR="00175BAA" w:rsidRPr="00003A60" w:rsidRDefault="00943D08" w:rsidP="00003A60">
      <w:pPr>
        <w:pStyle w:val="ListParagraph"/>
        <w:numPr>
          <w:ilvl w:val="0"/>
          <w:numId w:val="3"/>
        </w:numPr>
        <w:rPr>
          <w:b/>
          <w:highlight w:val="white"/>
        </w:rPr>
      </w:pPr>
      <w:r w:rsidRPr="00003A60">
        <w:rPr>
          <w:highlight w:val="white"/>
        </w:rPr>
        <w:t>Practical approaches for embedding a culture of mentoring within school communities</w:t>
      </w:r>
      <w:r w:rsidR="00B4425B">
        <w:rPr>
          <w:highlight w:val="white"/>
        </w:rPr>
        <w:t>.</w:t>
      </w:r>
    </w:p>
    <w:p w14:paraId="35265F7C" w14:textId="57FB7D15" w:rsidR="00175BAA" w:rsidRPr="00003A60" w:rsidRDefault="00943D08" w:rsidP="00003A60">
      <w:pPr>
        <w:pStyle w:val="ListParagraph"/>
        <w:numPr>
          <w:ilvl w:val="0"/>
          <w:numId w:val="3"/>
        </w:numPr>
        <w:rPr>
          <w:b/>
          <w:highlight w:val="white"/>
        </w:rPr>
      </w:pPr>
      <w:r w:rsidRPr="00003A60">
        <w:rPr>
          <w:highlight w:val="white"/>
        </w:rPr>
        <w:t>The impact o</w:t>
      </w:r>
      <w:r w:rsidRPr="00003A60">
        <w:rPr>
          <w:color w:val="000000"/>
          <w:highlight w:val="white"/>
        </w:rPr>
        <w:t>f curated,</w:t>
      </w:r>
      <w:r w:rsidRPr="00003A60">
        <w:rPr>
          <w:highlight w:val="white"/>
        </w:rPr>
        <w:t xml:space="preserve"> career-long mentoring on teacher retention, professional growth and wellbeing</w:t>
      </w:r>
      <w:r w:rsidR="00B4425B">
        <w:rPr>
          <w:highlight w:val="white"/>
        </w:rPr>
        <w:t>.</w:t>
      </w:r>
    </w:p>
    <w:p w14:paraId="1C29F017" w14:textId="5B949419" w:rsidR="00175BAA" w:rsidRPr="00003A60" w:rsidRDefault="00943D08" w:rsidP="00003A60">
      <w:pPr>
        <w:pStyle w:val="ListParagraph"/>
        <w:numPr>
          <w:ilvl w:val="0"/>
          <w:numId w:val="3"/>
        </w:numPr>
        <w:rPr>
          <w:b/>
          <w:highlight w:val="white"/>
        </w:rPr>
      </w:pPr>
      <w:r w:rsidRPr="00003A60">
        <w:rPr>
          <w:highlight w:val="white"/>
        </w:rPr>
        <w:t xml:space="preserve">Potential risks and safeguards in mentoring relationships, </w:t>
      </w:r>
      <w:proofErr w:type="gramStart"/>
      <w:r w:rsidRPr="00003A60">
        <w:rPr>
          <w:highlight w:val="white"/>
        </w:rPr>
        <w:t xml:space="preserve">with </w:t>
      </w:r>
      <w:r w:rsidR="003A4A0B" w:rsidRPr="00003A60">
        <w:rPr>
          <w:highlight w:val="white"/>
        </w:rPr>
        <w:t>regard</w:t>
      </w:r>
      <w:r w:rsidRPr="00003A60">
        <w:rPr>
          <w:highlight w:val="white"/>
        </w:rPr>
        <w:t xml:space="preserve"> to</w:t>
      </w:r>
      <w:proofErr w:type="gramEnd"/>
      <w:r w:rsidRPr="00003A60">
        <w:rPr>
          <w:highlight w:val="white"/>
        </w:rPr>
        <w:t xml:space="preserve"> psychological safety and the development of emotional intelligence</w:t>
      </w:r>
      <w:r w:rsidR="00B4425B">
        <w:rPr>
          <w:highlight w:val="white"/>
        </w:rPr>
        <w:t>.</w:t>
      </w:r>
    </w:p>
    <w:p w14:paraId="0FEC663E" w14:textId="3C161D4A" w:rsidR="00175BAA" w:rsidRDefault="00943D08" w:rsidP="00003A60">
      <w:pPr>
        <w:rPr>
          <w:b/>
          <w:highlight w:val="white"/>
        </w:rPr>
      </w:pPr>
      <w:r>
        <w:rPr>
          <w:highlight w:val="white"/>
        </w:rPr>
        <w:t xml:space="preserve">By engaging directly with mid-career educators, school leaders, university academics, and mentoring practitioners, the study sought to </w:t>
      </w:r>
      <w:r w:rsidR="00A830AD">
        <w:rPr>
          <w:highlight w:val="white"/>
        </w:rPr>
        <w:t>distil</w:t>
      </w:r>
      <w:r>
        <w:rPr>
          <w:highlight w:val="white"/>
        </w:rPr>
        <w:t xml:space="preserve"> actionable insights and safeguards that can be adopted by rural and remote NSW schools to strengthen mentoring practices and, ultimately, improve teacher stability and student outcomes.</w:t>
      </w:r>
    </w:p>
    <w:p w14:paraId="7B1B21BA" w14:textId="77777777" w:rsidR="00175BAA" w:rsidRPr="00A830AD" w:rsidRDefault="00943D08" w:rsidP="00A830AD">
      <w:pPr>
        <w:pStyle w:val="Heading1"/>
      </w:pPr>
      <w:r w:rsidRPr="00A830AD">
        <w:lastRenderedPageBreak/>
        <w:t>Significant Learning</w:t>
      </w:r>
    </w:p>
    <w:p w14:paraId="5AE9C82B" w14:textId="77777777" w:rsidR="00175BAA" w:rsidRDefault="00943D08" w:rsidP="00A830AD">
      <w:pPr>
        <w:rPr>
          <w:b/>
          <w:highlight w:val="white"/>
        </w:rPr>
      </w:pPr>
      <w:r>
        <w:rPr>
          <w:highlight w:val="white"/>
        </w:rPr>
        <w:t xml:space="preserve">Mentoring offers an </w:t>
      </w:r>
      <w:r>
        <w:rPr>
          <w:color w:val="000000"/>
          <w:highlight w:val="white"/>
        </w:rPr>
        <w:t>accessible support mechanism for rural teachers who often feel isolated and ungrounded after re</w:t>
      </w:r>
      <w:r>
        <w:rPr>
          <w:highlight w:val="white"/>
        </w:rPr>
        <w:t>locating from metropolitan areas. Many reported that a sense of belonging and connection, fostered through regular mentor contact, was the key factor that made them stay in a rural school. Unlike more resource-intensive interventions, formal, top-down mentoring structures often prove less effective than relationships that grow organically; instead, mentoring remains cost-effective and flexible, requiring no rigid logistical or organisational frameworks. It can be scaled through regional mentor registers or virtual pairings, ensuring that even schools with minimal staff can provide tailored support and strengthen community ties.</w:t>
      </w:r>
    </w:p>
    <w:p w14:paraId="55B0ED2A" w14:textId="4FDE59DE" w:rsidR="00175BAA" w:rsidRPr="00A830AD" w:rsidRDefault="004B1FFD" w:rsidP="00045615">
      <w:pPr>
        <w:pStyle w:val="Quote"/>
        <w:rPr>
          <w:highlight w:val="white"/>
        </w:rPr>
      </w:pPr>
      <w:r>
        <w:rPr>
          <w:highlight w:val="white"/>
        </w:rPr>
        <w:t>‘</w:t>
      </w:r>
      <w:r w:rsidR="00943D08" w:rsidRPr="00A830AD">
        <w:rPr>
          <w:highlight w:val="white"/>
        </w:rPr>
        <w:t>Research has shown that such mentoring can have a range of powerful, positive impacts on mentees, mentors, schools, colleges and education systems; yet, unless appropriate conditions for mentorship are created, mentoring can be ineffectual and even harmful.</w:t>
      </w:r>
      <w:r>
        <w:rPr>
          <w:highlight w:val="white"/>
        </w:rPr>
        <w:t>’</w:t>
      </w:r>
      <w:r w:rsidR="00943D08" w:rsidRPr="00A830AD">
        <w:rPr>
          <w:highlight w:val="white"/>
        </w:rPr>
        <w:t xml:space="preserve"> – Professor Andrew Hobson (2017)</w:t>
      </w:r>
    </w:p>
    <w:p w14:paraId="49E60ECD" w14:textId="67BFA2BA" w:rsidR="00E93842" w:rsidRDefault="00943D08" w:rsidP="00A830AD">
      <w:pPr>
        <w:rPr>
          <w:highlight w:val="white"/>
        </w:rPr>
      </w:pPr>
      <w:r>
        <w:rPr>
          <w:highlight w:val="white"/>
        </w:rPr>
        <w:t>This warning resonates across all career stages and contexts, but is especially pertinent for rural and remote settings, where geographic isolation, resource constraints and professional solitude amplify both the promise and peril</w:t>
      </w:r>
      <w:r w:rsidR="00564666">
        <w:rPr>
          <w:highlight w:val="white"/>
        </w:rPr>
        <w:t>s</w:t>
      </w:r>
      <w:r>
        <w:rPr>
          <w:highlight w:val="white"/>
        </w:rPr>
        <w:t xml:space="preserve"> of mentoring. </w:t>
      </w:r>
    </w:p>
    <w:p w14:paraId="7F875266" w14:textId="54621E50" w:rsidR="00175BAA" w:rsidRDefault="00943D08" w:rsidP="00A830AD">
      <w:r>
        <w:rPr>
          <w:highlight w:val="white"/>
        </w:rPr>
        <w:t xml:space="preserve">The present study distilled ten significant learnings from interviews, site visits, and </w:t>
      </w:r>
      <w:r w:rsidR="00564666">
        <w:rPr>
          <w:highlight w:val="white"/>
        </w:rPr>
        <w:t xml:space="preserve">a </w:t>
      </w:r>
      <w:r>
        <w:rPr>
          <w:highlight w:val="white"/>
        </w:rPr>
        <w:t>literature review. Together, these insights underscore the necessity of thoughtful design, clear role-definition and systemic support for mentoring to thrive and for teachers to remain in the profession beyond seven years, a critical attrition point exacerbated by the unique pressures of disadvantaged regions (Zhang, Nguyen &amp; Pham 2025).</w:t>
      </w:r>
    </w:p>
    <w:p w14:paraId="057113B6" w14:textId="0918B7BF" w:rsidR="00175BAA" w:rsidRPr="00045615" w:rsidRDefault="00045615" w:rsidP="00045615">
      <w:pPr>
        <w:pStyle w:val="Heading2"/>
      </w:pPr>
      <w:r w:rsidRPr="00045615">
        <w:t xml:space="preserve">1. </w:t>
      </w:r>
      <w:r w:rsidR="00943D08" w:rsidRPr="00045615">
        <w:t xml:space="preserve">Distinguishing </w:t>
      </w:r>
      <w:r w:rsidR="00A830AD" w:rsidRPr="00045615">
        <w:t>m</w:t>
      </w:r>
      <w:r w:rsidR="00943D08" w:rsidRPr="00045615">
        <w:t xml:space="preserve">entoring </w:t>
      </w:r>
      <w:r w:rsidR="00A830AD" w:rsidRPr="00045615">
        <w:t>f</w:t>
      </w:r>
      <w:r w:rsidR="00943D08" w:rsidRPr="00045615">
        <w:t xml:space="preserve">rom </w:t>
      </w:r>
      <w:r w:rsidR="00A830AD" w:rsidRPr="00045615">
        <w:t>c</w:t>
      </w:r>
      <w:r w:rsidR="00943D08" w:rsidRPr="00045615">
        <w:t xml:space="preserve">oaching </w:t>
      </w:r>
    </w:p>
    <w:p w14:paraId="5E0DDBF2" w14:textId="6DA8FD8F" w:rsidR="00175BAA" w:rsidRDefault="00943D08" w:rsidP="00A830AD">
      <w:pPr>
        <w:rPr>
          <w:highlight w:val="white"/>
        </w:rPr>
      </w:pPr>
      <w:r>
        <w:rPr>
          <w:highlight w:val="white"/>
        </w:rPr>
        <w:t>A persistent source of confusion lies in conflating mentoring, anchored in long-term holistic support for identity, belonging, and career development, with coaching, which tends to target performance goals. In an interview, Dr Haili Hughes</w:t>
      </w:r>
      <w:r>
        <w:rPr>
          <w:color w:val="FF0000"/>
          <w:highlight w:val="white"/>
        </w:rPr>
        <w:t xml:space="preserve"> </w:t>
      </w:r>
      <w:r>
        <w:rPr>
          <w:highlight w:val="white"/>
        </w:rPr>
        <w:t xml:space="preserve">succinctly characterised mentoring as </w:t>
      </w:r>
      <w:r w:rsidR="00A830AD">
        <w:rPr>
          <w:highlight w:val="white"/>
        </w:rPr>
        <w:t>‘</w:t>
      </w:r>
      <w:r>
        <w:rPr>
          <w:highlight w:val="white"/>
        </w:rPr>
        <w:t>tea and tissues,</w:t>
      </w:r>
      <w:r w:rsidR="00A830AD">
        <w:rPr>
          <w:highlight w:val="white"/>
        </w:rPr>
        <w:t>’</w:t>
      </w:r>
      <w:r>
        <w:rPr>
          <w:highlight w:val="white"/>
        </w:rPr>
        <w:t xml:space="preserve"> emphasising its emotional and psychosocial dimensions. By contrast, coaching is short-term, and aligns with </w:t>
      </w:r>
      <w:proofErr w:type="gramStart"/>
      <w:r>
        <w:rPr>
          <w:highlight w:val="white"/>
        </w:rPr>
        <w:t>goal-setting</w:t>
      </w:r>
      <w:proofErr w:type="gramEnd"/>
      <w:r>
        <w:rPr>
          <w:highlight w:val="white"/>
        </w:rPr>
        <w:t>, feedback loops, and accountability. Larsen et al. (2023) caution that the boundary between growth-oriented mentoring and evaluative accountability can dangerously blur. Schools must articulate clear protocols</w:t>
      </w:r>
      <w:r w:rsidR="00A830AD">
        <w:rPr>
          <w:highlight w:val="white"/>
        </w:rPr>
        <w:t>:</w:t>
      </w:r>
      <w:r>
        <w:rPr>
          <w:highlight w:val="white"/>
        </w:rPr>
        <w:t xml:space="preserve"> mentors do not assess, write performance reviews or influence appraisal outcomes.</w:t>
      </w:r>
    </w:p>
    <w:p w14:paraId="54BBC0E8" w14:textId="77777777" w:rsidR="00175BAA" w:rsidRDefault="00943D08" w:rsidP="00A830AD">
      <w:pPr>
        <w:rPr>
          <w:highlight w:val="white"/>
        </w:rPr>
      </w:pPr>
      <w:r>
        <w:rPr>
          <w:highlight w:val="white"/>
        </w:rPr>
        <w:t>Further, in mentoring, short-term pairings yield fleeti</w:t>
      </w:r>
      <w:r>
        <w:rPr>
          <w:color w:val="000000"/>
          <w:highlight w:val="white"/>
        </w:rPr>
        <w:t xml:space="preserve">ng insights, whereas sustained relationships cultivate trust, self-awareness and incremental skill acquisition. Mid-career teachers both in rural NSW and international contexts emphasised that mentor turnover, driven by administrative reshuffles or mentor burnout, undermines progress and fosters cynicism. </w:t>
      </w:r>
    </w:p>
    <w:p w14:paraId="41E476FF" w14:textId="1BDFA44B" w:rsidR="00175BAA" w:rsidRPr="00003A60" w:rsidRDefault="00045615" w:rsidP="00A830AD">
      <w:pPr>
        <w:pStyle w:val="Heading2"/>
      </w:pPr>
      <w:r>
        <w:t xml:space="preserve">2. </w:t>
      </w:r>
      <w:r w:rsidR="00943D08" w:rsidRPr="00003A60">
        <w:t xml:space="preserve">What </w:t>
      </w:r>
      <w:r>
        <w:t>m</w:t>
      </w:r>
      <w:r w:rsidR="00943D08" w:rsidRPr="00003A60">
        <w:t xml:space="preserve">akes a </w:t>
      </w:r>
      <w:r>
        <w:t>g</w:t>
      </w:r>
      <w:r w:rsidR="00943D08" w:rsidRPr="00003A60">
        <w:t xml:space="preserve">ood </w:t>
      </w:r>
      <w:r>
        <w:t>m</w:t>
      </w:r>
      <w:r w:rsidR="00943D08" w:rsidRPr="00003A60">
        <w:t>entor?</w:t>
      </w:r>
    </w:p>
    <w:p w14:paraId="74B5F1FF" w14:textId="77777777" w:rsidR="00175BAA" w:rsidRDefault="00943D08" w:rsidP="00A830AD">
      <w:r>
        <w:rPr>
          <w:color w:val="000000"/>
        </w:rPr>
        <w:t>A good mentor embodies the soft skills that underpi</w:t>
      </w:r>
      <w:r>
        <w:t xml:space="preserve">n effective, reflective, calm and happy teaching, and schools must therefore invest in developing these capacities in potential mentors. Central to this is psychological safety. </w:t>
      </w:r>
    </w:p>
    <w:p w14:paraId="0311A9EB" w14:textId="08CF7A27" w:rsidR="00175BAA" w:rsidRDefault="004B1FFD" w:rsidP="00045615">
      <w:pPr>
        <w:pStyle w:val="Quote"/>
      </w:pPr>
      <w:r>
        <w:t>‘</w:t>
      </w:r>
      <w:r w:rsidR="00943D08">
        <w:t>Once you create a safe space, then transformation is possible.</w:t>
      </w:r>
      <w:r>
        <w:t>’</w:t>
      </w:r>
      <w:r w:rsidR="00943D08">
        <w:t xml:space="preserve"> - Liana Pirovino, Zurich University</w:t>
      </w:r>
    </w:p>
    <w:p w14:paraId="57B04D99" w14:textId="77777777" w:rsidR="00175BAA" w:rsidRDefault="00943D08" w:rsidP="00A830AD">
      <w:r>
        <w:lastRenderedPageBreak/>
        <w:t>Together with relational trust and empathy, psychological safety enables honest dialogue and risk-taking. Clear communication skills and visible presence reinforce that mentors are approachable and consistent, while healthy boundaries prevent role overload and maintain professional integrity. Effective mentors must resist cloning their mentees, instead adapting to diverse needs by tailoring guidance accordingly. Their availability and ste</w:t>
      </w:r>
      <w:r>
        <w:rPr>
          <w:color w:val="000000"/>
        </w:rPr>
        <w:t>adiness fosters continuity, directly correlating with stronger classroom practice and improved student outcomes. By cultivating these attributes, schools not only bolster the impact of the mentor role but also model the emotional intelligence vital for teaching excellence.</w:t>
      </w:r>
    </w:p>
    <w:p w14:paraId="219DCD63" w14:textId="02C3D697" w:rsidR="00175BAA" w:rsidRDefault="004B1FFD" w:rsidP="00045615">
      <w:pPr>
        <w:pStyle w:val="Quote"/>
      </w:pPr>
      <w:r>
        <w:t>‘</w:t>
      </w:r>
      <w:r w:rsidR="00943D08">
        <w:t>A bad day does not mean a bad teacher.</w:t>
      </w:r>
      <w:r>
        <w:t>’</w:t>
      </w:r>
      <w:r w:rsidR="00943D08">
        <w:t xml:space="preserve"> </w:t>
      </w:r>
      <w:r w:rsidR="00045615">
        <w:t xml:space="preserve">– </w:t>
      </w:r>
      <w:r w:rsidR="00943D08">
        <w:t>Dr Nigel Brown, Headmaster English College Prague</w:t>
      </w:r>
    </w:p>
    <w:p w14:paraId="3DDD2189" w14:textId="25B754C7" w:rsidR="00175BAA" w:rsidRDefault="00943D08" w:rsidP="00A830AD">
      <w:pPr>
        <w:rPr>
          <w:color w:val="FF0000"/>
          <w:highlight w:val="white"/>
        </w:rPr>
      </w:pPr>
      <w:r>
        <w:rPr>
          <w:highlight w:val="white"/>
        </w:rPr>
        <w:t xml:space="preserve">Mentoring involves vulnerability; mentors must face the challenge of navigating sensitive emotional terrain without overstepping. Schools should adopt the principle that </w:t>
      </w:r>
      <w:r w:rsidR="004B1FFD">
        <w:rPr>
          <w:highlight w:val="white"/>
        </w:rPr>
        <w:t>‘</w:t>
      </w:r>
      <w:r>
        <w:rPr>
          <w:highlight w:val="white"/>
        </w:rPr>
        <w:t>a bad day does not mean a bad teac</w:t>
      </w:r>
      <w:r>
        <w:rPr>
          <w:color w:val="000000"/>
          <w:highlight w:val="white"/>
        </w:rPr>
        <w:t>her</w:t>
      </w:r>
      <w:r w:rsidR="004B1FFD">
        <w:rPr>
          <w:color w:val="000000"/>
          <w:highlight w:val="white"/>
        </w:rPr>
        <w:t>’</w:t>
      </w:r>
      <w:r>
        <w:rPr>
          <w:color w:val="000000"/>
          <w:highlight w:val="white"/>
        </w:rPr>
        <w:t>, embedding this refrain across staff briefings and peer-support circles. In rural contexts, the risk of familiarity undermines colleague confidentiality and presents unique contexts whereby professional and social circles may overlap with stakeholders. As such, many teachers remain r</w:t>
      </w:r>
      <w:r>
        <w:rPr>
          <w:highlight w:val="white"/>
        </w:rPr>
        <w:t>eluctant to show vulnerability unless absolute trust has been earned.</w:t>
      </w:r>
    </w:p>
    <w:p w14:paraId="675C650D" w14:textId="623DDBAC" w:rsidR="00175BAA" w:rsidRPr="00204F24" w:rsidRDefault="00045615" w:rsidP="00A830AD">
      <w:pPr>
        <w:pStyle w:val="Heading2"/>
      </w:pPr>
      <w:r>
        <w:t xml:space="preserve">3. </w:t>
      </w:r>
      <w:r w:rsidR="00943D08" w:rsidRPr="00204F24">
        <w:t xml:space="preserve">The </w:t>
      </w:r>
      <w:r>
        <w:t>p</w:t>
      </w:r>
      <w:r w:rsidR="00943D08" w:rsidRPr="00204F24">
        <w:t xml:space="preserve">ower of </w:t>
      </w:r>
      <w:r>
        <w:t>m</w:t>
      </w:r>
      <w:r w:rsidR="00943D08" w:rsidRPr="00204F24">
        <w:t xml:space="preserve">ultiple </w:t>
      </w:r>
      <w:r>
        <w:t>m</w:t>
      </w:r>
      <w:r w:rsidR="00943D08" w:rsidRPr="00204F24">
        <w:t>entors</w:t>
      </w:r>
    </w:p>
    <w:p w14:paraId="5E9D8D38" w14:textId="3D639525" w:rsidR="00175BAA" w:rsidRDefault="00943D08" w:rsidP="00A830AD">
      <w:pPr>
        <w:rPr>
          <w:highlight w:val="white"/>
        </w:rPr>
      </w:pPr>
      <w:r>
        <w:rPr>
          <w:highlight w:val="white"/>
        </w:rPr>
        <w:t>Time constraints emerged as a universal barrier to effective mentoring, as both mentors and mentees struggle to allocate sustained engagement amid competing demands. Adopting a multi-mentor model eases this load by distributing responsibilities across specialised roles</w:t>
      </w:r>
      <w:r w:rsidR="0022725D">
        <w:rPr>
          <w:highlight w:val="white"/>
        </w:rPr>
        <w:t>.</w:t>
      </w:r>
      <w:r>
        <w:rPr>
          <w:highlight w:val="white"/>
        </w:rPr>
        <w:t xml:space="preserve"> </w:t>
      </w:r>
      <w:r w:rsidR="0022725D">
        <w:rPr>
          <w:highlight w:val="white"/>
        </w:rPr>
        <w:t>F</w:t>
      </w:r>
      <w:r>
        <w:rPr>
          <w:highlight w:val="white"/>
        </w:rPr>
        <w:t xml:space="preserve">or example, at Prague International School, pairing a </w:t>
      </w:r>
      <w:r w:rsidR="004B1FFD">
        <w:rPr>
          <w:highlight w:val="white"/>
        </w:rPr>
        <w:t>‘</w:t>
      </w:r>
      <w:r>
        <w:rPr>
          <w:highlight w:val="white"/>
        </w:rPr>
        <w:t>social mentor</w:t>
      </w:r>
      <w:r w:rsidR="004B1FFD">
        <w:rPr>
          <w:highlight w:val="white"/>
        </w:rPr>
        <w:t>’</w:t>
      </w:r>
      <w:r>
        <w:rPr>
          <w:highlight w:val="white"/>
        </w:rPr>
        <w:t xml:space="preserve"> to foster collegial integration and emotional support with a pedagogical mentor to provide classroom strategy guidance</w:t>
      </w:r>
      <w:r w:rsidR="003D6930">
        <w:rPr>
          <w:highlight w:val="white"/>
        </w:rPr>
        <w:t xml:space="preserve"> has </w:t>
      </w:r>
      <w:r w:rsidR="00F74603">
        <w:rPr>
          <w:highlight w:val="white"/>
        </w:rPr>
        <w:t>proven effective</w:t>
      </w:r>
      <w:r>
        <w:rPr>
          <w:highlight w:val="white"/>
        </w:rPr>
        <w:t>. This approach not only broadens the support network and mitigates mismatch risk but also accommodates the multifaceted and fast-paced nature of contemporary teaching.</w:t>
      </w:r>
    </w:p>
    <w:p w14:paraId="5D3F93F4" w14:textId="07D55833" w:rsidR="00175BAA" w:rsidRDefault="00943D08" w:rsidP="00A830AD">
      <w:pPr>
        <w:rPr>
          <w:highlight w:val="white"/>
        </w:rPr>
      </w:pPr>
      <w:r>
        <w:rPr>
          <w:highlight w:val="white"/>
        </w:rPr>
        <w:t xml:space="preserve">Further, multiple mentors then </w:t>
      </w:r>
      <w:r w:rsidR="00A830AD">
        <w:rPr>
          <w:highlight w:val="white"/>
        </w:rPr>
        <w:t>mitigate</w:t>
      </w:r>
      <w:r>
        <w:rPr>
          <w:highlight w:val="white"/>
        </w:rPr>
        <w:t xml:space="preserve"> the strain of </w:t>
      </w:r>
      <w:r w:rsidR="00E33FD5">
        <w:rPr>
          <w:highlight w:val="white"/>
        </w:rPr>
        <w:t>‘</w:t>
      </w:r>
      <w:r>
        <w:rPr>
          <w:highlight w:val="white"/>
        </w:rPr>
        <w:t xml:space="preserve">wearing many </w:t>
      </w:r>
      <w:proofErr w:type="gramStart"/>
      <w:r w:rsidR="00E33FD5">
        <w:rPr>
          <w:highlight w:val="white"/>
        </w:rPr>
        <w:t>hats’</w:t>
      </w:r>
      <w:proofErr w:type="gramEnd"/>
      <w:r>
        <w:rPr>
          <w:highlight w:val="white"/>
        </w:rPr>
        <w:t xml:space="preserve">. During interviews, Dr Anna Locher and Dr Daniel Rosen highlighted the cognitive and emotional dissonance mentors endure when balancing pastoral care, instructional planning, leadership duties, and personal life. Many mentors described their role as a juggling act. To prevent mentor attrition, training must include boundary-setting, self-care strategies, and development of support networks. </w:t>
      </w:r>
    </w:p>
    <w:p w14:paraId="6B1BE615" w14:textId="7D801DBE" w:rsidR="00175BAA" w:rsidRPr="00204F24" w:rsidRDefault="00045615" w:rsidP="00A830AD">
      <w:pPr>
        <w:pStyle w:val="Heading2"/>
      </w:pPr>
      <w:r>
        <w:t xml:space="preserve">4. </w:t>
      </w:r>
      <w:r w:rsidR="00943D08" w:rsidRPr="00204F24">
        <w:t xml:space="preserve">Cultivating </w:t>
      </w:r>
      <w:r>
        <w:t>m</w:t>
      </w:r>
      <w:r w:rsidR="00943D08" w:rsidRPr="00204F24">
        <w:t xml:space="preserve">entor </w:t>
      </w:r>
      <w:r>
        <w:t>c</w:t>
      </w:r>
      <w:r w:rsidR="00943D08" w:rsidRPr="00204F24">
        <w:t>apacity</w:t>
      </w:r>
    </w:p>
    <w:p w14:paraId="2856A9CB" w14:textId="77777777" w:rsidR="00175BAA" w:rsidRDefault="00943D08" w:rsidP="00A830AD">
      <w:pPr>
        <w:rPr>
          <w:highlight w:val="white"/>
        </w:rPr>
      </w:pPr>
      <w:r>
        <w:rPr>
          <w:highlight w:val="white"/>
        </w:rPr>
        <w:t xml:space="preserve">Encouraging mentees to take on mentor roles, whether for pre-service teachers, support staff or community volunteers, transforms recipients into agents of their own learning. Several mid-career educators who initially resisted mentorship found that guiding others sharpened their reflective practice, bolstered self-efficacy and reaffirmed professional identity. Reciprocal mentoring also diffuses responsibility for teacher development across the staff, mitigating mentor workload and embedding a culture of collective growth. </w:t>
      </w:r>
    </w:p>
    <w:p w14:paraId="1FBC9575" w14:textId="4EAB2EA5" w:rsidR="00175BAA" w:rsidRDefault="00943D08" w:rsidP="00A830AD">
      <w:pPr>
        <w:rPr>
          <w:highlight w:val="white"/>
        </w:rPr>
      </w:pPr>
      <w:r>
        <w:rPr>
          <w:highlight w:val="white"/>
        </w:rPr>
        <w:t xml:space="preserve">However, </w:t>
      </w:r>
      <w:r w:rsidR="003448E1">
        <w:rPr>
          <w:highlight w:val="white"/>
        </w:rPr>
        <w:t xml:space="preserve">as Tony Emmerson, Deputy Principal of The English College Prague (ECP) reminds </w:t>
      </w:r>
      <w:r w:rsidR="005F5BD2">
        <w:rPr>
          <w:highlight w:val="white"/>
        </w:rPr>
        <w:t>us,</w:t>
      </w:r>
      <w:r w:rsidR="003448E1">
        <w:rPr>
          <w:highlight w:val="white"/>
        </w:rPr>
        <w:t xml:space="preserve"> </w:t>
      </w:r>
      <w:r w:rsidR="00A830AD">
        <w:rPr>
          <w:highlight w:val="white"/>
        </w:rPr>
        <w:t>‘</w:t>
      </w:r>
      <w:r w:rsidR="003338B0">
        <w:rPr>
          <w:highlight w:val="white"/>
        </w:rPr>
        <w:t>j</w:t>
      </w:r>
      <w:r>
        <w:rPr>
          <w:highlight w:val="white"/>
        </w:rPr>
        <w:t>ust because you are a good teacher</w:t>
      </w:r>
      <w:r w:rsidR="005F5BD2">
        <w:rPr>
          <w:highlight w:val="white"/>
        </w:rPr>
        <w:t>, it</w:t>
      </w:r>
      <w:r>
        <w:rPr>
          <w:highlight w:val="white"/>
        </w:rPr>
        <w:t xml:space="preserve"> doesn’t mean you are a good mentor</w:t>
      </w:r>
      <w:r w:rsidR="005F5BD2">
        <w:rPr>
          <w:highlight w:val="white"/>
        </w:rPr>
        <w:t xml:space="preserve">’. </w:t>
      </w:r>
      <w:r>
        <w:rPr>
          <w:highlight w:val="white"/>
        </w:rPr>
        <w:t>Effective mentors require interpersonal finesse, active listening skills and cultural competence, especially crucial in diverse rural communities where First Nations and low</w:t>
      </w:r>
      <w:r w:rsidR="00A830AD">
        <w:rPr>
          <w:highlight w:val="white"/>
        </w:rPr>
        <w:t xml:space="preserve"> </w:t>
      </w:r>
      <w:r w:rsidR="00A830AD">
        <w:t>s</w:t>
      </w:r>
      <w:r w:rsidR="00A830AD" w:rsidRPr="00A830AD">
        <w:t xml:space="preserve">ocioeconomic </w:t>
      </w:r>
      <w:r w:rsidR="00A830AD">
        <w:t>st</w:t>
      </w:r>
      <w:r w:rsidR="00A830AD" w:rsidRPr="00A830AD">
        <w:t>atus</w:t>
      </w:r>
      <w:r>
        <w:rPr>
          <w:highlight w:val="white"/>
        </w:rPr>
        <w:t xml:space="preserve"> cohorts converge. Selection processes should consider the empathy and reflective capacity of potential mentors.</w:t>
      </w:r>
    </w:p>
    <w:p w14:paraId="20BE72A3" w14:textId="732C82FE" w:rsidR="00175BAA" w:rsidRPr="00204F24" w:rsidRDefault="00045615" w:rsidP="00A830AD">
      <w:pPr>
        <w:pStyle w:val="Heading2"/>
      </w:pPr>
      <w:r>
        <w:lastRenderedPageBreak/>
        <w:t xml:space="preserve">5. </w:t>
      </w:r>
      <w:r w:rsidR="00943D08" w:rsidRPr="00204F24">
        <w:t xml:space="preserve">Building a </w:t>
      </w:r>
      <w:r>
        <w:t>m</w:t>
      </w:r>
      <w:r w:rsidR="00943D08" w:rsidRPr="00204F24">
        <w:t xml:space="preserve">entoring </w:t>
      </w:r>
      <w:r>
        <w:t>c</w:t>
      </w:r>
      <w:r w:rsidR="00943D08" w:rsidRPr="00204F24">
        <w:t>ulture</w:t>
      </w:r>
    </w:p>
    <w:p w14:paraId="4540957B" w14:textId="54C31BB5" w:rsidR="00175BAA" w:rsidRPr="00045615" w:rsidRDefault="004B1FFD" w:rsidP="00045615">
      <w:pPr>
        <w:pStyle w:val="Quote"/>
        <w:rPr>
          <w:highlight w:val="white"/>
        </w:rPr>
      </w:pPr>
      <w:r>
        <w:rPr>
          <w:highlight w:val="white"/>
        </w:rPr>
        <w:t>‘</w:t>
      </w:r>
      <w:r w:rsidR="00943D08" w:rsidRPr="00045615">
        <w:rPr>
          <w:highlight w:val="white"/>
        </w:rPr>
        <w:t>Schools must be imbued with a culture of mentoring.</w:t>
      </w:r>
      <w:r>
        <w:rPr>
          <w:highlight w:val="white"/>
        </w:rPr>
        <w:t>’</w:t>
      </w:r>
      <w:r w:rsidR="00943D08" w:rsidRPr="00045615">
        <w:rPr>
          <w:highlight w:val="white"/>
        </w:rPr>
        <w:t xml:space="preserve"> </w:t>
      </w:r>
      <w:r w:rsidR="00045615">
        <w:rPr>
          <w:highlight w:val="white"/>
        </w:rPr>
        <w:t xml:space="preserve">– </w:t>
      </w:r>
      <w:r w:rsidR="00943D08" w:rsidRPr="00045615">
        <w:rPr>
          <w:highlight w:val="white"/>
        </w:rPr>
        <w:t>Associate Professor Hoa Nguyen, University of New South Wales</w:t>
      </w:r>
    </w:p>
    <w:p w14:paraId="59B36759" w14:textId="46B7E597" w:rsidR="00175BAA" w:rsidRDefault="00943D08" w:rsidP="00045615">
      <w:pPr>
        <w:rPr>
          <w:highlight w:val="white"/>
        </w:rPr>
      </w:pPr>
      <w:r>
        <w:rPr>
          <w:highlight w:val="white"/>
        </w:rPr>
        <w:t>Mentoring must be visible, valued, and woven into every facet of school life</w:t>
      </w:r>
      <w:r w:rsidR="00045615">
        <w:rPr>
          <w:highlight w:val="white"/>
        </w:rPr>
        <w:t xml:space="preserve"> – </w:t>
      </w:r>
      <w:r>
        <w:rPr>
          <w:highlight w:val="white"/>
        </w:rPr>
        <w:t>from induction checklists to leadership communications. Integrating mentoring into staff meetings, professional development days, and performance conversations normalises it as a professional right and expectation. Leadership modelling, where principals and senior executives openly share their own mentor-mentee experiences, signals that mentoring transcends rank.</w:t>
      </w:r>
    </w:p>
    <w:p w14:paraId="5290AF1A" w14:textId="77777777" w:rsidR="00175BAA" w:rsidRDefault="00943D08" w:rsidP="00045615">
      <w:pPr>
        <w:rPr>
          <w:highlight w:val="white"/>
        </w:rPr>
      </w:pPr>
      <w:r>
        <w:rPr>
          <w:highlight w:val="white"/>
        </w:rPr>
        <w:t>Equally, mentoring must be mutually rewarding. Across both rural and international contexts, despite no financial incentive, mentors consistently cited enhanced self-efficacy, increased job satisfaction, and the intrinsic reward of contributing to another’s professional journey as career highlights. By ensuring that both mentees and mentors derive clear value from the relationship, schools can build a sustainable mentoring culture that endures well beyond induction for the benefit of their school communities.</w:t>
      </w:r>
    </w:p>
    <w:p w14:paraId="139A5642" w14:textId="1DA34316" w:rsidR="00175BAA" w:rsidRPr="00204F24" w:rsidRDefault="00045615" w:rsidP="00045615">
      <w:pPr>
        <w:pStyle w:val="Heading2"/>
      </w:pPr>
      <w:r>
        <w:t xml:space="preserve">6. </w:t>
      </w:r>
      <w:r w:rsidR="00943D08" w:rsidRPr="00204F24">
        <w:t xml:space="preserve">Establish a </w:t>
      </w:r>
      <w:r>
        <w:t>b</w:t>
      </w:r>
      <w:r w:rsidR="00943D08" w:rsidRPr="00204F24">
        <w:t xml:space="preserve">ank of </w:t>
      </w:r>
      <w:r>
        <w:t>m</w:t>
      </w:r>
      <w:r w:rsidR="00943D08" w:rsidRPr="00204F24">
        <w:t>entors</w:t>
      </w:r>
    </w:p>
    <w:p w14:paraId="22EBE557" w14:textId="77777777" w:rsidR="00175BAA" w:rsidRDefault="00943D08" w:rsidP="00045615">
      <w:pPr>
        <w:rPr>
          <w:highlight w:val="white"/>
        </w:rPr>
      </w:pPr>
      <w:r>
        <w:rPr>
          <w:highlight w:val="white"/>
        </w:rPr>
        <w:t>Most educators surveyed, particularly in rural NSW, were unaware of available mentors or how to access them. Establishing a central register, detailing each mentor’s expertise, availability and contact protocol, demystifies the process. While it is true that it is impossible to predict synergy; mentoring relationships must be organic and not forced, yet visibility of options accelerates organic matching. In rural contexts, regional hubs can maintain shared registers across clusters of schools, pooling mentor resources to offset local shortages; this is particularly important because some small schools with perhaps only two or three teachers may fin</w:t>
      </w:r>
      <w:r>
        <w:rPr>
          <w:color w:val="000000"/>
          <w:highlight w:val="white"/>
        </w:rPr>
        <w:t>d that in</w:t>
      </w:r>
      <w:r>
        <w:rPr>
          <w:highlight w:val="white"/>
        </w:rPr>
        <w:t>ternal mentoring relationships compromise psychological safety, making external mentors essential.</w:t>
      </w:r>
    </w:p>
    <w:p w14:paraId="4EC9F965" w14:textId="209F3BDF" w:rsidR="00175BAA" w:rsidRPr="00204F24" w:rsidRDefault="00045615" w:rsidP="00045615">
      <w:pPr>
        <w:pStyle w:val="Heading2"/>
      </w:pPr>
      <w:r>
        <w:t xml:space="preserve">7. </w:t>
      </w:r>
      <w:r w:rsidR="00943D08" w:rsidRPr="00204F24">
        <w:t xml:space="preserve">Needs </w:t>
      </w:r>
      <w:r>
        <w:t>a</w:t>
      </w:r>
      <w:r w:rsidR="00943D08" w:rsidRPr="00204F24">
        <w:t xml:space="preserve">nalysis at the </w:t>
      </w:r>
      <w:r>
        <w:t>s</w:t>
      </w:r>
      <w:r w:rsidRPr="00204F24">
        <w:t>even-year</w:t>
      </w:r>
      <w:r w:rsidR="00943D08" w:rsidRPr="00204F24">
        <w:t xml:space="preserve"> </w:t>
      </w:r>
      <w:r>
        <w:t>m</w:t>
      </w:r>
      <w:r w:rsidR="00943D08" w:rsidRPr="00204F24">
        <w:t>ark</w:t>
      </w:r>
    </w:p>
    <w:p w14:paraId="357179C6" w14:textId="15A8EA9E" w:rsidR="00175BAA" w:rsidRDefault="00943D08" w:rsidP="00045615">
      <w:pPr>
        <w:rPr>
          <w:b/>
          <w:highlight w:val="white"/>
        </w:rPr>
      </w:pPr>
      <w:r>
        <w:rPr>
          <w:highlight w:val="white"/>
        </w:rPr>
        <w:t>Teacher attrition spikes around year seven, when initial idealism collides with systemic realities and subsequent career progression becomes uncertain. In rural NSW, mid-career teachers consistently reported that this milestone often coincides with taking on a new role</w:t>
      </w:r>
      <w:r w:rsidR="00045615">
        <w:rPr>
          <w:highlight w:val="white"/>
        </w:rPr>
        <w:t xml:space="preserve"> – </w:t>
      </w:r>
      <w:r>
        <w:rPr>
          <w:highlight w:val="white"/>
        </w:rPr>
        <w:t>such as Year Advisor, Head Teacher or Sports Coordinator</w:t>
      </w:r>
      <w:r w:rsidR="00045615">
        <w:rPr>
          <w:highlight w:val="white"/>
        </w:rPr>
        <w:t xml:space="preserve"> – </w:t>
      </w:r>
      <w:r>
        <w:rPr>
          <w:highlight w:val="white"/>
        </w:rPr>
        <w:t xml:space="preserve">which they identified as their most significant stressor. A targeted needs analysis of teachers approaching this threshold should therefore surface and </w:t>
      </w:r>
      <w:r>
        <w:rPr>
          <w:color w:val="000000"/>
          <w:highlight w:val="white"/>
        </w:rPr>
        <w:t>explore evolving demands</w:t>
      </w:r>
      <w:r w:rsidR="00045615">
        <w:rPr>
          <w:color w:val="000000"/>
          <w:highlight w:val="white"/>
        </w:rPr>
        <w:t xml:space="preserve"> – </w:t>
      </w:r>
      <w:r>
        <w:rPr>
          <w:color w:val="000000"/>
          <w:highlight w:val="white"/>
        </w:rPr>
        <w:t xml:space="preserve">curriculum overload, leadership aspirations and the challenges </w:t>
      </w:r>
      <w:r>
        <w:rPr>
          <w:highlight w:val="white"/>
        </w:rPr>
        <w:t>of role transition. School leaders must map existing supports (mentoring, coaching, leadership shadowing) and pinpoint gaps. Tailored interventions that pair teachers with mentors experienced in those new roles can provide timely guidance far more effectively than generic programmes.</w:t>
      </w:r>
    </w:p>
    <w:p w14:paraId="5D5971DA" w14:textId="0E480BC8" w:rsidR="00175BAA" w:rsidRDefault="00943D08" w:rsidP="00045615">
      <w:pPr>
        <w:rPr>
          <w:b/>
          <w:highlight w:val="white"/>
        </w:rPr>
      </w:pPr>
      <w:r>
        <w:rPr>
          <w:highlight w:val="white"/>
        </w:rPr>
        <w:t xml:space="preserve">A distinct cohort within this study comprised </w:t>
      </w:r>
      <w:r w:rsidR="0057413A">
        <w:rPr>
          <w:highlight w:val="white"/>
        </w:rPr>
        <w:t xml:space="preserve">of </w:t>
      </w:r>
      <w:r>
        <w:rPr>
          <w:highlight w:val="white"/>
        </w:rPr>
        <w:t xml:space="preserve">women who </w:t>
      </w:r>
      <w:r w:rsidR="0041586A">
        <w:rPr>
          <w:highlight w:val="white"/>
        </w:rPr>
        <w:t xml:space="preserve">had </w:t>
      </w:r>
      <w:r>
        <w:rPr>
          <w:highlight w:val="white"/>
        </w:rPr>
        <w:t xml:space="preserve">returned from maternity leave after five or more years in the classroom, often interspersed with part-time work between children. Despite their tenure, these teachers felt </w:t>
      </w:r>
      <w:r w:rsidR="002D07D6">
        <w:rPr>
          <w:highlight w:val="white"/>
        </w:rPr>
        <w:t>viewed as</w:t>
      </w:r>
      <w:r>
        <w:rPr>
          <w:highlight w:val="white"/>
        </w:rPr>
        <w:t xml:space="preserve"> experts yet found themselves out of step with curriculum changes, school processes, and staffing changes. Uncertain how to seek support and reluctant to appear less competent, they frequently missed out on informal mentoring opportunities. Schools should therefore consider reintegration pathways that include dedicated mentors and phased re-entry plans, ensuring these experienced educators regain confidence, up-to-date knowledge, and re-establish a genuine sense of belonging.</w:t>
      </w:r>
    </w:p>
    <w:p w14:paraId="4B7198A1" w14:textId="4B179369" w:rsidR="00175BAA" w:rsidRPr="00204F24" w:rsidRDefault="00045615" w:rsidP="00045615">
      <w:pPr>
        <w:pStyle w:val="Heading2"/>
      </w:pPr>
      <w:r>
        <w:lastRenderedPageBreak/>
        <w:t xml:space="preserve">8. </w:t>
      </w:r>
      <w:r w:rsidR="00943D08" w:rsidRPr="00204F24">
        <w:t xml:space="preserve">Addressing </w:t>
      </w:r>
      <w:r>
        <w:t>b</w:t>
      </w:r>
      <w:r w:rsidR="00943D08" w:rsidRPr="00204F24">
        <w:t>urnout</w:t>
      </w:r>
    </w:p>
    <w:p w14:paraId="5FF9298F" w14:textId="5BEAE399" w:rsidR="00175BAA" w:rsidRDefault="0016237C" w:rsidP="00045615">
      <w:pPr>
        <w:rPr>
          <w:highlight w:val="white"/>
        </w:rPr>
      </w:pPr>
      <w:bookmarkStart w:id="0" w:name="_o14uyg6xmruu" w:colFirst="0" w:colLast="0"/>
      <w:bookmarkEnd w:id="0"/>
      <w:r w:rsidRPr="0016237C">
        <w:t>According to Zhang, Nguyen, and Pham (2025), teachers in remote and economically disadvantaged areas face unique stressors, including limited access to professional networks, technological deficits, and expanded pastoral roles that extend beyond the classroom.</w:t>
      </w:r>
      <w:r>
        <w:t xml:space="preserve"> </w:t>
      </w:r>
      <w:r w:rsidR="00943D08">
        <w:rPr>
          <w:highlight w:val="white"/>
        </w:rPr>
        <w:t>Mentors must therefore be prepared to offer both professional guidance and emotional support, modelling adaptive coping strategies. Embedding discussions on self-care, boundary-setting and community wellbeing within mentoring sessions normalises these topics and reduces</w:t>
      </w:r>
      <w:r w:rsidR="00943D08">
        <w:rPr>
          <w:color w:val="000000"/>
          <w:highlight w:val="white"/>
        </w:rPr>
        <w:t xml:space="preserve"> the st</w:t>
      </w:r>
      <w:r w:rsidR="00943D08">
        <w:rPr>
          <w:highlight w:val="white"/>
        </w:rPr>
        <w:t>igma around seeking help.</w:t>
      </w:r>
    </w:p>
    <w:p w14:paraId="74BC4151" w14:textId="51604FD8" w:rsidR="00175BAA" w:rsidRPr="00204F24" w:rsidRDefault="00943D08" w:rsidP="00003A60">
      <w:pPr>
        <w:pStyle w:val="Heading3"/>
      </w:pPr>
      <w:r w:rsidRPr="00204F24">
        <w:t xml:space="preserve">9. The </w:t>
      </w:r>
      <w:r w:rsidR="00045615">
        <w:t>l</w:t>
      </w:r>
      <w:r w:rsidRPr="00204F24">
        <w:t xml:space="preserve">asting </w:t>
      </w:r>
      <w:r w:rsidR="00045615">
        <w:t>i</w:t>
      </w:r>
      <w:r w:rsidRPr="00204F24">
        <w:t xml:space="preserve">mpact of </w:t>
      </w:r>
      <w:r w:rsidR="00045615">
        <w:t>p</w:t>
      </w:r>
      <w:r w:rsidRPr="00204F24">
        <w:t xml:space="preserve">revious </w:t>
      </w:r>
      <w:r w:rsidR="00045615">
        <w:t>m</w:t>
      </w:r>
      <w:r w:rsidRPr="00204F24">
        <w:t xml:space="preserve">entoring </w:t>
      </w:r>
      <w:r w:rsidR="00045615">
        <w:t>e</w:t>
      </w:r>
      <w:r w:rsidRPr="00204F24">
        <w:t>xperiences</w:t>
      </w:r>
    </w:p>
    <w:p w14:paraId="7522AF9E" w14:textId="04763D74" w:rsidR="00175BAA" w:rsidRDefault="00943D08" w:rsidP="00045615">
      <w:pPr>
        <w:rPr>
          <w:b/>
          <w:highlight w:val="white"/>
        </w:rPr>
      </w:pPr>
      <w:r>
        <w:rPr>
          <w:highlight w:val="white"/>
        </w:rPr>
        <w:t xml:space="preserve">Although this study focused on mid-career mentoring, </w:t>
      </w:r>
      <w:r w:rsidR="00123D1D">
        <w:rPr>
          <w:highlight w:val="white"/>
        </w:rPr>
        <w:t xml:space="preserve">the </w:t>
      </w:r>
      <w:r>
        <w:rPr>
          <w:highlight w:val="white"/>
        </w:rPr>
        <w:t xml:space="preserve">interviews made it abundantly clear that positive early experiences shape teachers’ willingness to engage with mentorship </w:t>
      </w:r>
      <w:r w:rsidR="0093750C">
        <w:rPr>
          <w:highlight w:val="white"/>
        </w:rPr>
        <w:t>at a later stage</w:t>
      </w:r>
      <w:r>
        <w:rPr>
          <w:highlight w:val="white"/>
        </w:rPr>
        <w:t>. Many effective mentors recounted benefiting from a long-standing mentor earlier in their careers whose guidance in communication, empathy, and reflective practice provided a template they themselves would later emulate. These formative professional relationships instilled both the skills and the confidence to assume mentoring roles themselves.</w:t>
      </w:r>
    </w:p>
    <w:p w14:paraId="4EB82F84" w14:textId="1988DF1E" w:rsidR="00175BAA" w:rsidRDefault="00943D08" w:rsidP="00045615">
      <w:pPr>
        <w:rPr>
          <w:b/>
          <w:highlight w:val="white"/>
        </w:rPr>
      </w:pPr>
      <w:r>
        <w:rPr>
          <w:highlight w:val="white"/>
        </w:rPr>
        <w:t>School leaders should audit induction and early-career mentoring programs. It was clear from interviews with teachers in rural NSW that a negative encounter in the first one or two years often breeds lasting cynicism and reluctance to seek support, whereas a strong initial match can foster a lifelong commitment to both giving and receiving mentorship. By ensuring early mentors are well-trained, well-matched and supported, schools lay the groundwork for a sustainable mentoring culture that endures throughout teachers’ careers.</w:t>
      </w:r>
    </w:p>
    <w:p w14:paraId="0B03C32F" w14:textId="0287C440" w:rsidR="00175BAA" w:rsidRPr="00204F24" w:rsidRDefault="00943D08" w:rsidP="00003A60">
      <w:pPr>
        <w:pStyle w:val="Heading3"/>
      </w:pPr>
      <w:r w:rsidRPr="00204F24">
        <w:t xml:space="preserve">10. Bridging the </w:t>
      </w:r>
      <w:r w:rsidR="00FF3502">
        <w:t>r</w:t>
      </w:r>
      <w:r w:rsidRPr="00204F24">
        <w:t xml:space="preserve">esearch </w:t>
      </w:r>
      <w:r w:rsidR="00FF3502">
        <w:t>g</w:t>
      </w:r>
      <w:r w:rsidRPr="00204F24">
        <w:t xml:space="preserve">ap </w:t>
      </w:r>
    </w:p>
    <w:p w14:paraId="2A638897" w14:textId="17E45034" w:rsidR="00175BAA" w:rsidRDefault="00943D08" w:rsidP="00FF3502">
      <w:pPr>
        <w:rPr>
          <w:b/>
          <w:highlight w:val="white"/>
        </w:rPr>
      </w:pPr>
      <w:r>
        <w:rPr>
          <w:highlight w:val="white"/>
        </w:rPr>
        <w:t xml:space="preserve">Although early-career mentoring is well-researched, there is a clear lack of studies on support for teachers beyond induction, particularly in rural settings that present unique challenges. Few investigations consider the needs of educators </w:t>
      </w:r>
      <w:r w:rsidR="00BB4242">
        <w:rPr>
          <w:highlight w:val="white"/>
        </w:rPr>
        <w:t>with</w:t>
      </w:r>
      <w:r>
        <w:rPr>
          <w:highlight w:val="white"/>
        </w:rPr>
        <w:t xml:space="preserve"> seven to ten</w:t>
      </w:r>
      <w:r w:rsidR="00BB4242">
        <w:rPr>
          <w:highlight w:val="white"/>
        </w:rPr>
        <w:t xml:space="preserve"> years </w:t>
      </w:r>
      <w:r w:rsidR="007D439B">
        <w:rPr>
          <w:highlight w:val="white"/>
        </w:rPr>
        <w:t>o</w:t>
      </w:r>
      <w:r w:rsidR="00BB4242">
        <w:rPr>
          <w:highlight w:val="white"/>
        </w:rPr>
        <w:t>f experience</w:t>
      </w:r>
      <w:r>
        <w:rPr>
          <w:highlight w:val="white"/>
        </w:rPr>
        <w:t xml:space="preserve">, who face new leadership roles, shifting work-life demands, and a risk of stalled growth. This gap makes it difficult for </w:t>
      </w:r>
      <w:r w:rsidR="00FF3502">
        <w:rPr>
          <w:highlight w:val="white"/>
        </w:rPr>
        <w:t>policymakers</w:t>
      </w:r>
      <w:r>
        <w:rPr>
          <w:highlight w:val="white"/>
        </w:rPr>
        <w:t xml:space="preserve"> and school leaders to consider the value of evidence-based mentoring for experienced teachers. Future research should explore mentoring pathways and cross-school partnerships that address the unique challenges of mid-career professionals.</w:t>
      </w:r>
    </w:p>
    <w:p w14:paraId="477BCA45" w14:textId="77777777" w:rsidR="00175BAA" w:rsidRDefault="00943D08" w:rsidP="00FF3502">
      <w:pPr>
        <w:pStyle w:val="Heading1"/>
      </w:pPr>
      <w:bookmarkStart w:id="1" w:name="_jo1d8j7tx93r" w:colFirst="0" w:colLast="0"/>
      <w:bookmarkEnd w:id="1"/>
      <w:r>
        <w:t>Conclusion</w:t>
      </w:r>
    </w:p>
    <w:p w14:paraId="730B827E" w14:textId="002E6BDF" w:rsidR="00175BAA" w:rsidRDefault="004B1FFD" w:rsidP="00FF3502">
      <w:pPr>
        <w:pStyle w:val="Quote"/>
        <w:rPr>
          <w:highlight w:val="white"/>
        </w:rPr>
      </w:pPr>
      <w:r>
        <w:t>‘</w:t>
      </w:r>
      <w:r w:rsidR="00943D08">
        <w:t>The profession is only as strong as the professionals.</w:t>
      </w:r>
      <w:r>
        <w:t>’</w:t>
      </w:r>
      <w:r w:rsidR="00943D08">
        <w:t xml:space="preserve"> Professor Julianne Moss, Deakin University</w:t>
      </w:r>
    </w:p>
    <w:p w14:paraId="1B9A1C47" w14:textId="3DF70CD9" w:rsidR="00175BAA" w:rsidRDefault="00943D08" w:rsidP="00FF3502">
      <w:pPr>
        <w:rPr>
          <w:highlight w:val="white"/>
        </w:rPr>
      </w:pPr>
      <w:r>
        <w:rPr>
          <w:highlight w:val="white"/>
        </w:rPr>
        <w:t xml:space="preserve">As Professor Moss </w:t>
      </w:r>
      <w:r w:rsidR="00CB7146">
        <w:rPr>
          <w:highlight w:val="white"/>
        </w:rPr>
        <w:t>explained</w:t>
      </w:r>
      <w:r>
        <w:rPr>
          <w:highlight w:val="white"/>
        </w:rPr>
        <w:t xml:space="preserve"> in an interview, </w:t>
      </w:r>
      <w:r w:rsidR="00C33F96">
        <w:rPr>
          <w:highlight w:val="white"/>
        </w:rPr>
        <w:t>this</w:t>
      </w:r>
      <w:r>
        <w:rPr>
          <w:highlight w:val="white"/>
        </w:rPr>
        <w:t xml:space="preserve"> underscor</w:t>
      </w:r>
      <w:r w:rsidR="009B0FEF">
        <w:rPr>
          <w:highlight w:val="white"/>
        </w:rPr>
        <w:t>es</w:t>
      </w:r>
      <w:r>
        <w:rPr>
          <w:highlight w:val="white"/>
        </w:rPr>
        <w:t xml:space="preserve"> why context-sensitive mentoring is so vital in rural and remote NSW. The ten learnings outlined above coalesce into a clear set of principles for effective, context-sensitive mentoring in rural and remote NSW. First, mentoring must be carefully distinguished from coaching and appraisal. Clear role definitions are essential: mentors </w:t>
      </w:r>
      <w:r w:rsidR="003B602F">
        <w:rPr>
          <w:highlight w:val="white"/>
        </w:rPr>
        <w:t>should</w:t>
      </w:r>
      <w:r w:rsidR="00432BAD">
        <w:rPr>
          <w:highlight w:val="white"/>
        </w:rPr>
        <w:t xml:space="preserve"> </w:t>
      </w:r>
      <w:r>
        <w:rPr>
          <w:highlight w:val="white"/>
        </w:rPr>
        <w:t>act as trusted guides rather than evaluators, facilitating a psychologically safe environment in which teachers can share challenges without fear of judgement. This boundary preserves relational trust and underpins the emotional support intrinsic to effective mentoring.</w:t>
      </w:r>
    </w:p>
    <w:p w14:paraId="023B970E" w14:textId="77777777" w:rsidR="00175BAA" w:rsidRDefault="00943D08" w:rsidP="00FF3502">
      <w:pPr>
        <w:rPr>
          <w:highlight w:val="white"/>
        </w:rPr>
      </w:pPr>
      <w:r>
        <w:rPr>
          <w:highlight w:val="white"/>
        </w:rPr>
        <w:t xml:space="preserve">Schools must invest in developing mentor competencies. Selection processes should prioritise empathy, cultural competence and communication skills alongside pedagogical expertise, </w:t>
      </w:r>
      <w:r>
        <w:rPr>
          <w:highlight w:val="white"/>
        </w:rPr>
        <w:lastRenderedPageBreak/>
        <w:t>recognising that developing a mentor’s soft skills directly influence both teacher wellbeing and student outcomes. Training programmes ought to include strategies for maintaining healthy boundaries, navigating emotional dissonance and fostering adaptive coping mechanisms, all of which are critical for sustaining mentor engagement over time.</w:t>
      </w:r>
    </w:p>
    <w:p w14:paraId="431E9D99" w14:textId="77777777" w:rsidR="00175BAA" w:rsidRDefault="00943D08" w:rsidP="00FF3502">
      <w:pPr>
        <w:rPr>
          <w:b/>
          <w:highlight w:val="white"/>
        </w:rPr>
      </w:pPr>
      <w:r>
        <w:rPr>
          <w:highlight w:val="white"/>
        </w:rPr>
        <w:t>Mentoring relationships flourish when they grow organically and distribute responsibility across multiple specialists. A bank of mentors eases time pressures by sharing the load and matching support to specific needs. This multi-mentor model accommodates the multifaceted demands of contemporary teaching and mitigates the strain on any single individual.</w:t>
      </w:r>
    </w:p>
    <w:p w14:paraId="0890C231" w14:textId="19C40137" w:rsidR="00175BAA" w:rsidRDefault="00943D08" w:rsidP="00FF3502">
      <w:pPr>
        <w:rPr>
          <w:b/>
          <w:highlight w:val="white"/>
        </w:rPr>
      </w:pPr>
      <w:r>
        <w:rPr>
          <w:highlight w:val="white"/>
        </w:rPr>
        <w:t xml:space="preserve">For mentoring to effectively develop and retain teachers, embedding mentoring visibly into school culture should be </w:t>
      </w:r>
      <w:r w:rsidR="00AD3DA8">
        <w:rPr>
          <w:highlight w:val="white"/>
        </w:rPr>
        <w:t>non-negotiable</w:t>
      </w:r>
      <w:r>
        <w:rPr>
          <w:highlight w:val="white"/>
        </w:rPr>
        <w:t xml:space="preserve">. Leaders should frequently model mentor-mentee relationships, integrate mentoring into staff meetings and professional learning days, and conduct regular needs analyses at pivotal career junctures. </w:t>
      </w:r>
    </w:p>
    <w:p w14:paraId="3476807B" w14:textId="77777777" w:rsidR="00175BAA" w:rsidRDefault="00943D08" w:rsidP="00FF3502">
      <w:pPr>
        <w:rPr>
          <w:b/>
          <w:highlight w:val="white"/>
        </w:rPr>
      </w:pPr>
      <w:r>
        <w:rPr>
          <w:highlight w:val="white"/>
        </w:rPr>
        <w:t>Mentoring must be accessible and flexible. In small schools, internal mentoring can risk breaches of confidentiality. To address this, regional hubs and virtual pairings enable teachers to connect with external experts. These innovative approaches could strengthen community ties without imposing onerous logistical demands. This scalability makes mentoring a cost-effective alternative to resource-heavy interventions.</w:t>
      </w:r>
    </w:p>
    <w:p w14:paraId="412BCEBE" w14:textId="77777777" w:rsidR="00175BAA" w:rsidRDefault="00943D08" w:rsidP="00FF3502">
      <w:pPr>
        <w:rPr>
          <w:b/>
          <w:highlight w:val="white"/>
        </w:rPr>
      </w:pPr>
      <w:bookmarkStart w:id="2" w:name="_4n5nxi83d2xk" w:colFirst="0" w:colLast="0"/>
      <w:bookmarkEnd w:id="2"/>
      <w:r>
        <w:rPr>
          <w:highlight w:val="white"/>
        </w:rPr>
        <w:t>Further, acknowledging mutual benefits sustains the programme. Schools are inherently relationship-driven and relationship-based, and effective mentoring exemplifies the quality connections at the heart of educational work. Mentors derive increased self-efficacy, job satisfaction, and intrinsic reward from contributing to another’s growth; model relationships that teachers can then echo with students in their own classrooms. Recognising these gains through informal acknowledgement or leadership pathways helps maintain mentor motivation and reinforces the relational culture schools aim to foster.</w:t>
      </w:r>
    </w:p>
    <w:p w14:paraId="48A7239E" w14:textId="77777777" w:rsidR="00175BAA" w:rsidRDefault="00943D08" w:rsidP="00FF3502">
      <w:pPr>
        <w:rPr>
          <w:highlight w:val="white"/>
        </w:rPr>
      </w:pPr>
      <w:bookmarkStart w:id="3" w:name="_f5f2m65n9bqc" w:colFirst="0" w:colLast="0"/>
      <w:bookmarkEnd w:id="3"/>
      <w:r>
        <w:rPr>
          <w:highlight w:val="white"/>
        </w:rPr>
        <w:t>Finally, closing the research gap beyond early-career mentoring is essential to retaining the quality teachers the profession already has, ensuring that their expertise continues to benefit students and communities. Targeted studies on mid-career pathways will inform differentiated frameworks, peer-led cohorts and collaborations that address the unique challenges of experienced teachers. By continuously refining mentoring practices through evidence-informed research, rural and remote NSW schools can bolster teacher retention, prevent burnout and promote more equitable outcomes for their students and communities.</w:t>
      </w:r>
    </w:p>
    <w:p w14:paraId="2249058F" w14:textId="77777777" w:rsidR="009A0991" w:rsidRDefault="009A0991">
      <w:pPr>
        <w:rPr>
          <w:b/>
          <w:sz w:val="36"/>
          <w:szCs w:val="36"/>
        </w:rPr>
      </w:pPr>
      <w:bookmarkStart w:id="4" w:name="_t6fegfk12e1y" w:colFirst="0" w:colLast="0"/>
      <w:bookmarkEnd w:id="4"/>
      <w:r>
        <w:br w:type="page"/>
      </w:r>
    </w:p>
    <w:p w14:paraId="06949611" w14:textId="1D88C061" w:rsidR="001D7F07" w:rsidRDefault="001D7F07" w:rsidP="001D7F07">
      <w:pPr>
        <w:pStyle w:val="Heading1"/>
      </w:pPr>
      <w:r>
        <w:lastRenderedPageBreak/>
        <w:t>Acknowledgements</w:t>
      </w:r>
    </w:p>
    <w:p w14:paraId="152B3E01" w14:textId="77777777" w:rsidR="009A0991" w:rsidRPr="009A0991" w:rsidRDefault="009A0991" w:rsidP="009A0991">
      <w:r w:rsidRPr="009A0991">
        <w:t>I would like to acknowledge the encouragement and guidance of Mary Doolan, Relieving Director, Educational Leadership, and Duncan Graham, Relieving Principal at Coonabarabran High School, whose leadership were invaluable throughout this experience. My sincere thanks go to Tamina Kappeler from the Zurich University of Teacher Education for her generosity, insight, and willingness to share her expertise. I am grateful to Lesley Lamb, a previous scholarship recipient, for her advice and perspective, and to Donna Austin from Gunnedah Public School for her encouragement and support.</w:t>
      </w:r>
    </w:p>
    <w:p w14:paraId="27E988B2" w14:textId="77777777" w:rsidR="009A0991" w:rsidRDefault="009A0991" w:rsidP="009A0991">
      <w:r w:rsidRPr="009A0991">
        <w:t>I also acknowledge all those who contributed to the planning and delivery of the scholarship itinerary, trip, and report. Finally, a big thank you to the many colleagues and mentors who have shaped my teaching journey over the years. Your influence has deepened my understanding of quality mentoring and is reflected throughout this report.</w:t>
      </w:r>
    </w:p>
    <w:p w14:paraId="0E318A06" w14:textId="77777777" w:rsidR="009A0991" w:rsidRDefault="009A0991" w:rsidP="009A0991">
      <w:pPr>
        <w:pStyle w:val="Normaltext"/>
      </w:pPr>
      <w:r>
        <w:t>Thank you to the University of New South Wales, whose generous funding of this scholarship made the study tour possible</w:t>
      </w:r>
      <w:r w:rsidRPr="002006E6">
        <w:t>.</w:t>
      </w:r>
    </w:p>
    <w:p w14:paraId="4F0E4102" w14:textId="77777777" w:rsidR="00175BAA" w:rsidRDefault="00943D08" w:rsidP="00FF3502">
      <w:pPr>
        <w:pStyle w:val="Heading1"/>
      </w:pPr>
      <w:r>
        <w:t>References</w:t>
      </w:r>
    </w:p>
    <w:p w14:paraId="70E0D70B" w14:textId="77777777" w:rsidR="00175BAA" w:rsidRDefault="00943D08">
      <w:pPr>
        <w:rPr>
          <w:color w:val="000000"/>
        </w:rPr>
      </w:pPr>
      <w:r>
        <w:rPr>
          <w:color w:val="000000"/>
        </w:rPr>
        <w:t xml:space="preserve">Hattie, J 2009, </w:t>
      </w:r>
      <w:r>
        <w:rPr>
          <w:i/>
          <w:color w:val="000000"/>
        </w:rPr>
        <w:t xml:space="preserve">Visible learning: A synthesis of over 800 meta-analyses related to achievement, </w:t>
      </w:r>
      <w:r>
        <w:rPr>
          <w:color w:val="000000"/>
        </w:rPr>
        <w:t>Routledge, London.</w:t>
      </w:r>
    </w:p>
    <w:p w14:paraId="7CA6C1B8" w14:textId="77777777" w:rsidR="00175BAA" w:rsidRDefault="00943D08">
      <w:pPr>
        <w:rPr>
          <w:color w:val="000000"/>
        </w:rPr>
      </w:pPr>
      <w:r>
        <w:rPr>
          <w:color w:val="000000"/>
        </w:rPr>
        <w:t xml:space="preserve">Hobson, A J 2017, ‘The Terrors of </w:t>
      </w:r>
      <w:proofErr w:type="spellStart"/>
      <w:r>
        <w:rPr>
          <w:color w:val="000000"/>
        </w:rPr>
        <w:t>Judgementoring</w:t>
      </w:r>
      <w:proofErr w:type="spellEnd"/>
      <w:r>
        <w:rPr>
          <w:color w:val="000000"/>
        </w:rPr>
        <w:t xml:space="preserve"> and the Case for ONSIDE Mentoring for Early Career Teachers’, in D </w:t>
      </w:r>
      <w:proofErr w:type="gramStart"/>
      <w:r>
        <w:rPr>
          <w:color w:val="000000"/>
        </w:rPr>
        <w:t>A</w:t>
      </w:r>
      <w:proofErr w:type="gramEnd"/>
      <w:r>
        <w:rPr>
          <w:color w:val="000000"/>
        </w:rPr>
        <w:t xml:space="preserve"> Clutterbuck, F K Kochan, L Lunsford, N Dominguez &amp; J Haddock-Millar (eds), </w:t>
      </w:r>
      <w:r>
        <w:rPr>
          <w:i/>
          <w:color w:val="000000"/>
        </w:rPr>
        <w:t>The SAGE Handbook of Mentoring</w:t>
      </w:r>
      <w:r>
        <w:rPr>
          <w:color w:val="000000"/>
        </w:rPr>
        <w:t xml:space="preserve">, 1st </w:t>
      </w:r>
      <w:proofErr w:type="spellStart"/>
      <w:r>
        <w:rPr>
          <w:color w:val="000000"/>
        </w:rPr>
        <w:t>edn</w:t>
      </w:r>
      <w:proofErr w:type="spellEnd"/>
      <w:r>
        <w:rPr>
          <w:color w:val="000000"/>
        </w:rPr>
        <w:t>, SAGE Publications, London, pp. 335–357.</w:t>
      </w:r>
    </w:p>
    <w:p w14:paraId="2462B272" w14:textId="685D7F1A" w:rsidR="00175BAA" w:rsidRDefault="00943D08">
      <w:pPr>
        <w:rPr>
          <w:highlight w:val="white"/>
        </w:rPr>
      </w:pPr>
      <w:r>
        <w:t>Zhang, Y, Nguyen, H T M, Pham, X T 2025, ‘Teachers’ Personal Resources for Preventing Burnout in Disadvantaged Regions’, in C Griffiths (ed.), Teacher Burnout from a Complex Systems Perspective, Palgrave Macmillan, Cham, [https://doi.org/10.1007/978-3-031-85024-0\_11]</w:t>
      </w:r>
      <w:r w:rsidR="00E93842">
        <w:t xml:space="preserve"> </w:t>
      </w:r>
      <w:r>
        <w:t>(https://doi.org/10.1007/978-3-031-85024-0_11).</w:t>
      </w:r>
    </w:p>
    <w:sectPr w:rsidR="00175BAA">
      <w:footerReference w:type="default" r:id="rId15"/>
      <w:footerReference w:type="first" r:id="rId16"/>
      <w:pgSz w:w="11900" w:h="16840"/>
      <w:pgMar w:top="1134" w:right="1134" w:bottom="1134" w:left="1134" w:header="0"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DFB60" w14:textId="77777777" w:rsidR="00E25BEE" w:rsidRDefault="00E25BEE">
      <w:pPr>
        <w:spacing w:before="0" w:after="0" w:line="240" w:lineRule="auto"/>
      </w:pPr>
      <w:r>
        <w:separator/>
      </w:r>
    </w:p>
  </w:endnote>
  <w:endnote w:type="continuationSeparator" w:id="0">
    <w:p w14:paraId="0B984CDC" w14:textId="77777777" w:rsidR="00E25BEE" w:rsidRDefault="00E25B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945E989-119E-48CB-A332-C01B43E72A3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F03626E-4347-4A88-93C1-777FDE8528FB}"/>
    <w:embedBold r:id="rId3" w:fontKey="{686955FD-11BC-4D01-868F-E03975CF5508}"/>
  </w:font>
  <w:font w:name="Tahoma">
    <w:panose1 w:val="020B0604030504040204"/>
    <w:charset w:val="00"/>
    <w:family w:val="swiss"/>
    <w:pitch w:val="variable"/>
    <w:sig w:usb0="E1002EFF" w:usb1="C000605B" w:usb2="00000029" w:usb3="00000000" w:csb0="000101FF" w:csb1="00000000"/>
    <w:embedRegular r:id="rId4" w:fontKey="{36E86BFF-CFEE-4A35-BBB0-AFE0C32489AD}"/>
  </w:font>
  <w:font w:name="Cambria">
    <w:panose1 w:val="02040503050406030204"/>
    <w:charset w:val="00"/>
    <w:family w:val="roman"/>
    <w:pitch w:val="variable"/>
    <w:sig w:usb0="E00006FF" w:usb1="420024FF" w:usb2="02000000" w:usb3="00000000" w:csb0="0000019F" w:csb1="00000000"/>
    <w:embedRegular r:id="rId5" w:fontKey="{DA1CDDB9-AE5D-4D74-9782-8E0B8466A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5E1F7" w14:textId="6371F7C9" w:rsidR="00003A60" w:rsidRDefault="00003A60" w:rsidP="000255B4">
    <w:pPr>
      <w:pStyle w:val="Footer"/>
      <w:tabs>
        <w:tab w:val="clear" w:pos="4513"/>
        <w:tab w:val="clear" w:pos="9026"/>
        <w:tab w:val="right" w:pos="9498"/>
      </w:tabs>
    </w:pPr>
    <w:r>
      <w:t>Your Title here</w:t>
    </w:r>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SECTIONPAGES   \* MERGEFORMAT ">
      <w:r>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53A" w14:textId="77777777" w:rsidR="00003A60" w:rsidRDefault="00003A60" w:rsidP="00117296">
    <w:pPr>
      <w:pBdr>
        <w:top w:val="single" w:sz="4" w:space="1" w:color="auto"/>
      </w:pBdr>
      <w:spacing w:after="0"/>
      <w:rPr>
        <w:sz w:val="20"/>
        <w:szCs w:val="20"/>
      </w:rPr>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5-week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w:t>
    </w:r>
    <w:r>
      <w:rPr>
        <w:sz w:val="20"/>
        <w:szCs w:val="20"/>
      </w:rPr>
      <w:t xml:space="preserve"> </w:t>
    </w:r>
  </w:p>
  <w:p w14:paraId="725A0BF1" w14:textId="77777777" w:rsidR="00003A60" w:rsidRPr="00117296" w:rsidRDefault="00003A60" w:rsidP="00117296">
    <w:pPr>
      <w:pBdr>
        <w:top w:val="single" w:sz="4" w:space="1" w:color="auto"/>
      </w:pBdr>
      <w:spacing w:after="0"/>
    </w:pP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It captures the highlights of the many</w:t>
    </w:r>
    <w:r w:rsidRPr="0067083F">
      <w:rPr>
        <w:sz w:val="20"/>
        <w:szCs w:val="20"/>
      </w:rPr>
      <w:t xml:space="preserve"> observations and learnings</w:t>
    </w:r>
    <w:r>
      <w:rPr>
        <w:sz w:val="20"/>
        <w:szCs w:val="20"/>
      </w:rPr>
      <w:t xml:space="preserve"> gained, which are to be further </w:t>
    </w:r>
    <w:r w:rsidRPr="0067083F">
      <w:rPr>
        <w:sz w:val="20"/>
        <w:szCs w:val="20"/>
      </w:rPr>
      <w:t>share</w:t>
    </w:r>
    <w:r>
      <w:rPr>
        <w:sz w:val="20"/>
        <w:szCs w:val="20"/>
      </w:rPr>
      <w:t>d</w:t>
    </w:r>
    <w:r w:rsidRPr="0067083F">
      <w:rPr>
        <w:sz w:val="20"/>
        <w:szCs w:val="20"/>
      </w:rPr>
      <w:t xml:space="preserve"> through future educational opportunities.</w:t>
    </w:r>
    <w:r>
      <w:rPr>
        <w:sz w:val="20"/>
        <w:szCs w:val="20"/>
      </w:rPr>
      <w:t xml:space="preserve"> The report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0918" w14:textId="73DD4992" w:rsidR="00175BAA" w:rsidRDefault="00943D08" w:rsidP="004F7953">
    <w:pPr>
      <w:pBdr>
        <w:top w:val="single" w:sz="4" w:space="8" w:color="000000"/>
        <w:left w:val="none" w:sz="0" w:space="0" w:color="000000"/>
        <w:bottom w:val="none" w:sz="0" w:space="0" w:color="000000"/>
        <w:right w:val="none" w:sz="0" w:space="0" w:color="000000"/>
        <w:between w:val="none" w:sz="0" w:space="0" w:color="000000"/>
      </w:pBdr>
      <w:tabs>
        <w:tab w:val="center" w:pos="4513"/>
        <w:tab w:val="right" w:pos="9498"/>
      </w:tabs>
      <w:spacing w:before="0" w:after="0" w:line="240" w:lineRule="auto"/>
      <w:rPr>
        <w:color w:val="000000"/>
        <w:sz w:val="20"/>
        <w:szCs w:val="20"/>
      </w:rPr>
    </w:pPr>
    <w:r>
      <w:rPr>
        <w:color w:val="000000"/>
        <w:sz w:val="20"/>
        <w:szCs w:val="20"/>
      </w:rPr>
      <w:t xml:space="preserve">Beyond the </w:t>
    </w:r>
    <w:r w:rsidR="00003A60">
      <w:rPr>
        <w:color w:val="000000"/>
        <w:sz w:val="20"/>
        <w:szCs w:val="20"/>
      </w:rPr>
      <w:t>b</w:t>
    </w:r>
    <w:r>
      <w:rPr>
        <w:color w:val="000000"/>
        <w:sz w:val="20"/>
        <w:szCs w:val="20"/>
      </w:rPr>
      <w:t>eginning</w:t>
    </w:r>
    <w:r w:rsidR="00AC4C49">
      <w:rPr>
        <w:color w:val="000000"/>
        <w:sz w:val="20"/>
        <w:szCs w:val="20"/>
      </w:rPr>
      <w:tab/>
    </w:r>
    <w:r w:rsidR="00AC4C49">
      <w:rPr>
        <w:color w:val="000000"/>
        <w:sz w:val="20"/>
        <w:szCs w:val="20"/>
      </w:rPr>
      <w:tab/>
    </w:r>
    <w:r w:rsidR="00F90DB5" w:rsidRPr="00F90DB5">
      <w:rPr>
        <w:sz w:val="20"/>
        <w:szCs w:val="20"/>
      </w:rPr>
      <w:t xml:space="preserve">Page </w:t>
    </w:r>
    <w:r w:rsidR="00F90DB5" w:rsidRPr="00F90DB5">
      <w:rPr>
        <w:sz w:val="20"/>
        <w:szCs w:val="20"/>
      </w:rPr>
      <w:fldChar w:fldCharType="begin"/>
    </w:r>
    <w:r w:rsidR="00F90DB5" w:rsidRPr="00F90DB5">
      <w:rPr>
        <w:sz w:val="20"/>
        <w:szCs w:val="20"/>
      </w:rPr>
      <w:instrText xml:space="preserve"> PAGE  \* Arabic  \* MERGEFORMAT </w:instrText>
    </w:r>
    <w:r w:rsidR="00F90DB5" w:rsidRPr="00F90DB5">
      <w:rPr>
        <w:sz w:val="20"/>
        <w:szCs w:val="20"/>
      </w:rPr>
      <w:fldChar w:fldCharType="separate"/>
    </w:r>
    <w:r w:rsidR="00F90DB5" w:rsidRPr="00F90DB5">
      <w:rPr>
        <w:sz w:val="20"/>
        <w:szCs w:val="20"/>
      </w:rPr>
      <w:t>1</w:t>
    </w:r>
    <w:r w:rsidR="00F90DB5" w:rsidRPr="00F90DB5">
      <w:rPr>
        <w:sz w:val="20"/>
        <w:szCs w:val="20"/>
      </w:rPr>
      <w:fldChar w:fldCharType="end"/>
    </w:r>
    <w:r w:rsidR="00F90DB5" w:rsidRPr="00F90DB5">
      <w:rPr>
        <w:sz w:val="20"/>
        <w:szCs w:val="20"/>
      </w:rPr>
      <w:t xml:space="preserve"> of </w:t>
    </w:r>
    <w:r w:rsidR="00F90DB5" w:rsidRPr="00F90DB5">
      <w:rPr>
        <w:sz w:val="20"/>
        <w:szCs w:val="20"/>
      </w:rPr>
      <w:fldChar w:fldCharType="begin"/>
    </w:r>
    <w:r w:rsidR="00F90DB5" w:rsidRPr="00F90DB5">
      <w:rPr>
        <w:sz w:val="20"/>
        <w:szCs w:val="20"/>
      </w:rPr>
      <w:instrText xml:space="preserve"> SECTIONPAGES   \* MERGEFORMAT </w:instrText>
    </w:r>
    <w:r w:rsidR="00F90DB5" w:rsidRPr="00F90DB5">
      <w:rPr>
        <w:sz w:val="20"/>
        <w:szCs w:val="20"/>
      </w:rPr>
      <w:fldChar w:fldCharType="separate"/>
    </w:r>
    <w:r w:rsidR="004305AA">
      <w:rPr>
        <w:noProof/>
        <w:sz w:val="20"/>
        <w:szCs w:val="20"/>
      </w:rPr>
      <w:t>7</w:t>
    </w:r>
    <w:r w:rsidR="00F90DB5" w:rsidRPr="00F90DB5">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B89C" w14:textId="77777777" w:rsidR="00175BAA" w:rsidRDefault="00943D08">
    <w:pPr>
      <w:pBdr>
        <w:top w:val="single" w:sz="4" w:space="1" w:color="000000"/>
      </w:pBdr>
      <w:spacing w:after="0"/>
    </w:pPr>
    <w:r>
      <w:rPr>
        <w:sz w:val="20"/>
        <w:szCs w:val="20"/>
      </w:rPr>
      <w:t>The Premier’s Teacher Scholarships program – an initiative of the NSW Premier’s Department and administered by the NSW Department of Education – provides funding for a five-week study tour to explore best practice in a recipient’s chosen focus area. The program aims to deliver outcomes for recipients, students, teacher colleagues and school communities. This report was completed following scholarship study tour activities. It is produced by the author in their capacity as a scholarship recipient and may not represent the views of the NSW government, employing authority or sponsoring organisation.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CEA67" w14:textId="77777777" w:rsidR="00E25BEE" w:rsidRDefault="00E25BEE">
      <w:pPr>
        <w:spacing w:before="0" w:after="0" w:line="240" w:lineRule="auto"/>
      </w:pPr>
      <w:r>
        <w:separator/>
      </w:r>
    </w:p>
  </w:footnote>
  <w:footnote w:type="continuationSeparator" w:id="0">
    <w:p w14:paraId="52D5F3D2" w14:textId="77777777" w:rsidR="00E25BEE" w:rsidRDefault="00E25BE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249C3"/>
    <w:multiLevelType w:val="hybridMultilevel"/>
    <w:tmpl w:val="F7AE51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17733BF"/>
    <w:multiLevelType w:val="multilevel"/>
    <w:tmpl w:val="EB50F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A05898"/>
    <w:multiLevelType w:val="multilevel"/>
    <w:tmpl w:val="21BEE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F11067"/>
    <w:multiLevelType w:val="hybridMultilevel"/>
    <w:tmpl w:val="C04CB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1029223">
    <w:abstractNumId w:val="2"/>
  </w:num>
  <w:num w:numId="2" w16cid:durableId="1533415795">
    <w:abstractNumId w:val="1"/>
  </w:num>
  <w:num w:numId="3" w16cid:durableId="1489126546">
    <w:abstractNumId w:val="3"/>
  </w:num>
  <w:num w:numId="4" w16cid:durableId="194202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BAA"/>
    <w:rsid w:val="00003A60"/>
    <w:rsid w:val="0003616F"/>
    <w:rsid w:val="00045615"/>
    <w:rsid w:val="000D1920"/>
    <w:rsid w:val="00123D1D"/>
    <w:rsid w:val="00137F54"/>
    <w:rsid w:val="0016237C"/>
    <w:rsid w:val="00175BAA"/>
    <w:rsid w:val="001D7F07"/>
    <w:rsid w:val="00204F24"/>
    <w:rsid w:val="0022725D"/>
    <w:rsid w:val="0027672A"/>
    <w:rsid w:val="002D07D6"/>
    <w:rsid w:val="003117BA"/>
    <w:rsid w:val="003338B0"/>
    <w:rsid w:val="003448E1"/>
    <w:rsid w:val="003A4A0B"/>
    <w:rsid w:val="003B602F"/>
    <w:rsid w:val="003D6930"/>
    <w:rsid w:val="0041586A"/>
    <w:rsid w:val="004305AA"/>
    <w:rsid w:val="00432BAD"/>
    <w:rsid w:val="00456EE4"/>
    <w:rsid w:val="00481191"/>
    <w:rsid w:val="004B1FFD"/>
    <w:rsid w:val="004D4A5D"/>
    <w:rsid w:val="004F7953"/>
    <w:rsid w:val="00564666"/>
    <w:rsid w:val="0057413A"/>
    <w:rsid w:val="005B4F41"/>
    <w:rsid w:val="005C7435"/>
    <w:rsid w:val="005F5BD2"/>
    <w:rsid w:val="006B36BA"/>
    <w:rsid w:val="007C7BE9"/>
    <w:rsid w:val="007D439B"/>
    <w:rsid w:val="0082081C"/>
    <w:rsid w:val="0093750C"/>
    <w:rsid w:val="00943D08"/>
    <w:rsid w:val="009A0991"/>
    <w:rsid w:val="009B0FEF"/>
    <w:rsid w:val="009F2241"/>
    <w:rsid w:val="00A320F2"/>
    <w:rsid w:val="00A830AD"/>
    <w:rsid w:val="00A92291"/>
    <w:rsid w:val="00AC4C49"/>
    <w:rsid w:val="00AD3DA8"/>
    <w:rsid w:val="00AD650E"/>
    <w:rsid w:val="00B24181"/>
    <w:rsid w:val="00B4425B"/>
    <w:rsid w:val="00B471BE"/>
    <w:rsid w:val="00BB4242"/>
    <w:rsid w:val="00BC408D"/>
    <w:rsid w:val="00C174E3"/>
    <w:rsid w:val="00C33F96"/>
    <w:rsid w:val="00CB7146"/>
    <w:rsid w:val="00D02E3E"/>
    <w:rsid w:val="00D313E1"/>
    <w:rsid w:val="00E0703E"/>
    <w:rsid w:val="00E231F4"/>
    <w:rsid w:val="00E25BEE"/>
    <w:rsid w:val="00E33FD5"/>
    <w:rsid w:val="00E83632"/>
    <w:rsid w:val="00E93842"/>
    <w:rsid w:val="00EC1E3C"/>
    <w:rsid w:val="00F20CF0"/>
    <w:rsid w:val="00F340FD"/>
    <w:rsid w:val="00F74603"/>
    <w:rsid w:val="00F90DB5"/>
    <w:rsid w:val="00FF35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5A4C9"/>
  <w15:docId w15:val="{361ED6D7-5BF9-4111-834E-D7419CD6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60"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one" w:sz="0" w:space="0" w:color="000000"/>
        <w:left w:val="none" w:sz="0" w:space="0" w:color="000000"/>
        <w:bottom w:val="single" w:sz="4" w:space="1" w:color="000000"/>
        <w:right w:val="none" w:sz="0" w:space="0" w:color="000000"/>
        <w:between w:val="none" w:sz="0" w:space="0" w:color="000000"/>
      </w:pBdr>
      <w:spacing w:before="480"/>
      <w:outlineLvl w:val="0"/>
    </w:pPr>
    <w:rPr>
      <w:b/>
      <w:sz w:val="36"/>
      <w:szCs w:val="36"/>
    </w:rPr>
  </w:style>
  <w:style w:type="paragraph" w:styleId="Heading2">
    <w:name w:val="heading 2"/>
    <w:basedOn w:val="Normal"/>
    <w:next w:val="Normal"/>
    <w:uiPriority w:val="9"/>
    <w:unhideWhenUsed/>
    <w:qFormat/>
    <w:pPr>
      <w:keepNext/>
      <w:keepLines/>
      <w:spacing w:before="200"/>
      <w:outlineLvl w:val="1"/>
    </w:pPr>
    <w:rPr>
      <w:b/>
      <w:sz w:val="32"/>
      <w:szCs w:val="32"/>
    </w:rPr>
  </w:style>
  <w:style w:type="paragraph" w:styleId="Heading3">
    <w:name w:val="heading 3"/>
    <w:basedOn w:val="Normal"/>
    <w:next w:val="Normal"/>
    <w:uiPriority w:val="9"/>
    <w:unhideWhenUsed/>
    <w:qFormat/>
    <w:pPr>
      <w:keepNext/>
      <w:keepLines/>
      <w:spacing w:before="200"/>
      <w:outlineLvl w:val="2"/>
    </w:pPr>
    <w:rPr>
      <w:b/>
      <w:sz w:val="28"/>
      <w:szCs w:val="28"/>
    </w:rPr>
  </w:style>
  <w:style w:type="paragraph" w:styleId="Heading4">
    <w:name w:val="heading 4"/>
    <w:basedOn w:val="Normal"/>
    <w:next w:val="Normal"/>
    <w:uiPriority w:val="9"/>
    <w:unhideWhenUsed/>
    <w:qFormat/>
    <w:pPr>
      <w:keepNext/>
      <w:keepLines/>
      <w:spacing w:before="200" w:after="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single" w:sz="48" w:space="24" w:color="DBE5F1"/>
        <w:left w:val="single" w:sz="48" w:space="4" w:color="DBE5F1"/>
        <w:bottom w:val="single" w:sz="48" w:space="24" w:color="DBE5F1"/>
        <w:right w:val="single" w:sz="48" w:space="4" w:color="DBE5F1"/>
        <w:between w:val="none" w:sz="0" w:space="0" w:color="000000"/>
      </w:pBdr>
      <w:shd w:val="clear" w:color="auto" w:fill="DBE5F1"/>
      <w:spacing w:before="0"/>
      <w:ind w:left="170"/>
    </w:pPr>
    <w:rPr>
      <w:b/>
      <w:sz w:val="52"/>
      <w:szCs w:val="52"/>
    </w:rPr>
  </w:style>
  <w:style w:type="paragraph" w:styleId="Subtitle">
    <w:name w:val="Subtitle"/>
    <w:basedOn w:val="Normal"/>
    <w:next w:val="Normal"/>
    <w:link w:val="SubtitleChar"/>
    <w:uiPriority w:val="11"/>
    <w:qFormat/>
    <w:pPr>
      <w:pBdr>
        <w:top w:val="single" w:sz="48" w:space="24" w:color="DBE5F1"/>
        <w:left w:val="single" w:sz="48" w:space="4" w:color="DBE5F1"/>
        <w:bottom w:val="single" w:sz="48" w:space="24" w:color="DBE5F1"/>
        <w:right w:val="single" w:sz="48" w:space="4" w:color="DBE5F1"/>
        <w:between w:val="none" w:sz="0" w:space="0" w:color="000000"/>
      </w:pBdr>
      <w:shd w:val="clear" w:color="auto" w:fill="DBE5F1"/>
      <w:spacing w:before="0" w:after="480"/>
      <w:ind w:left="170"/>
    </w:pPr>
    <w:rPr>
      <w:sz w:val="36"/>
      <w:szCs w:val="36"/>
    </w:rPr>
  </w:style>
  <w:style w:type="paragraph" w:styleId="Revision">
    <w:name w:val="Revision"/>
    <w:hidden/>
    <w:uiPriority w:val="99"/>
    <w:semiHidden/>
    <w:rsid w:val="000D1920"/>
    <w:pPr>
      <w:spacing w:before="0" w:after="0" w:line="240" w:lineRule="auto"/>
    </w:pPr>
  </w:style>
  <w:style w:type="character" w:customStyle="1" w:styleId="TitleChar">
    <w:name w:val="Title Char"/>
    <w:link w:val="Title"/>
    <w:uiPriority w:val="10"/>
    <w:rsid w:val="00003A60"/>
    <w:rPr>
      <w:b/>
      <w:sz w:val="52"/>
      <w:szCs w:val="52"/>
      <w:shd w:val="clear" w:color="auto" w:fill="DBE5F1"/>
    </w:rPr>
  </w:style>
  <w:style w:type="character" w:customStyle="1" w:styleId="SubtitleChar">
    <w:name w:val="Subtitle Char"/>
    <w:link w:val="Subtitle"/>
    <w:uiPriority w:val="11"/>
    <w:rsid w:val="00003A60"/>
    <w:rPr>
      <w:sz w:val="36"/>
      <w:szCs w:val="36"/>
      <w:shd w:val="clear" w:color="auto" w:fill="DBE5F1"/>
    </w:rPr>
  </w:style>
  <w:style w:type="paragraph" w:customStyle="1" w:styleId="Pre-Title">
    <w:name w:val="Pre-Title"/>
    <w:basedOn w:val="Normal"/>
    <w:rsid w:val="00003A60"/>
    <w:pPr>
      <w:pBdr>
        <w:top w:val="nil"/>
        <w:left w:val="nil"/>
        <w:bottom w:val="nil"/>
        <w:right w:val="nil"/>
        <w:between w:val="nil"/>
      </w:pBdr>
      <w:spacing w:after="1920"/>
    </w:pPr>
    <w:rPr>
      <w:rFonts w:eastAsia="Calibri" w:cs="Calibri"/>
      <w:b/>
      <w:color w:val="000000"/>
      <w:sz w:val="28"/>
      <w:szCs w:val="24"/>
      <w:lang w:eastAsia="en-US"/>
    </w:rPr>
  </w:style>
  <w:style w:type="paragraph" w:customStyle="1" w:styleId="Author">
    <w:name w:val="Author"/>
    <w:basedOn w:val="Normal"/>
    <w:rsid w:val="00003A60"/>
    <w:pPr>
      <w:pBdr>
        <w:top w:val="nil"/>
        <w:left w:val="nil"/>
        <w:bottom w:val="nil"/>
        <w:right w:val="nil"/>
        <w:between w:val="nil"/>
      </w:pBdr>
      <w:spacing w:before="1640" w:after="0"/>
    </w:pPr>
    <w:rPr>
      <w:rFonts w:eastAsia="Calibri" w:cs="Calibri"/>
      <w:b/>
      <w:color w:val="000000"/>
      <w:sz w:val="28"/>
      <w:szCs w:val="24"/>
      <w:lang w:eastAsia="en-US"/>
    </w:rPr>
  </w:style>
  <w:style w:type="paragraph" w:customStyle="1" w:styleId="Sponsor">
    <w:name w:val="Sponsor"/>
    <w:basedOn w:val="Normal"/>
    <w:rsid w:val="00003A60"/>
    <w:pPr>
      <w:pBdr>
        <w:top w:val="nil"/>
        <w:left w:val="nil"/>
        <w:bottom w:val="nil"/>
        <w:right w:val="nil"/>
        <w:between w:val="nil"/>
      </w:pBdr>
      <w:spacing w:before="1640" w:after="0"/>
    </w:pPr>
    <w:rPr>
      <w:rFonts w:eastAsia="Calibri" w:cs="Calibri"/>
      <w:color w:val="000000"/>
      <w:szCs w:val="24"/>
      <w:lang w:eastAsia="en-US"/>
    </w:rPr>
  </w:style>
  <w:style w:type="paragraph" w:styleId="Footer">
    <w:name w:val="footer"/>
    <w:basedOn w:val="Normal"/>
    <w:link w:val="FooterChar"/>
    <w:uiPriority w:val="99"/>
    <w:unhideWhenUsed/>
    <w:rsid w:val="00003A60"/>
    <w:pPr>
      <w:pBdr>
        <w:top w:val="single" w:sz="4" w:space="8" w:color="000000"/>
      </w:pBdr>
      <w:tabs>
        <w:tab w:val="center" w:pos="4513"/>
        <w:tab w:val="right" w:pos="9026"/>
      </w:tabs>
      <w:spacing w:before="0" w:after="0" w:line="240" w:lineRule="auto"/>
    </w:pPr>
    <w:rPr>
      <w:rFonts w:eastAsia="Calibri" w:cs="Calibri"/>
      <w:color w:val="000000"/>
      <w:sz w:val="20"/>
      <w:szCs w:val="24"/>
      <w:lang w:eastAsia="en-US"/>
    </w:rPr>
  </w:style>
  <w:style w:type="character" w:customStyle="1" w:styleId="FooterChar">
    <w:name w:val="Footer Char"/>
    <w:basedOn w:val="DefaultParagraphFont"/>
    <w:link w:val="Footer"/>
    <w:uiPriority w:val="99"/>
    <w:rsid w:val="00003A60"/>
    <w:rPr>
      <w:rFonts w:eastAsia="Calibri" w:cs="Calibri"/>
      <w:color w:val="000000"/>
      <w:sz w:val="20"/>
      <w:szCs w:val="24"/>
      <w:lang w:eastAsia="en-US"/>
    </w:rPr>
  </w:style>
  <w:style w:type="paragraph" w:styleId="Header">
    <w:name w:val="header"/>
    <w:basedOn w:val="Normal"/>
    <w:link w:val="HeaderChar"/>
    <w:uiPriority w:val="99"/>
    <w:unhideWhenUsed/>
    <w:rsid w:val="00003A6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03A60"/>
  </w:style>
  <w:style w:type="paragraph" w:styleId="ListParagraph">
    <w:name w:val="List Paragraph"/>
    <w:basedOn w:val="Normal"/>
    <w:uiPriority w:val="34"/>
    <w:qFormat/>
    <w:rsid w:val="00003A60"/>
    <w:pPr>
      <w:ind w:left="720"/>
      <w:contextualSpacing/>
    </w:pPr>
  </w:style>
  <w:style w:type="paragraph" w:styleId="Quote">
    <w:name w:val="Quote"/>
    <w:basedOn w:val="Normal"/>
    <w:next w:val="Normal"/>
    <w:link w:val="QuoteChar"/>
    <w:uiPriority w:val="29"/>
    <w:qFormat/>
    <w:rsid w:val="00045615"/>
    <w:pPr>
      <w:ind w:left="720"/>
    </w:pPr>
  </w:style>
  <w:style w:type="character" w:customStyle="1" w:styleId="QuoteChar">
    <w:name w:val="Quote Char"/>
    <w:basedOn w:val="DefaultParagraphFont"/>
    <w:link w:val="Quote"/>
    <w:uiPriority w:val="29"/>
    <w:rsid w:val="00045615"/>
  </w:style>
  <w:style w:type="paragraph" w:customStyle="1" w:styleId="Normaltext">
    <w:name w:val="Normal text"/>
    <w:basedOn w:val="Normal"/>
    <w:link w:val="NormaltextChar"/>
    <w:qFormat/>
    <w:rsid w:val="00F340FD"/>
    <w:pPr>
      <w:pBdr>
        <w:top w:val="nil"/>
        <w:left w:val="nil"/>
        <w:bottom w:val="nil"/>
        <w:right w:val="nil"/>
        <w:between w:val="nil"/>
      </w:pBdr>
    </w:pPr>
    <w:rPr>
      <w:rFonts w:eastAsia="Calibri" w:cs="Calibri"/>
      <w:color w:val="000000"/>
      <w:szCs w:val="24"/>
      <w:shd w:val="clear" w:color="auto" w:fill="FFFFFF"/>
      <w:lang w:eastAsia="en-US"/>
    </w:rPr>
  </w:style>
  <w:style w:type="character" w:customStyle="1" w:styleId="NormaltextChar">
    <w:name w:val="Normal text Char"/>
    <w:basedOn w:val="DefaultParagraphFont"/>
    <w:link w:val="Normaltext"/>
    <w:rsid w:val="00F340FD"/>
    <w:rPr>
      <w:rFonts w:eastAsia="Calibri" w:cs="Calibri"/>
      <w:color w:val="000000"/>
      <w:szCs w:val="24"/>
      <w:lang w:eastAsia="en-US"/>
    </w:rPr>
  </w:style>
  <w:style w:type="character" w:styleId="CommentReference">
    <w:name w:val="annotation reference"/>
    <w:basedOn w:val="DefaultParagraphFont"/>
    <w:uiPriority w:val="99"/>
    <w:semiHidden/>
    <w:unhideWhenUsed/>
    <w:rsid w:val="00137F54"/>
    <w:rPr>
      <w:sz w:val="16"/>
      <w:szCs w:val="16"/>
    </w:rPr>
  </w:style>
  <w:style w:type="paragraph" w:styleId="CommentText">
    <w:name w:val="annotation text"/>
    <w:basedOn w:val="Normal"/>
    <w:link w:val="CommentTextChar"/>
    <w:uiPriority w:val="99"/>
    <w:unhideWhenUsed/>
    <w:rsid w:val="00137F54"/>
    <w:pPr>
      <w:spacing w:line="240" w:lineRule="auto"/>
    </w:pPr>
    <w:rPr>
      <w:sz w:val="20"/>
      <w:szCs w:val="20"/>
    </w:rPr>
  </w:style>
  <w:style w:type="character" w:customStyle="1" w:styleId="CommentTextChar">
    <w:name w:val="Comment Text Char"/>
    <w:basedOn w:val="DefaultParagraphFont"/>
    <w:link w:val="CommentText"/>
    <w:uiPriority w:val="99"/>
    <w:rsid w:val="00137F54"/>
    <w:rPr>
      <w:sz w:val="20"/>
      <w:szCs w:val="20"/>
    </w:rPr>
  </w:style>
  <w:style w:type="paragraph" w:styleId="CommentSubject">
    <w:name w:val="annotation subject"/>
    <w:basedOn w:val="CommentText"/>
    <w:next w:val="CommentText"/>
    <w:link w:val="CommentSubjectChar"/>
    <w:uiPriority w:val="99"/>
    <w:semiHidden/>
    <w:unhideWhenUsed/>
    <w:rsid w:val="00137F54"/>
    <w:rPr>
      <w:b/>
      <w:bCs/>
    </w:rPr>
  </w:style>
  <w:style w:type="character" w:customStyle="1" w:styleId="CommentSubjectChar">
    <w:name w:val="Comment Subject Char"/>
    <w:basedOn w:val="CommentTextChar"/>
    <w:link w:val="CommentSubject"/>
    <w:uiPriority w:val="99"/>
    <w:semiHidden/>
    <w:rsid w:val="00137F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49B9A985D84A448CD8B587D57AE042" ma:contentTypeVersion="18" ma:contentTypeDescription="Create a new document." ma:contentTypeScope="" ma:versionID="e84508ef504b56ee094f9f90acf66497">
  <xsd:schema xmlns:xsd="http://www.w3.org/2001/XMLSchema" xmlns:xs="http://www.w3.org/2001/XMLSchema" xmlns:p="http://schemas.microsoft.com/office/2006/metadata/properties" xmlns:ns2="39b911ad-f763-438a-8391-238d7963d2e3" xmlns:ns3="bf6ff20c-b54e-4d91-aab0-4d087600a393" targetNamespace="http://schemas.microsoft.com/office/2006/metadata/properties" ma:root="true" ma:fieldsID="d0e41812e512377d19ac517d17eafba0" ns2:_="" ns3:_="">
    <xsd:import namespace="39b911ad-f763-438a-8391-238d7963d2e3"/>
    <xsd:import namespace="bf6ff20c-b54e-4d91-aab0-4d087600a3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911ad-f763-438a-8391-238d7963d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6ff20c-b54e-4d91-aab0-4d087600a3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9efd07c-4033-4796-9db1-7180c86dafa3}" ma:internalName="TaxCatchAll" ma:showField="CatchAllData" ma:web="bf6ff20c-b54e-4d91-aab0-4d087600a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f6ff20c-b54e-4d91-aab0-4d087600a393" xsi:nil="true"/>
    <lcf76f155ced4ddcb4097134ff3c332f xmlns="39b911ad-f763-438a-8391-238d7963d2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CD300F-C1F2-41ED-8AC4-C3BE7F9D264C}">
  <ds:schemaRefs>
    <ds:schemaRef ds:uri="http://schemas.microsoft.com/sharepoint/v3/contenttype/forms"/>
  </ds:schemaRefs>
</ds:datastoreItem>
</file>

<file path=customXml/itemProps2.xml><?xml version="1.0" encoding="utf-8"?>
<ds:datastoreItem xmlns:ds="http://schemas.openxmlformats.org/officeDocument/2006/customXml" ds:itemID="{9A3E237B-2B8E-4E0F-9321-B067C374C8C3}">
  <ds:schemaRefs>
    <ds:schemaRef ds:uri="http://schemas.openxmlformats.org/officeDocument/2006/bibliography"/>
  </ds:schemaRefs>
</ds:datastoreItem>
</file>

<file path=customXml/itemProps3.xml><?xml version="1.0" encoding="utf-8"?>
<ds:datastoreItem xmlns:ds="http://schemas.openxmlformats.org/officeDocument/2006/customXml" ds:itemID="{60AA0F23-4F13-4B59-AD65-683AED807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911ad-f763-438a-8391-238d7963d2e3"/>
    <ds:schemaRef ds:uri="bf6ff20c-b54e-4d91-aab0-4d087600a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0C9597-7E99-4A90-A814-1597B26CFD15}">
  <ds:schemaRefs>
    <ds:schemaRef ds:uri="http://schemas.microsoft.com/office/2006/metadata/properties"/>
    <ds:schemaRef ds:uri="http://schemas.microsoft.com/office/infopath/2007/PartnerControls"/>
    <ds:schemaRef ds:uri="bf6ff20c-b54e-4d91-aab0-4d087600a393"/>
    <ds:schemaRef ds:uri="39b911ad-f763-438a-8391-238d7963d2e3"/>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2944</Words>
  <Characters>18820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 Curcio</dc:creator>
  <cp:lastModifiedBy>Kylie Hoss</cp:lastModifiedBy>
  <cp:revision>41</cp:revision>
  <dcterms:created xsi:type="dcterms:W3CDTF">2025-11-11T23:04:00Z</dcterms:created>
  <dcterms:modified xsi:type="dcterms:W3CDTF">2025-12-23T21:17:00Z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5c54aa1de7062c19a9fb8291b9a8612e1d382280d7302117d150bf246458ed21</vt:lpwstr>
  </property>
  <property fmtid="{D5CDD505-2E9C-101B-9397-08002B2CF9AE}" pid="3" name="MSIP_Label_b603dfd7-d93a-4381-a340-2995d8282205_Enabled">
    <vt:lpwstr>true</vt:lpwstr>
  </property>
  <property fmtid="{D5CDD505-2E9C-101B-9397-08002B2CF9AE}" pid="4" name="MSIP_Label_b603dfd7-d93a-4381-a340-2995d8282205_SetDate">
    <vt:lpwstr>2024-01-12T03:04:16Z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3cf51bb6-ff2f-4b9a-81d8-14076c9701d8</vt:lpwstr>
  </property>
  <property fmtid="{D5CDD505-2E9C-101B-9397-08002B2CF9AE}" pid="9" name="MSIP_Label_b603dfd7-d93a-4381-a340-2995d8282205_ContentBits">
    <vt:lpwstr>0</vt:lpwstr>
  </property>
  <property fmtid="{D5CDD505-2E9C-101B-9397-08002B2CF9AE}" pid="10" name="ContentTypeId">
    <vt:lpwstr>0x010100F249B9A985D84A448CD8B587D57AE042</vt:lpwstr>
  </property>
  <property fmtid="{D5CDD505-2E9C-101B-9397-08002B2CF9AE}" pid="11" name="MediaServiceImageTags">
    <vt:lpwstr>MediaServiceImageTags</vt:lpwstr>
  </property>
</Properties>
</file>