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18904C" w14:textId="77777777" w:rsidR="00EC0ED6" w:rsidRDefault="0006340C" w:rsidP="00EC0ED6">
      <w:r w:rsidRPr="009D522F">
        <w:rPr>
          <w:noProof/>
          <w:lang w:eastAsia="en-AU"/>
        </w:rPr>
        <w:drawing>
          <wp:inline distT="0" distB="0" distL="0" distR="0" wp14:anchorId="7F823745" wp14:editId="418F4AF7">
            <wp:extent cx="659254" cy="662052"/>
            <wp:effectExtent l="0" t="0" r="0" b="0"/>
            <wp:docPr id="1"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9130" cy="661670"/>
                    </a:xfrm>
                    <a:prstGeom prst="rect">
                      <a:avLst/>
                    </a:prstGeom>
                  </pic:spPr>
                </pic:pic>
              </a:graphicData>
            </a:graphic>
          </wp:inline>
        </w:drawing>
      </w:r>
    </w:p>
    <w:p w14:paraId="6F6490BE" w14:textId="1CDDB561" w:rsidR="00ED3B04" w:rsidRPr="001450C0" w:rsidRDefault="00910707" w:rsidP="00910707">
      <w:pPr>
        <w:pStyle w:val="Pre-Title"/>
        <w:spacing w:after="1320"/>
      </w:pPr>
      <w:r>
        <w:t>202</w:t>
      </w:r>
      <w:r w:rsidR="00A00B24">
        <w:t>4</w:t>
      </w:r>
      <w:r>
        <w:t xml:space="preserve"> </w:t>
      </w:r>
      <w:r w:rsidR="00ED3B04" w:rsidRPr="001450C0">
        <w:t xml:space="preserve">Premier’s </w:t>
      </w:r>
      <w:r w:rsidR="00A73E77">
        <w:t>University of NSW Rural and Remote Education Scholarship</w:t>
      </w:r>
    </w:p>
    <w:p w14:paraId="0011C0C3" w14:textId="2E40C9E4" w:rsidR="00ED3B04" w:rsidRPr="00C509F6" w:rsidRDefault="00A73E77" w:rsidP="00C509F6">
      <w:pPr>
        <w:pStyle w:val="Title"/>
      </w:pPr>
      <w:r>
        <w:t>Closing the education gap:</w:t>
      </w:r>
    </w:p>
    <w:p w14:paraId="441CB682" w14:textId="6824B14A" w:rsidR="00ED3B04" w:rsidRPr="001450C0" w:rsidRDefault="003F7783" w:rsidP="00ED3B04">
      <w:pPr>
        <w:pStyle w:val="Subtitle"/>
        <w:rPr>
          <w:rFonts w:eastAsia="Tahoma"/>
        </w:rPr>
      </w:pPr>
      <w:r>
        <w:rPr>
          <w:rFonts w:eastAsia="Tahoma"/>
        </w:rPr>
        <w:t>P</w:t>
      </w:r>
      <w:r w:rsidR="00A73E77">
        <w:rPr>
          <w:rFonts w:eastAsia="Tahoma"/>
        </w:rPr>
        <w:t>ractices that attract &amp; retain high-quality teachers in rural &amp; remote schools to achieve equitable outcomes for students</w:t>
      </w:r>
    </w:p>
    <w:p w14:paraId="1C925F83" w14:textId="0F073710" w:rsidR="00ED3B04" w:rsidRPr="00943538" w:rsidRDefault="00A73E77" w:rsidP="00910707">
      <w:pPr>
        <w:pStyle w:val="Author"/>
        <w:spacing w:before="1320"/>
      </w:pPr>
      <w:r>
        <w:t>Lesley Lamb</w:t>
      </w:r>
    </w:p>
    <w:p w14:paraId="3666F43D" w14:textId="1461DC06" w:rsidR="00ED3B04" w:rsidRDefault="00A73E77" w:rsidP="00910707">
      <w:pPr>
        <w:spacing w:after="0"/>
      </w:pPr>
      <w:r>
        <w:t>Timbumburi Public School / Tintinhull Public School</w:t>
      </w:r>
    </w:p>
    <w:p w14:paraId="26B4A539" w14:textId="1D8E09DD" w:rsidR="00ED3B04" w:rsidRDefault="00ED3B04" w:rsidP="00910707">
      <w:pPr>
        <w:pStyle w:val="Sponsor"/>
        <w:spacing w:before="1320"/>
      </w:pPr>
      <w:r w:rsidRPr="001450C0">
        <w:t>Sponsored by</w:t>
      </w:r>
      <w:r w:rsidR="00A73E77">
        <w:t xml:space="preserve"> the University of New South Wales</w:t>
      </w:r>
    </w:p>
    <w:p w14:paraId="61FDE057" w14:textId="68D2C10E" w:rsidR="00A73E77" w:rsidRDefault="00A73E77" w:rsidP="00A73E77">
      <w:pPr>
        <w:pStyle w:val="Sponsor"/>
        <w:spacing w:before="0"/>
      </w:pPr>
      <w:r>
        <w:rPr>
          <w:noProof/>
        </w:rPr>
        <w:drawing>
          <wp:inline distT="0" distB="0" distL="0" distR="0" wp14:anchorId="78452BDF" wp14:editId="14B5471D">
            <wp:extent cx="1250912" cy="1248355"/>
            <wp:effectExtent l="0" t="0" r="6985" b="0"/>
            <wp:docPr id="174345220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452204" name="Picture 1">
                      <a:extLst>
                        <a:ext uri="{C183D7F6-B498-43B3-948B-1728B52AA6E4}">
                          <adec:decorative xmlns:adec="http://schemas.microsoft.com/office/drawing/2017/decorative" val="1"/>
                        </a:ext>
                      </a:extLst>
                    </pic:cNvPr>
                    <pic:cNvPicPr/>
                  </pic:nvPicPr>
                  <pic:blipFill>
                    <a:blip r:embed="rId9"/>
                    <a:stretch>
                      <a:fillRect/>
                    </a:stretch>
                  </pic:blipFill>
                  <pic:spPr>
                    <a:xfrm>
                      <a:off x="0" y="0"/>
                      <a:ext cx="1270517" cy="1267920"/>
                    </a:xfrm>
                    <a:prstGeom prst="rect">
                      <a:avLst/>
                    </a:prstGeom>
                  </pic:spPr>
                </pic:pic>
              </a:graphicData>
            </a:graphic>
          </wp:inline>
        </w:drawing>
      </w:r>
    </w:p>
    <w:p w14:paraId="7915882B" w14:textId="6CBF0CDC" w:rsidR="00F1653C" w:rsidRPr="00EC0ED6" w:rsidRDefault="00F1653C" w:rsidP="000255B4">
      <w:pPr>
        <w:sectPr w:rsidR="00F1653C" w:rsidRPr="00EC0ED6" w:rsidSect="00720CAA">
          <w:footerReference w:type="default" r:id="rId10"/>
          <w:footerReference w:type="first" r:id="rId11"/>
          <w:pgSz w:w="11900" w:h="16840" w:code="9"/>
          <w:pgMar w:top="1134" w:right="1134" w:bottom="1134" w:left="1134" w:header="0" w:footer="737" w:gutter="0"/>
          <w:pgNumType w:start="0"/>
          <w:cols w:space="720"/>
          <w:titlePg/>
          <w:docGrid w:linePitch="326"/>
        </w:sectPr>
      </w:pPr>
    </w:p>
    <w:p w14:paraId="43FEBDA4" w14:textId="77777777" w:rsidR="00ED3B04" w:rsidRPr="00ED3B04" w:rsidRDefault="00ED3B04" w:rsidP="00ED3B04">
      <w:pPr>
        <w:pStyle w:val="Heading1"/>
      </w:pPr>
      <w:r w:rsidRPr="00ED3B04">
        <w:lastRenderedPageBreak/>
        <w:t>Introduction</w:t>
      </w:r>
    </w:p>
    <w:p w14:paraId="717238D9" w14:textId="61742BF7" w:rsidR="00A73E77" w:rsidRDefault="00A73E77" w:rsidP="00ED3B04">
      <w:r w:rsidRPr="00A73E77">
        <w:t>Due to the complexities of geographical location, rural and remote schools have long had difficulty in providing quality teaching, the results of which are reflected in the disparity of educational outcomes; academic results, attendance rates, and engagement. (Centre for Education Statistics and Evaluation 2020, Halsey 2018) With disproportionate representation</w:t>
      </w:r>
      <w:r w:rsidR="00484900">
        <w:t>s</w:t>
      </w:r>
      <w:r w:rsidRPr="00A73E77">
        <w:t xml:space="preserve"> of disengagement, youth unemployment and mental health issues in rural and remote communities, it is critically important that every young person has access to high quality schooling and opportunities (Halsey 2018).  Rural and remote schools are challenged by high staff turnovers which often leaves them without experienced teachers and continuity in learning. Teachers have the greatest impact on student learning (Hattie 2009) so it follows that attaining and retaining quality teachers in rural and remote schools is critical to raising the achievements of students. It is important to identify what preparation students need in order to teach in rural and remote schools. It is crucial to identify how teachers can be supported in their rural and remote placements through support programs and mentorships. And it is crucial that teachers in rural and remote schools have access to high quality professional learning and leadership pathways. </w:t>
      </w:r>
    </w:p>
    <w:p w14:paraId="7BD98AC6" w14:textId="77777777" w:rsidR="00ED3B04" w:rsidRPr="00ED3B04" w:rsidRDefault="005935DB" w:rsidP="00ED3B04">
      <w:pPr>
        <w:pStyle w:val="Heading1"/>
      </w:pPr>
      <w:r>
        <w:t>Focus of Study</w:t>
      </w:r>
    </w:p>
    <w:p w14:paraId="039A8BD1" w14:textId="77777777" w:rsidR="00A73E77" w:rsidRPr="00A73E77" w:rsidRDefault="00A73E77" w:rsidP="00A73E77">
      <w:pPr>
        <w:rPr>
          <w:shd w:val="clear" w:color="auto" w:fill="FFFFFF"/>
        </w:rPr>
      </w:pPr>
      <w:r w:rsidRPr="00A73E77">
        <w:rPr>
          <w:shd w:val="clear" w:color="auto" w:fill="FFFFFF"/>
        </w:rPr>
        <w:t xml:space="preserve">The focus of this study was to investigate, observe and spend time with both school and system leaders, teachers and institutions that demonstrated exemplary practices, and to identify elements that could be practically applied in NSW rural and remote schools. </w:t>
      </w:r>
    </w:p>
    <w:p w14:paraId="5AF280BB" w14:textId="77777777" w:rsidR="00A73E77" w:rsidRPr="00A73E77" w:rsidRDefault="00A73E77" w:rsidP="00A73E77">
      <w:pPr>
        <w:spacing w:after="120"/>
        <w:rPr>
          <w:shd w:val="clear" w:color="auto" w:fill="FFFFFF"/>
        </w:rPr>
      </w:pPr>
      <w:r w:rsidRPr="00A73E77">
        <w:rPr>
          <w:shd w:val="clear" w:color="auto" w:fill="FFFFFF"/>
        </w:rPr>
        <w:t>It focussed on:</w:t>
      </w:r>
    </w:p>
    <w:p w14:paraId="24415B6E" w14:textId="77777777" w:rsidR="00A73E77" w:rsidRPr="00A73E77" w:rsidRDefault="00A73E77" w:rsidP="00A73E77">
      <w:pPr>
        <w:pStyle w:val="ListParagraph"/>
        <w:numPr>
          <w:ilvl w:val="0"/>
          <w:numId w:val="27"/>
        </w:numPr>
        <w:ind w:left="511" w:hanging="284"/>
      </w:pPr>
      <w:r w:rsidRPr="00A73E77">
        <w:t>How we can better equip pre-service teachers to address the educational complexities in rural and remote schools</w:t>
      </w:r>
    </w:p>
    <w:p w14:paraId="7A5D4819" w14:textId="77777777" w:rsidR="00A73E77" w:rsidRPr="00A73E77" w:rsidRDefault="00A73E77" w:rsidP="00A73E77">
      <w:pPr>
        <w:pStyle w:val="ListParagraph"/>
        <w:numPr>
          <w:ilvl w:val="0"/>
          <w:numId w:val="27"/>
        </w:numPr>
        <w:ind w:left="511" w:hanging="284"/>
      </w:pPr>
      <w:r w:rsidRPr="00A73E77">
        <w:t>Incentives and support programs that help retain quality teachers in rural and remote schools</w:t>
      </w:r>
    </w:p>
    <w:p w14:paraId="66892619" w14:textId="7B5E342A" w:rsidR="00A73E77" w:rsidRPr="00A73E77" w:rsidRDefault="00A73E77" w:rsidP="00FB15FB">
      <w:pPr>
        <w:pStyle w:val="ListParagraph"/>
        <w:numPr>
          <w:ilvl w:val="0"/>
          <w:numId w:val="27"/>
        </w:numPr>
        <w:ind w:left="511" w:hanging="284"/>
      </w:pPr>
      <w:r w:rsidRPr="00A73E77">
        <w:t>Professional development and networking opportunities needed to retain teachers</w:t>
      </w:r>
    </w:p>
    <w:p w14:paraId="18D30A07" w14:textId="77777777" w:rsidR="00ED3B04" w:rsidRPr="00ED3B04" w:rsidRDefault="005935DB" w:rsidP="00943538">
      <w:pPr>
        <w:pStyle w:val="Heading1"/>
      </w:pPr>
      <w:r>
        <w:t>Significant Learning</w:t>
      </w:r>
    </w:p>
    <w:p w14:paraId="157A0A1E" w14:textId="77777777" w:rsidR="00A73E77" w:rsidRPr="00A73E77" w:rsidRDefault="00A73E77" w:rsidP="00A73E77">
      <w:pPr>
        <w:spacing w:after="120"/>
        <w:rPr>
          <w:shd w:val="clear" w:color="auto" w:fill="FFFFFF"/>
        </w:rPr>
      </w:pPr>
      <w:r w:rsidRPr="00A73E77">
        <w:rPr>
          <w:shd w:val="clear" w:color="auto" w:fill="FFFFFF"/>
        </w:rPr>
        <w:t>The issue of attracting and retaining teachers in rural and remote locations is multifaceted. There is no one single approach that will solve the problem. However, during the research, there were some common themes that emerged:</w:t>
      </w:r>
    </w:p>
    <w:p w14:paraId="05E2E0F7" w14:textId="77777777" w:rsidR="00A73E77" w:rsidRPr="00A73E77" w:rsidRDefault="00A73E77" w:rsidP="00A73E77">
      <w:pPr>
        <w:pStyle w:val="ListParagraph"/>
        <w:numPr>
          <w:ilvl w:val="0"/>
          <w:numId w:val="27"/>
        </w:numPr>
        <w:ind w:left="511" w:hanging="284"/>
      </w:pPr>
      <w:r w:rsidRPr="00A73E77">
        <w:t>Finding the right fit</w:t>
      </w:r>
    </w:p>
    <w:p w14:paraId="6BDD22D1" w14:textId="77777777" w:rsidR="00A73E77" w:rsidRPr="00A73E77" w:rsidRDefault="00A73E77" w:rsidP="00A73E77">
      <w:pPr>
        <w:pStyle w:val="ListParagraph"/>
        <w:numPr>
          <w:ilvl w:val="0"/>
          <w:numId w:val="27"/>
        </w:numPr>
        <w:ind w:left="511" w:hanging="284"/>
      </w:pPr>
      <w:r w:rsidRPr="00A73E77">
        <w:t>Creating community connections</w:t>
      </w:r>
    </w:p>
    <w:p w14:paraId="1D8DA9E2" w14:textId="77777777" w:rsidR="00A73E77" w:rsidRPr="00A73E77" w:rsidRDefault="00A73E77" w:rsidP="00A73E77">
      <w:pPr>
        <w:pStyle w:val="ListParagraph"/>
        <w:numPr>
          <w:ilvl w:val="0"/>
          <w:numId w:val="27"/>
        </w:numPr>
        <w:ind w:left="511" w:hanging="284"/>
      </w:pPr>
      <w:r w:rsidRPr="00A73E77">
        <w:t>Mentoring and networking opportunities</w:t>
      </w:r>
    </w:p>
    <w:p w14:paraId="5EBB039D" w14:textId="77777777" w:rsidR="00A73E77" w:rsidRPr="00A73E77" w:rsidRDefault="00A73E77" w:rsidP="00A73E77">
      <w:pPr>
        <w:pStyle w:val="ListParagraph"/>
        <w:numPr>
          <w:ilvl w:val="0"/>
          <w:numId w:val="27"/>
        </w:numPr>
        <w:ind w:left="511" w:hanging="284"/>
      </w:pPr>
      <w:r w:rsidRPr="00A73E77">
        <w:t>Early exposure</w:t>
      </w:r>
    </w:p>
    <w:p w14:paraId="478686EF" w14:textId="77777777" w:rsidR="00A73E77" w:rsidRPr="00A73E77" w:rsidRDefault="00A73E77" w:rsidP="00A73E77">
      <w:pPr>
        <w:pStyle w:val="ListParagraph"/>
        <w:numPr>
          <w:ilvl w:val="0"/>
          <w:numId w:val="27"/>
        </w:numPr>
        <w:ind w:left="511" w:hanging="284"/>
      </w:pPr>
      <w:r w:rsidRPr="00A73E77">
        <w:t>Adequate funding</w:t>
      </w:r>
    </w:p>
    <w:p w14:paraId="6653042C" w14:textId="77777777" w:rsidR="00A73E77" w:rsidRPr="000722A0" w:rsidRDefault="00A73E77" w:rsidP="000722A0">
      <w:pPr>
        <w:pStyle w:val="Heading3"/>
        <w:spacing w:after="120"/>
        <w:rPr>
          <w:sz w:val="26"/>
          <w:szCs w:val="26"/>
        </w:rPr>
      </w:pPr>
      <w:r w:rsidRPr="000722A0">
        <w:rPr>
          <w:sz w:val="26"/>
          <w:szCs w:val="26"/>
        </w:rPr>
        <w:t>Finding The Right Fit</w:t>
      </w:r>
    </w:p>
    <w:p w14:paraId="19D3E91F" w14:textId="77777777" w:rsidR="00A73E77" w:rsidRPr="00A73E77" w:rsidRDefault="00A73E77" w:rsidP="00A73E77">
      <w:pPr>
        <w:rPr>
          <w:shd w:val="clear" w:color="auto" w:fill="FFFFFF"/>
        </w:rPr>
      </w:pPr>
      <w:r w:rsidRPr="00A73E77">
        <w:rPr>
          <w:shd w:val="clear" w:color="auto" w:fill="FFFFFF"/>
        </w:rPr>
        <w:t xml:space="preserve">Adjusting to the cultural and social dynamics of rural communities can be particularly challenging for teachers coming from diverse, urban backgrounds. A key factor in rural teacher retention is finding teachers who are the ‘right fit.’ But how do we identify those individuals? It may seem that </w:t>
      </w:r>
      <w:r w:rsidRPr="00A73E77">
        <w:rPr>
          <w:shd w:val="clear" w:color="auto" w:fill="FFFFFF"/>
        </w:rPr>
        <w:lastRenderedPageBreak/>
        <w:t>students from rural towns would be the right fit, but many rural students leave their hometowns for better educational and career opportunities in urban areas, and few return after completing their studies. The lure of urban prospects amplifies their reluctance to return to rural or remote communities, where opportunities may seem limited. The diversity, opportunities, amenities and lifestyle of urban areas can often appear more attractive than what rural life offers.</w:t>
      </w:r>
    </w:p>
    <w:p w14:paraId="71A31BA2" w14:textId="77777777" w:rsidR="00A73E77" w:rsidRPr="00A73E77" w:rsidRDefault="00A73E77" w:rsidP="00A73E77">
      <w:pPr>
        <w:rPr>
          <w:shd w:val="clear" w:color="auto" w:fill="FFFFFF"/>
        </w:rPr>
      </w:pPr>
      <w:r w:rsidRPr="00A73E77">
        <w:rPr>
          <w:shd w:val="clear" w:color="auto" w:fill="FFFFFF"/>
        </w:rPr>
        <w:t>The solution, therefore, may lie in those who are already embedded in rural and remote schools—individuals who have already made a personal and professional investment in these communities. This could include teacher aides, school administration staff and paraprofessionals. Identifying these potential educators and offering them alternative pathways to full teaching accreditation has proven highly effective. The University of Calgary, through the Werklund School of Education, has developed a Community-Based Bachelor of Education program that addresses the issues of access and equity in the hope of mitigating the high turnover of teachers in rural and remote areas. The undergraduate program has over six different pathways to allow participants to achieve success. Since 2017, the completion rate has been 92 percent, and the retention rate is almost similar. It allows candidates to remain in their hometowns, provides financial support through stipends, and enables them to continue working. This flexibility transforms what might have been an unattainable goal into a tangible reality for individuals who may have otherwise found pursuing a teaching qualification impossible.</w:t>
      </w:r>
    </w:p>
    <w:p w14:paraId="1967F9BC" w14:textId="77777777" w:rsidR="00A73E77" w:rsidRPr="00A73E77" w:rsidRDefault="00A73E77" w:rsidP="00A73E77">
      <w:pPr>
        <w:rPr>
          <w:shd w:val="clear" w:color="auto" w:fill="FFFFFF"/>
        </w:rPr>
      </w:pPr>
      <w:r w:rsidRPr="00A73E77">
        <w:rPr>
          <w:shd w:val="clear" w:color="auto" w:fill="FFFFFF"/>
        </w:rPr>
        <w:t>The Colorado Centre for Rural Education (CCRE) has implemented a similar initiative called 'Grow Your Own.' Rural schools in Colorado's eastern plains face challenges in attracting teachers, and identifying individuals already embedded in the community has proven to be the most effective way to build a sustainable pipeline. By offering alternative study pathways, the program provides students with the flexibility to balance work and study, while also offering financial support.</w:t>
      </w:r>
    </w:p>
    <w:p w14:paraId="7912E0AC" w14:textId="77777777" w:rsidR="00A73E77" w:rsidRPr="000722A0" w:rsidRDefault="00A73E77" w:rsidP="000722A0">
      <w:pPr>
        <w:pStyle w:val="Heading3"/>
        <w:spacing w:after="120"/>
        <w:rPr>
          <w:sz w:val="26"/>
          <w:szCs w:val="26"/>
        </w:rPr>
      </w:pPr>
      <w:r w:rsidRPr="000722A0">
        <w:rPr>
          <w:sz w:val="26"/>
          <w:szCs w:val="26"/>
        </w:rPr>
        <w:t>Creating Community Connections</w:t>
      </w:r>
    </w:p>
    <w:p w14:paraId="644228B5" w14:textId="0E9EB165" w:rsidR="00A73E77" w:rsidRPr="00A73E77" w:rsidRDefault="00A73E77" w:rsidP="00A73E77">
      <w:pPr>
        <w:rPr>
          <w:shd w:val="clear" w:color="auto" w:fill="FFFFFF"/>
        </w:rPr>
      </w:pPr>
      <w:r w:rsidRPr="00A73E77">
        <w:rPr>
          <w:shd w:val="clear" w:color="auto" w:fill="FFFFFF"/>
        </w:rPr>
        <w:t>For urban students who relocate to rural and remote communities to teach, a critical factor in their decision to stay is their connection to the community</w:t>
      </w:r>
      <w:r w:rsidR="00484900">
        <w:rPr>
          <w:shd w:val="clear" w:color="auto" w:fill="FFFFFF"/>
        </w:rPr>
        <w:t xml:space="preserve">, and </w:t>
      </w:r>
      <w:r w:rsidRPr="00A73E77">
        <w:rPr>
          <w:shd w:val="clear" w:color="auto" w:fill="FFFFFF"/>
        </w:rPr>
        <w:t>the value of this cannot be overstated (Brenner, Azano, Downey 2021). Building strong social relationships within their local community helps these teachers feel a sense of belonging. Community integration not only fosters personal fulfillment but also enhances job satisfaction, as teachers are more likely to remain in environments where they feel supported, valued, and engaged.</w:t>
      </w:r>
    </w:p>
    <w:p w14:paraId="59209C44" w14:textId="77777777" w:rsidR="00A73E77" w:rsidRPr="00A73E77" w:rsidRDefault="00A73E77" w:rsidP="00A73E77">
      <w:pPr>
        <w:rPr>
          <w:shd w:val="clear" w:color="auto" w:fill="FFFFFF"/>
        </w:rPr>
      </w:pPr>
      <w:r w:rsidRPr="00A73E77">
        <w:rPr>
          <w:shd w:val="clear" w:color="auto" w:fill="FFFFFF"/>
        </w:rPr>
        <w:t>It is recognised that it is much more difficult for non-local teachers to develop these connections when they don’t have a history with the community (Halsey 2018). Communities that facilitate social networking opportunities and community involvement are essential to helping urban teachers develop these connections. The more integrated they feel, the more likely they are to make long-term commitments to these communities. A successful example of this approach is the Rural Health Professions Action Plan (RhPAP) in Edmonton, Canada, which has been supporting rural Albertan communities in attracting and retaining healthcare providers for over 30 years. A key to their success is the creation of 60 attraction and retention committees, representing over 140 communities. These committees are made up of local municipal and business leaders, as well as individuals deeply invested in the future of their communities. They focus on integrating new members socially, connecting them with local clubs, sporting organisations, and churches. This approach fosters a sense of belonging and encourages long-term commitment to the community. The issues for rural health and education are very closely aligned and this type of community support would easily transfer to the NSW education system.</w:t>
      </w:r>
    </w:p>
    <w:p w14:paraId="5317C7DA" w14:textId="77777777" w:rsidR="00A73E77" w:rsidRPr="00A73E77" w:rsidRDefault="00A73E77" w:rsidP="00A73E77">
      <w:pPr>
        <w:rPr>
          <w:shd w:val="clear" w:color="auto" w:fill="FFFFFF"/>
        </w:rPr>
      </w:pPr>
      <w:r w:rsidRPr="00A73E77">
        <w:rPr>
          <w:shd w:val="clear" w:color="auto" w:fill="FFFFFF"/>
        </w:rPr>
        <w:t xml:space="preserve">The Welcome Experience NSW is a free service designed to support essential workers and their families who are either considering or have accepted jobs in regional and rural NSW. A local </w:t>
      </w:r>
      <w:r w:rsidRPr="00A73E77">
        <w:rPr>
          <w:shd w:val="clear" w:color="auto" w:fill="FFFFFF"/>
        </w:rPr>
        <w:lastRenderedPageBreak/>
        <w:t>connector is appointed to assist with practical aspects of life, such as securing housing, finding childcare, helping partners with employment opportunities, and facilitating social and cultural connections. Currently, the service operates in seven council regions across NSW, with plans to gradually expand into eight additional regions. This service began as a pilot program, but the commitment to its expansion highlights the recognition of its value in helping teachers feel more connected to their communities. By addressing practical needs and fostering social ties, the program will play a crucial role in supporting teacher retention in regional and rural areas.</w:t>
      </w:r>
    </w:p>
    <w:p w14:paraId="465F49B5" w14:textId="77777777" w:rsidR="00A73E77" w:rsidRPr="000722A0" w:rsidRDefault="00A73E77" w:rsidP="000722A0">
      <w:pPr>
        <w:pStyle w:val="Heading3"/>
        <w:spacing w:after="120"/>
        <w:rPr>
          <w:sz w:val="26"/>
          <w:szCs w:val="26"/>
        </w:rPr>
      </w:pPr>
      <w:r w:rsidRPr="000722A0">
        <w:rPr>
          <w:sz w:val="26"/>
          <w:szCs w:val="26"/>
        </w:rPr>
        <w:t>Mentoring, Networking, Professional Development Opportunities</w:t>
      </w:r>
    </w:p>
    <w:p w14:paraId="509B7022" w14:textId="3D6519B6" w:rsidR="00A73E77" w:rsidRPr="00A73E77" w:rsidRDefault="00A73E77" w:rsidP="00A73E77">
      <w:pPr>
        <w:rPr>
          <w:shd w:val="clear" w:color="auto" w:fill="FFFFFF"/>
        </w:rPr>
      </w:pPr>
      <w:r w:rsidRPr="00A73E77">
        <w:rPr>
          <w:shd w:val="clear" w:color="auto" w:fill="FFFFFF"/>
        </w:rPr>
        <w:t xml:space="preserve">Teaching in rural and remote schools presents a range of complexities seldom encountered in metropolitan settings. Many principals in these schools are also teaching, and classes are frequently composite, covering multiple stages. This situation is further complicated by the high number of beginning teachers in rural schools, who not only face the challenges of adapting to teaching but also take on additional responsibilities to meet the needs of their small communities. Research indicates that strong support systems are vital (Hayes, Lachlan-Hache, Williams 2019). Without adequate support, a cycle where early career teachers mentor other early career teachers can develop, which is an unsustainable approach. The country can sometimes be seen as a good place for a teacher to start their career, but not devote their career to (Halsey 2018). If schools want to maintain quality, committed and effective teachers, </w:t>
      </w:r>
      <w:r w:rsidR="001A680E">
        <w:rPr>
          <w:shd w:val="clear" w:color="auto" w:fill="FFFFFF"/>
        </w:rPr>
        <w:t xml:space="preserve">then </w:t>
      </w:r>
      <w:r w:rsidRPr="00A73E77">
        <w:rPr>
          <w:shd w:val="clear" w:color="auto" w:fill="FFFFFF"/>
        </w:rPr>
        <w:t xml:space="preserve">extensive support needs to be provided. </w:t>
      </w:r>
    </w:p>
    <w:p w14:paraId="762997D9" w14:textId="77777777" w:rsidR="00A73E77" w:rsidRPr="00A73E77" w:rsidRDefault="00A73E77" w:rsidP="00A73E77">
      <w:pPr>
        <w:rPr>
          <w:shd w:val="clear" w:color="auto" w:fill="FFFFFF"/>
        </w:rPr>
      </w:pPr>
      <w:r w:rsidRPr="00A73E77">
        <w:rPr>
          <w:shd w:val="clear" w:color="auto" w:fill="FFFFFF"/>
        </w:rPr>
        <w:t xml:space="preserve">Mid-career teachers in rural areas also require access to high-quality professional learning and networking to counter the isolation that can occur when they lack colleagues to engage in professional dialogue. Halsey (2018) cites that principals highlighted that high staff turnover rates were directly linked to the lack of networking and professional development opportunities. Schools that offer strong support systems and professional growth avenues are better equipped to retain teachers, improve morale, and ensure long-term stability. </w:t>
      </w:r>
    </w:p>
    <w:p w14:paraId="34B35552" w14:textId="77777777" w:rsidR="00A73E77" w:rsidRPr="00A73E77" w:rsidRDefault="00A73E77" w:rsidP="00A73E77">
      <w:pPr>
        <w:rPr>
          <w:shd w:val="clear" w:color="auto" w:fill="FFFFFF"/>
        </w:rPr>
      </w:pPr>
      <w:r w:rsidRPr="00A73E77">
        <w:rPr>
          <w:shd w:val="clear" w:color="auto" w:fill="FFFFFF"/>
        </w:rPr>
        <w:t xml:space="preserve">An example of a successful program that provides mentoring, networking, and professional development opportunities is the Northwest Rural Innovation and Student Engagement (NW RISE) Network. This initiative connects teachers and leaders from isolated and remote communities across the Pacific Northwest, USA. Participants meet face-to-face twice a year and maintain ongoing collaboration through virtual platforms throughout the year. The program fosters a strong professional community, allowing educators to share best practices, access valuable resources, and receive support, all of which is targeted to their contextual needs and helps combat the isolation experienced in rural schools, especially for beginning teachers. </w:t>
      </w:r>
    </w:p>
    <w:p w14:paraId="5EDCFD6F" w14:textId="77777777" w:rsidR="00A73E77" w:rsidRPr="00A73E77" w:rsidRDefault="00A73E77" w:rsidP="00A73E77">
      <w:pPr>
        <w:rPr>
          <w:shd w:val="clear" w:color="auto" w:fill="FFFFFF"/>
        </w:rPr>
      </w:pPr>
      <w:r w:rsidRPr="00A73E77">
        <w:rPr>
          <w:shd w:val="clear" w:color="auto" w:fill="FFFFFF"/>
        </w:rPr>
        <w:t>The success of NW RISE is grounded in the research of Andy Hargreaves and Michael T. O’Connor on Collaborative Professionalism (2018). Their work identified eight key elements that characterise successful, high-performing networks. These elements were incorporated into the design of NW RISE, leading to collaboration that is both deep and sustainable. Meeting with Michael led to discussion on how the same framework could be adapted in NSW to address the isolation experienced by teachers in rural and remote communities, fostering a more connected and supportive professional environment. By implementing these elements, NSW could enhance teacher retention and promote a stronger sense of community among educators.</w:t>
      </w:r>
    </w:p>
    <w:p w14:paraId="5EF37293" w14:textId="77777777" w:rsidR="00A73E77" w:rsidRPr="00A73E77" w:rsidRDefault="00A73E77" w:rsidP="00A73E77">
      <w:pPr>
        <w:rPr>
          <w:shd w:val="clear" w:color="auto" w:fill="FFFFFF"/>
        </w:rPr>
      </w:pPr>
      <w:r w:rsidRPr="00A73E77">
        <w:rPr>
          <w:shd w:val="clear" w:color="auto" w:fill="FFFFFF"/>
        </w:rPr>
        <w:t xml:space="preserve">The Rural School Leadership Academy, run by Teach for America, is designed for educators passionate about rural education and recognises the importance of supporting mid-career teachers through leadership development and networking opportunities. The program is built on the Harvard Graduate School of Education course, Teachers Mentoring Teachers: Practices for Powerful Professional Communities. It emphasises that teachers in rural and remote areas require clear </w:t>
      </w:r>
      <w:r w:rsidRPr="00A73E77">
        <w:rPr>
          <w:shd w:val="clear" w:color="auto" w:fill="FFFFFF"/>
        </w:rPr>
        <w:lastRenderedPageBreak/>
        <w:t>leadership pathways, along with mentorship and networking, to advance their careers. The Academy understands that teachers, regardless of their career stage, need ongoing support to remain committed to teaching in rural and remote schools. They understand that support must be tailored to the unique context of rural communities. Centralised solutions delivered from urban centres with a 'one size fits all' approach are often ineffective. Instead, a more localised, rural-focused strategy is essential to meet the specific needs of these teachers.</w:t>
      </w:r>
    </w:p>
    <w:p w14:paraId="3C7F56C8" w14:textId="77777777" w:rsidR="00A73E77" w:rsidRPr="00A73E77" w:rsidRDefault="00A73E77" w:rsidP="00A73E77">
      <w:pPr>
        <w:rPr>
          <w:shd w:val="clear" w:color="auto" w:fill="FFFFFF"/>
        </w:rPr>
      </w:pPr>
      <w:r w:rsidRPr="00A73E77">
        <w:rPr>
          <w:shd w:val="clear" w:color="auto" w:fill="FFFFFF"/>
        </w:rPr>
        <w:t xml:space="preserve">Similarly, the CCRE has also recognised these needs. Their mission is to support rural educators in Colorado by facilitating rural teacher leadership programs and fostering professional networks for educators in these communities. These opportunities are incredibly important. </w:t>
      </w:r>
    </w:p>
    <w:p w14:paraId="3D829EE6" w14:textId="77777777" w:rsidR="00A73E77" w:rsidRPr="000722A0" w:rsidRDefault="00A73E77" w:rsidP="000722A0">
      <w:pPr>
        <w:pStyle w:val="Heading3"/>
        <w:spacing w:after="120"/>
        <w:rPr>
          <w:sz w:val="26"/>
          <w:szCs w:val="26"/>
        </w:rPr>
      </w:pPr>
      <w:r w:rsidRPr="000722A0">
        <w:rPr>
          <w:sz w:val="26"/>
          <w:szCs w:val="26"/>
        </w:rPr>
        <w:t>Early Exposure</w:t>
      </w:r>
    </w:p>
    <w:p w14:paraId="5716A2F0" w14:textId="77777777" w:rsidR="00A73E77" w:rsidRPr="00A73E77" w:rsidRDefault="00A73E77" w:rsidP="00A73E77">
      <w:pPr>
        <w:rPr>
          <w:shd w:val="clear" w:color="auto" w:fill="FFFFFF"/>
        </w:rPr>
      </w:pPr>
      <w:r w:rsidRPr="00A73E77">
        <w:rPr>
          <w:shd w:val="clear" w:color="auto" w:fill="FFFFFF"/>
        </w:rPr>
        <w:t>Exposure to the opportunities that teaching in rural communities can offer should begin as early as high school. The highly successful RhPAP program in Alberta, Canada, demonstrates the success of introducing young people to rural careers early.  The earlier and longer students are exposed to rural environments, the more likely they are to consider rural careers. Showcasing the unique aspects of rural lifestyles and the diverse experiences available whilst students are still in high school, inspire students to explore the rewarding path of working in these communities. Early engagement allows students to see firsthand the benefits and possibilities that rural teaching offers, increasing the likelihood they will pursue it.</w:t>
      </w:r>
    </w:p>
    <w:p w14:paraId="1A75B2AC" w14:textId="77777777" w:rsidR="00A73E77" w:rsidRPr="00A73E77" w:rsidRDefault="00A73E77" w:rsidP="00A73E77">
      <w:pPr>
        <w:rPr>
          <w:shd w:val="clear" w:color="auto" w:fill="FFFFFF"/>
        </w:rPr>
      </w:pPr>
      <w:r w:rsidRPr="00A73E77">
        <w:rPr>
          <w:shd w:val="clear" w:color="auto" w:fill="FFFFFF"/>
        </w:rPr>
        <w:t>A key priority of Flinders University in South Australia is to enhance the engagement of pre-service teachers in rural and remote areas. This is achieved through several initiatives. Lectures equip students to navigate the unique challenges of rural classrooms, while they are actively encouraged and financially supported to undertake placements in rural schools. Additionally, students who have completed rural placements participate in workshops to share their experiences with peers.</w:t>
      </w:r>
    </w:p>
    <w:p w14:paraId="30543006" w14:textId="77777777" w:rsidR="00A73E77" w:rsidRPr="00A73E77" w:rsidRDefault="00A73E77" w:rsidP="00A73E77">
      <w:pPr>
        <w:rPr>
          <w:shd w:val="clear" w:color="auto" w:fill="FFFFFF"/>
        </w:rPr>
      </w:pPr>
      <w:r w:rsidRPr="00A73E77">
        <w:rPr>
          <w:shd w:val="clear" w:color="auto" w:fill="FFFFFF"/>
        </w:rPr>
        <w:t xml:space="preserve">Halsey (2018) highlights that for pre-service students to successfully transition into rural and remote schools, deep engagement on being a teacher in a rural and remote context during initial teacher training is essential. This involves not only exposure to the complex dynamics within these schools such as multi-age/across stage classrooms, but also a focus on rural sociology, building relationships with parents and families, and navigating the lack of anonymity inherent in small communities. This is particularly so in indigenous communities where the complexities are even more challenging without proper inductions to the community. </w:t>
      </w:r>
    </w:p>
    <w:p w14:paraId="551B0487" w14:textId="77777777" w:rsidR="00A73E77" w:rsidRPr="000722A0" w:rsidRDefault="00A73E77" w:rsidP="000722A0">
      <w:pPr>
        <w:pStyle w:val="Heading3"/>
        <w:spacing w:after="120"/>
        <w:rPr>
          <w:sz w:val="26"/>
          <w:szCs w:val="26"/>
        </w:rPr>
      </w:pPr>
      <w:r w:rsidRPr="000722A0">
        <w:rPr>
          <w:sz w:val="26"/>
          <w:szCs w:val="26"/>
        </w:rPr>
        <w:t>Adequate Funding</w:t>
      </w:r>
    </w:p>
    <w:p w14:paraId="0889995F" w14:textId="77777777" w:rsidR="00A73E77" w:rsidRPr="00A73E77" w:rsidRDefault="00A73E77" w:rsidP="00A73E77">
      <w:pPr>
        <w:rPr>
          <w:shd w:val="clear" w:color="auto" w:fill="FFFFFF"/>
        </w:rPr>
      </w:pPr>
      <w:r w:rsidRPr="00A73E77">
        <w:rPr>
          <w:shd w:val="clear" w:color="auto" w:fill="FFFFFF"/>
        </w:rPr>
        <w:t xml:space="preserve">Central to the success of all these initiatives is the necessity of adequate funding. If retaining teachers in rural and remote schools is a priority for ensuring student equity, then the adequate financial support must be equally prioritised. </w:t>
      </w:r>
    </w:p>
    <w:p w14:paraId="21CD7B53" w14:textId="1622C728" w:rsidR="00A73E77" w:rsidRDefault="00A73E77" w:rsidP="00A73E77">
      <w:pPr>
        <w:pStyle w:val="ListParagraph"/>
        <w:numPr>
          <w:ilvl w:val="0"/>
          <w:numId w:val="27"/>
        </w:numPr>
        <w:ind w:left="511" w:hanging="284"/>
      </w:pPr>
      <w:r w:rsidRPr="00A73E77">
        <w:rPr>
          <w:b/>
          <w:bCs/>
        </w:rPr>
        <w:t>Financial incentives:</w:t>
      </w:r>
      <w:r w:rsidRPr="00A73E77">
        <w:t xml:space="preserve"> Financial incentives emerged as a common theme, with stipends and financial support helping students undertake placements in rural and remote schools by covering accommodation and living expenses. RhPAP not only offers scholarships for students in training but also provides access to 135 fully furnished apartments across Alberta, free of charge for those on rural placements. Similarly, the CCRE offers stipends to both pre-service and in-service teachers, significantly improving teacher retention. In 2016, they received a USD $5 million grant to support this initiative, which has proven highly successful. Pre-service teachers receive a one-off payment of USD$4000 from CCRE and another USD$11,000 from the state government. </w:t>
      </w:r>
    </w:p>
    <w:p w14:paraId="3784CA96" w14:textId="77777777" w:rsidR="001A680E" w:rsidRPr="00A73E77" w:rsidRDefault="001A680E" w:rsidP="001A680E"/>
    <w:p w14:paraId="0270B835" w14:textId="7A802DE6" w:rsidR="00A73E77" w:rsidRPr="00B252EA" w:rsidRDefault="00B252EA" w:rsidP="001A680E">
      <w:pPr>
        <w:pStyle w:val="Caption"/>
        <w:ind w:firstLine="511"/>
      </w:pPr>
      <w:r w:rsidRPr="00B252EA">
        <w:lastRenderedPageBreak/>
        <w:t>Table 1: Retention of CCRE stipend recipients (2017 – 2023)</w:t>
      </w:r>
    </w:p>
    <w:tbl>
      <w:tblPr>
        <w:tblStyle w:val="TableGrid"/>
        <w:tblW w:w="9064" w:type="dxa"/>
        <w:tblInd w:w="562" w:type="dxa"/>
        <w:tblLook w:val="04A0" w:firstRow="1" w:lastRow="0" w:firstColumn="1" w:lastColumn="0" w:noHBand="0" w:noVBand="1"/>
      </w:tblPr>
      <w:tblGrid>
        <w:gridCol w:w="2835"/>
        <w:gridCol w:w="2076"/>
        <w:gridCol w:w="2076"/>
        <w:gridCol w:w="2077"/>
      </w:tblGrid>
      <w:tr w:rsidR="00B252EA" w:rsidRPr="001A680E" w14:paraId="0C0186B7" w14:textId="77777777" w:rsidTr="001A680E">
        <w:tc>
          <w:tcPr>
            <w:tcW w:w="2835" w:type="dxa"/>
          </w:tcPr>
          <w:p w14:paraId="235E77FC" w14:textId="77777777" w:rsidR="00B252EA" w:rsidRPr="001A680E" w:rsidRDefault="00B252EA" w:rsidP="001A680E">
            <w:pPr>
              <w:pBdr>
                <w:top w:val="none" w:sz="0" w:space="0" w:color="auto"/>
                <w:left w:val="none" w:sz="0" w:space="0" w:color="auto"/>
                <w:bottom w:val="none" w:sz="0" w:space="0" w:color="auto"/>
                <w:right w:val="none" w:sz="0" w:space="0" w:color="auto"/>
                <w:between w:val="none" w:sz="0" w:space="0" w:color="auto"/>
              </w:pBdr>
              <w:spacing w:before="0" w:after="0"/>
              <w:jc w:val="center"/>
              <w:rPr>
                <w:rFonts w:cs="Arial"/>
                <w:b/>
                <w:bCs/>
                <w:sz w:val="20"/>
                <w:szCs w:val="20"/>
              </w:rPr>
            </w:pPr>
          </w:p>
        </w:tc>
        <w:tc>
          <w:tcPr>
            <w:tcW w:w="2076" w:type="dxa"/>
            <w:shd w:val="clear" w:color="auto" w:fill="E2EFD9" w:themeFill="accent6" w:themeFillTint="33"/>
          </w:tcPr>
          <w:p w14:paraId="7A2DBE4F" w14:textId="77777777" w:rsidR="00B252EA" w:rsidRPr="001A680E" w:rsidRDefault="00B252EA" w:rsidP="001A680E">
            <w:pPr>
              <w:pBdr>
                <w:top w:val="none" w:sz="0" w:space="0" w:color="auto"/>
                <w:left w:val="none" w:sz="0" w:space="0" w:color="auto"/>
                <w:bottom w:val="none" w:sz="0" w:space="0" w:color="auto"/>
                <w:right w:val="none" w:sz="0" w:space="0" w:color="auto"/>
                <w:between w:val="none" w:sz="0" w:space="0" w:color="auto"/>
              </w:pBdr>
              <w:spacing w:before="0" w:after="0"/>
              <w:jc w:val="center"/>
              <w:rPr>
                <w:rFonts w:cs="Arial"/>
                <w:sz w:val="20"/>
                <w:szCs w:val="20"/>
              </w:rPr>
            </w:pPr>
            <w:r w:rsidRPr="001A680E">
              <w:rPr>
                <w:rFonts w:cs="Arial"/>
                <w:sz w:val="20"/>
                <w:szCs w:val="20"/>
              </w:rPr>
              <w:t>Rural teachers statewide</w:t>
            </w:r>
          </w:p>
        </w:tc>
        <w:tc>
          <w:tcPr>
            <w:tcW w:w="2076" w:type="dxa"/>
            <w:shd w:val="clear" w:color="auto" w:fill="E2EFD9" w:themeFill="accent6" w:themeFillTint="33"/>
          </w:tcPr>
          <w:p w14:paraId="47EACCA4" w14:textId="77777777" w:rsidR="00B252EA" w:rsidRPr="001A680E" w:rsidRDefault="00B252EA" w:rsidP="001A680E">
            <w:pPr>
              <w:pBdr>
                <w:top w:val="none" w:sz="0" w:space="0" w:color="auto"/>
                <w:left w:val="none" w:sz="0" w:space="0" w:color="auto"/>
                <w:bottom w:val="none" w:sz="0" w:space="0" w:color="auto"/>
                <w:right w:val="none" w:sz="0" w:space="0" w:color="auto"/>
                <w:between w:val="none" w:sz="0" w:space="0" w:color="auto"/>
              </w:pBdr>
              <w:spacing w:before="0" w:after="0"/>
              <w:jc w:val="center"/>
              <w:rPr>
                <w:rFonts w:cs="Arial"/>
                <w:sz w:val="20"/>
                <w:szCs w:val="20"/>
              </w:rPr>
            </w:pPr>
            <w:r w:rsidRPr="001A680E">
              <w:rPr>
                <w:rFonts w:cs="Arial"/>
                <w:sz w:val="20"/>
                <w:szCs w:val="20"/>
              </w:rPr>
              <w:t>Pre-service stipend recipients</w:t>
            </w:r>
          </w:p>
        </w:tc>
        <w:tc>
          <w:tcPr>
            <w:tcW w:w="2077" w:type="dxa"/>
            <w:shd w:val="clear" w:color="auto" w:fill="E2EFD9" w:themeFill="accent6" w:themeFillTint="33"/>
          </w:tcPr>
          <w:p w14:paraId="15B997CE" w14:textId="77777777" w:rsidR="00B252EA" w:rsidRPr="001A680E" w:rsidRDefault="00B252EA" w:rsidP="001A680E">
            <w:pPr>
              <w:pBdr>
                <w:top w:val="none" w:sz="0" w:space="0" w:color="auto"/>
                <w:left w:val="none" w:sz="0" w:space="0" w:color="auto"/>
                <w:bottom w:val="none" w:sz="0" w:space="0" w:color="auto"/>
                <w:right w:val="none" w:sz="0" w:space="0" w:color="auto"/>
                <w:between w:val="none" w:sz="0" w:space="0" w:color="auto"/>
              </w:pBdr>
              <w:spacing w:before="0" w:after="0"/>
              <w:jc w:val="center"/>
              <w:rPr>
                <w:rFonts w:cs="Arial"/>
                <w:sz w:val="20"/>
                <w:szCs w:val="20"/>
              </w:rPr>
            </w:pPr>
            <w:r w:rsidRPr="001A680E">
              <w:rPr>
                <w:rFonts w:cs="Arial"/>
                <w:sz w:val="20"/>
                <w:szCs w:val="20"/>
              </w:rPr>
              <w:t>In-service rural stipend recipients</w:t>
            </w:r>
          </w:p>
        </w:tc>
      </w:tr>
      <w:tr w:rsidR="00B252EA" w:rsidRPr="001A680E" w14:paraId="02C2613A" w14:textId="77777777" w:rsidTr="001A680E">
        <w:tc>
          <w:tcPr>
            <w:tcW w:w="2835" w:type="dxa"/>
            <w:shd w:val="clear" w:color="auto" w:fill="FF9999"/>
          </w:tcPr>
          <w:p w14:paraId="3199DBE5" w14:textId="77777777" w:rsidR="00B252EA" w:rsidRPr="001A680E" w:rsidRDefault="00B252EA" w:rsidP="001A680E">
            <w:pPr>
              <w:pBdr>
                <w:top w:val="none" w:sz="0" w:space="0" w:color="auto"/>
                <w:left w:val="none" w:sz="0" w:space="0" w:color="auto"/>
                <w:bottom w:val="none" w:sz="0" w:space="0" w:color="auto"/>
                <w:right w:val="none" w:sz="0" w:space="0" w:color="auto"/>
                <w:between w:val="none" w:sz="0" w:space="0" w:color="auto"/>
              </w:pBdr>
              <w:spacing w:before="0" w:after="0"/>
              <w:jc w:val="center"/>
              <w:rPr>
                <w:rFonts w:cs="Arial"/>
                <w:sz w:val="20"/>
                <w:szCs w:val="20"/>
              </w:rPr>
            </w:pPr>
            <w:r w:rsidRPr="001A680E">
              <w:rPr>
                <w:rFonts w:cs="Arial"/>
                <w:sz w:val="20"/>
                <w:szCs w:val="20"/>
              </w:rPr>
              <w:t>Retained for at least 1 year</w:t>
            </w:r>
          </w:p>
        </w:tc>
        <w:tc>
          <w:tcPr>
            <w:tcW w:w="2076" w:type="dxa"/>
          </w:tcPr>
          <w:p w14:paraId="7695A99E" w14:textId="77777777" w:rsidR="00B252EA" w:rsidRPr="001A680E" w:rsidRDefault="00B252EA" w:rsidP="001A680E">
            <w:pPr>
              <w:pBdr>
                <w:top w:val="none" w:sz="0" w:space="0" w:color="auto"/>
                <w:left w:val="none" w:sz="0" w:space="0" w:color="auto"/>
                <w:bottom w:val="none" w:sz="0" w:space="0" w:color="auto"/>
                <w:right w:val="none" w:sz="0" w:space="0" w:color="auto"/>
                <w:between w:val="none" w:sz="0" w:space="0" w:color="auto"/>
              </w:pBdr>
              <w:spacing w:before="0" w:after="0"/>
              <w:jc w:val="center"/>
              <w:rPr>
                <w:rFonts w:cs="Arial"/>
                <w:sz w:val="20"/>
                <w:szCs w:val="20"/>
              </w:rPr>
            </w:pPr>
            <w:r w:rsidRPr="001A680E">
              <w:rPr>
                <w:rFonts w:cs="Arial"/>
                <w:sz w:val="20"/>
                <w:szCs w:val="20"/>
              </w:rPr>
              <w:t>81%</w:t>
            </w:r>
          </w:p>
        </w:tc>
        <w:tc>
          <w:tcPr>
            <w:tcW w:w="2076" w:type="dxa"/>
          </w:tcPr>
          <w:p w14:paraId="669912E6" w14:textId="77777777" w:rsidR="00B252EA" w:rsidRPr="001A680E" w:rsidRDefault="00B252EA" w:rsidP="001A680E">
            <w:pPr>
              <w:pBdr>
                <w:top w:val="none" w:sz="0" w:space="0" w:color="auto"/>
                <w:left w:val="none" w:sz="0" w:space="0" w:color="auto"/>
                <w:bottom w:val="none" w:sz="0" w:space="0" w:color="auto"/>
                <w:right w:val="none" w:sz="0" w:space="0" w:color="auto"/>
                <w:between w:val="none" w:sz="0" w:space="0" w:color="auto"/>
              </w:pBdr>
              <w:spacing w:before="0" w:after="0"/>
              <w:jc w:val="center"/>
              <w:rPr>
                <w:rFonts w:cs="Arial"/>
                <w:sz w:val="20"/>
                <w:szCs w:val="20"/>
              </w:rPr>
            </w:pPr>
            <w:r w:rsidRPr="001A680E">
              <w:rPr>
                <w:rFonts w:cs="Arial"/>
                <w:sz w:val="20"/>
                <w:szCs w:val="20"/>
              </w:rPr>
              <w:t>86%</w:t>
            </w:r>
          </w:p>
        </w:tc>
        <w:tc>
          <w:tcPr>
            <w:tcW w:w="2077" w:type="dxa"/>
          </w:tcPr>
          <w:p w14:paraId="1976EF2D" w14:textId="77777777" w:rsidR="00B252EA" w:rsidRPr="001A680E" w:rsidRDefault="00B252EA" w:rsidP="001A680E">
            <w:pPr>
              <w:pBdr>
                <w:top w:val="none" w:sz="0" w:space="0" w:color="auto"/>
                <w:left w:val="none" w:sz="0" w:space="0" w:color="auto"/>
                <w:bottom w:val="none" w:sz="0" w:space="0" w:color="auto"/>
                <w:right w:val="none" w:sz="0" w:space="0" w:color="auto"/>
                <w:between w:val="none" w:sz="0" w:space="0" w:color="auto"/>
              </w:pBdr>
              <w:spacing w:before="0" w:after="0"/>
              <w:jc w:val="center"/>
              <w:rPr>
                <w:rFonts w:cs="Arial"/>
                <w:sz w:val="20"/>
                <w:szCs w:val="20"/>
              </w:rPr>
            </w:pPr>
            <w:r w:rsidRPr="001A680E">
              <w:rPr>
                <w:rFonts w:cs="Arial"/>
                <w:sz w:val="20"/>
                <w:szCs w:val="20"/>
              </w:rPr>
              <w:t>91%</w:t>
            </w:r>
          </w:p>
        </w:tc>
      </w:tr>
      <w:tr w:rsidR="00B252EA" w:rsidRPr="001A680E" w14:paraId="4C471436" w14:textId="77777777" w:rsidTr="001A680E">
        <w:tc>
          <w:tcPr>
            <w:tcW w:w="2835" w:type="dxa"/>
            <w:shd w:val="clear" w:color="auto" w:fill="FBE4D5" w:themeFill="accent2" w:themeFillTint="33"/>
          </w:tcPr>
          <w:p w14:paraId="7618934F" w14:textId="77777777" w:rsidR="00B252EA" w:rsidRPr="001A680E" w:rsidRDefault="00B252EA" w:rsidP="001A680E">
            <w:pPr>
              <w:pBdr>
                <w:top w:val="none" w:sz="0" w:space="0" w:color="auto"/>
                <w:left w:val="none" w:sz="0" w:space="0" w:color="auto"/>
                <w:bottom w:val="none" w:sz="0" w:space="0" w:color="auto"/>
                <w:right w:val="none" w:sz="0" w:space="0" w:color="auto"/>
                <w:between w:val="none" w:sz="0" w:space="0" w:color="auto"/>
              </w:pBdr>
              <w:spacing w:before="0" w:after="0"/>
              <w:jc w:val="center"/>
              <w:rPr>
                <w:rFonts w:cs="Arial"/>
                <w:sz w:val="20"/>
                <w:szCs w:val="20"/>
              </w:rPr>
            </w:pPr>
            <w:r w:rsidRPr="001A680E">
              <w:rPr>
                <w:rFonts w:cs="Arial"/>
                <w:sz w:val="20"/>
                <w:szCs w:val="20"/>
              </w:rPr>
              <w:t>Retained for at least 2 years</w:t>
            </w:r>
          </w:p>
        </w:tc>
        <w:tc>
          <w:tcPr>
            <w:tcW w:w="2076" w:type="dxa"/>
          </w:tcPr>
          <w:p w14:paraId="27D8221B" w14:textId="77777777" w:rsidR="00B252EA" w:rsidRPr="001A680E" w:rsidRDefault="00B252EA" w:rsidP="001A680E">
            <w:pPr>
              <w:pBdr>
                <w:top w:val="none" w:sz="0" w:space="0" w:color="auto"/>
                <w:left w:val="none" w:sz="0" w:space="0" w:color="auto"/>
                <w:bottom w:val="none" w:sz="0" w:space="0" w:color="auto"/>
                <w:right w:val="none" w:sz="0" w:space="0" w:color="auto"/>
                <w:between w:val="none" w:sz="0" w:space="0" w:color="auto"/>
              </w:pBdr>
              <w:spacing w:before="0" w:after="0"/>
              <w:jc w:val="center"/>
              <w:rPr>
                <w:rFonts w:cs="Arial"/>
                <w:sz w:val="20"/>
                <w:szCs w:val="20"/>
              </w:rPr>
            </w:pPr>
            <w:r w:rsidRPr="001A680E">
              <w:rPr>
                <w:rFonts w:cs="Arial"/>
                <w:sz w:val="20"/>
                <w:szCs w:val="20"/>
              </w:rPr>
              <w:t>67%</w:t>
            </w:r>
          </w:p>
        </w:tc>
        <w:tc>
          <w:tcPr>
            <w:tcW w:w="2076" w:type="dxa"/>
          </w:tcPr>
          <w:p w14:paraId="29A13FA6" w14:textId="77777777" w:rsidR="00B252EA" w:rsidRPr="001A680E" w:rsidRDefault="00B252EA" w:rsidP="001A680E">
            <w:pPr>
              <w:pBdr>
                <w:top w:val="none" w:sz="0" w:space="0" w:color="auto"/>
                <w:left w:val="none" w:sz="0" w:space="0" w:color="auto"/>
                <w:bottom w:val="none" w:sz="0" w:space="0" w:color="auto"/>
                <w:right w:val="none" w:sz="0" w:space="0" w:color="auto"/>
                <w:between w:val="none" w:sz="0" w:space="0" w:color="auto"/>
              </w:pBdr>
              <w:spacing w:before="0" w:after="0"/>
              <w:jc w:val="center"/>
              <w:rPr>
                <w:rFonts w:cs="Arial"/>
                <w:sz w:val="20"/>
                <w:szCs w:val="20"/>
              </w:rPr>
            </w:pPr>
            <w:r w:rsidRPr="001A680E">
              <w:rPr>
                <w:rFonts w:cs="Arial"/>
                <w:sz w:val="20"/>
                <w:szCs w:val="20"/>
              </w:rPr>
              <w:t>82%</w:t>
            </w:r>
          </w:p>
        </w:tc>
        <w:tc>
          <w:tcPr>
            <w:tcW w:w="2077" w:type="dxa"/>
          </w:tcPr>
          <w:p w14:paraId="2A1394FA" w14:textId="77777777" w:rsidR="00B252EA" w:rsidRPr="001A680E" w:rsidRDefault="00B252EA" w:rsidP="001A680E">
            <w:pPr>
              <w:pBdr>
                <w:top w:val="none" w:sz="0" w:space="0" w:color="auto"/>
                <w:left w:val="none" w:sz="0" w:space="0" w:color="auto"/>
                <w:bottom w:val="none" w:sz="0" w:space="0" w:color="auto"/>
                <w:right w:val="none" w:sz="0" w:space="0" w:color="auto"/>
                <w:between w:val="none" w:sz="0" w:space="0" w:color="auto"/>
              </w:pBdr>
              <w:spacing w:before="0" w:after="0"/>
              <w:jc w:val="center"/>
              <w:rPr>
                <w:rFonts w:cs="Arial"/>
                <w:sz w:val="20"/>
                <w:szCs w:val="20"/>
              </w:rPr>
            </w:pPr>
            <w:r w:rsidRPr="001A680E">
              <w:rPr>
                <w:rFonts w:cs="Arial"/>
                <w:sz w:val="20"/>
                <w:szCs w:val="20"/>
              </w:rPr>
              <w:t>85%</w:t>
            </w:r>
          </w:p>
        </w:tc>
      </w:tr>
      <w:tr w:rsidR="00B252EA" w:rsidRPr="001A680E" w14:paraId="6FCEA005" w14:textId="77777777" w:rsidTr="001A680E">
        <w:tc>
          <w:tcPr>
            <w:tcW w:w="2835" w:type="dxa"/>
            <w:shd w:val="clear" w:color="auto" w:fill="C5E0B3" w:themeFill="accent6" w:themeFillTint="66"/>
          </w:tcPr>
          <w:p w14:paraId="5DDF29D7" w14:textId="77777777" w:rsidR="00B252EA" w:rsidRPr="001A680E" w:rsidRDefault="00B252EA" w:rsidP="001A680E">
            <w:pPr>
              <w:pBdr>
                <w:top w:val="none" w:sz="0" w:space="0" w:color="auto"/>
                <w:left w:val="none" w:sz="0" w:space="0" w:color="auto"/>
                <w:bottom w:val="none" w:sz="0" w:space="0" w:color="auto"/>
                <w:right w:val="none" w:sz="0" w:space="0" w:color="auto"/>
                <w:between w:val="none" w:sz="0" w:space="0" w:color="auto"/>
              </w:pBdr>
              <w:spacing w:before="0" w:after="0"/>
              <w:jc w:val="center"/>
              <w:rPr>
                <w:rFonts w:cs="Arial"/>
                <w:sz w:val="20"/>
                <w:szCs w:val="20"/>
              </w:rPr>
            </w:pPr>
            <w:r w:rsidRPr="001A680E">
              <w:rPr>
                <w:rFonts w:cs="Arial"/>
                <w:sz w:val="20"/>
                <w:szCs w:val="20"/>
              </w:rPr>
              <w:t>Retained for at least 3 years</w:t>
            </w:r>
          </w:p>
        </w:tc>
        <w:tc>
          <w:tcPr>
            <w:tcW w:w="2076" w:type="dxa"/>
          </w:tcPr>
          <w:p w14:paraId="55550F38" w14:textId="77777777" w:rsidR="00B252EA" w:rsidRPr="001A680E" w:rsidRDefault="00B252EA" w:rsidP="001A680E">
            <w:pPr>
              <w:pBdr>
                <w:top w:val="none" w:sz="0" w:space="0" w:color="auto"/>
                <w:left w:val="none" w:sz="0" w:space="0" w:color="auto"/>
                <w:bottom w:val="none" w:sz="0" w:space="0" w:color="auto"/>
                <w:right w:val="none" w:sz="0" w:space="0" w:color="auto"/>
                <w:between w:val="none" w:sz="0" w:space="0" w:color="auto"/>
              </w:pBdr>
              <w:spacing w:before="0" w:after="0"/>
              <w:jc w:val="center"/>
              <w:rPr>
                <w:rFonts w:cs="Arial"/>
                <w:sz w:val="20"/>
                <w:szCs w:val="20"/>
              </w:rPr>
            </w:pPr>
            <w:r w:rsidRPr="001A680E">
              <w:rPr>
                <w:rFonts w:cs="Arial"/>
                <w:sz w:val="20"/>
                <w:szCs w:val="20"/>
              </w:rPr>
              <w:t>58%</w:t>
            </w:r>
          </w:p>
        </w:tc>
        <w:tc>
          <w:tcPr>
            <w:tcW w:w="2076" w:type="dxa"/>
          </w:tcPr>
          <w:p w14:paraId="3B35C9AF" w14:textId="77777777" w:rsidR="00B252EA" w:rsidRPr="001A680E" w:rsidRDefault="00B252EA" w:rsidP="001A680E">
            <w:pPr>
              <w:pBdr>
                <w:top w:val="none" w:sz="0" w:space="0" w:color="auto"/>
                <w:left w:val="none" w:sz="0" w:space="0" w:color="auto"/>
                <w:bottom w:val="none" w:sz="0" w:space="0" w:color="auto"/>
                <w:right w:val="none" w:sz="0" w:space="0" w:color="auto"/>
                <w:between w:val="none" w:sz="0" w:space="0" w:color="auto"/>
              </w:pBdr>
              <w:spacing w:before="0" w:after="0"/>
              <w:jc w:val="center"/>
              <w:rPr>
                <w:rFonts w:cs="Arial"/>
                <w:sz w:val="20"/>
                <w:szCs w:val="20"/>
              </w:rPr>
            </w:pPr>
            <w:r w:rsidRPr="001A680E">
              <w:rPr>
                <w:rFonts w:cs="Arial"/>
                <w:sz w:val="20"/>
                <w:szCs w:val="20"/>
              </w:rPr>
              <w:t>80%</w:t>
            </w:r>
          </w:p>
        </w:tc>
        <w:tc>
          <w:tcPr>
            <w:tcW w:w="2077" w:type="dxa"/>
          </w:tcPr>
          <w:p w14:paraId="19871F76" w14:textId="77777777" w:rsidR="00B252EA" w:rsidRPr="001A680E" w:rsidRDefault="00B252EA" w:rsidP="001A680E">
            <w:pPr>
              <w:pBdr>
                <w:top w:val="none" w:sz="0" w:space="0" w:color="auto"/>
                <w:left w:val="none" w:sz="0" w:space="0" w:color="auto"/>
                <w:bottom w:val="none" w:sz="0" w:space="0" w:color="auto"/>
                <w:right w:val="none" w:sz="0" w:space="0" w:color="auto"/>
                <w:between w:val="none" w:sz="0" w:space="0" w:color="auto"/>
              </w:pBdr>
              <w:spacing w:before="0" w:after="0"/>
              <w:jc w:val="center"/>
              <w:rPr>
                <w:rFonts w:cs="Arial"/>
                <w:sz w:val="20"/>
                <w:szCs w:val="20"/>
              </w:rPr>
            </w:pPr>
            <w:r w:rsidRPr="001A680E">
              <w:rPr>
                <w:rFonts w:cs="Arial"/>
                <w:sz w:val="20"/>
                <w:szCs w:val="20"/>
              </w:rPr>
              <w:t>86%</w:t>
            </w:r>
          </w:p>
        </w:tc>
      </w:tr>
    </w:tbl>
    <w:p w14:paraId="0625B6DB" w14:textId="77777777" w:rsidR="001A680E" w:rsidRDefault="001A680E" w:rsidP="001A680E">
      <w:pPr>
        <w:keepNext/>
        <w:rPr>
          <w:shd w:val="clear" w:color="auto" w:fill="FFFFFF"/>
        </w:rPr>
      </w:pPr>
    </w:p>
    <w:p w14:paraId="2FF2BA25" w14:textId="0DAECE1C" w:rsidR="001A680E" w:rsidRDefault="001A680E" w:rsidP="001A680E">
      <w:pPr>
        <w:keepNext/>
      </w:pPr>
      <w:r>
        <w:rPr>
          <w:shd w:val="clear" w:color="auto" w:fill="FFFFFF"/>
        </w:rPr>
        <w:tab/>
      </w:r>
      <w:r w:rsidRPr="00462B27">
        <w:rPr>
          <w:noProof/>
          <w:sz w:val="24"/>
        </w:rPr>
        <w:drawing>
          <wp:inline distT="0" distB="0" distL="0" distR="0" wp14:anchorId="4AA49716" wp14:editId="586CB1EC">
            <wp:extent cx="5062019" cy="2838450"/>
            <wp:effectExtent l="19050" t="19050" r="24765" b="19050"/>
            <wp:docPr id="8445664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56641" name="Picture 1">
                      <a:extLst>
                        <a:ext uri="{C183D7F6-B498-43B3-948B-1728B52AA6E4}">
                          <adec:decorative xmlns:adec="http://schemas.microsoft.com/office/drawing/2017/decorative" val="1"/>
                        </a:ext>
                      </a:extLst>
                    </pic:cNvPr>
                    <pic:cNvPicPr/>
                  </pic:nvPicPr>
                  <pic:blipFill>
                    <a:blip r:embed="rId12"/>
                    <a:stretch>
                      <a:fillRect/>
                    </a:stretch>
                  </pic:blipFill>
                  <pic:spPr>
                    <a:xfrm>
                      <a:off x="0" y="0"/>
                      <a:ext cx="5084665" cy="2851148"/>
                    </a:xfrm>
                    <a:prstGeom prst="rect">
                      <a:avLst/>
                    </a:prstGeom>
                    <a:ln>
                      <a:solidFill>
                        <a:schemeClr val="accent1"/>
                      </a:solidFill>
                    </a:ln>
                  </pic:spPr>
                </pic:pic>
              </a:graphicData>
            </a:graphic>
          </wp:inline>
        </w:drawing>
      </w:r>
    </w:p>
    <w:p w14:paraId="0DDBF722" w14:textId="77777777" w:rsidR="001A680E" w:rsidRDefault="001A680E" w:rsidP="001A680E">
      <w:pPr>
        <w:pStyle w:val="Caption"/>
        <w:ind w:firstLine="720"/>
        <w:rPr>
          <w:shd w:val="clear" w:color="auto" w:fill="FFFFFF"/>
        </w:rPr>
      </w:pPr>
      <w:r>
        <w:t xml:space="preserve">Figure </w:t>
      </w:r>
      <w:r>
        <w:fldChar w:fldCharType="begin"/>
      </w:r>
      <w:r>
        <w:instrText xml:space="preserve"> SEQ Figure \* ARABIC </w:instrText>
      </w:r>
      <w:r>
        <w:fldChar w:fldCharType="separate"/>
      </w:r>
      <w:r>
        <w:rPr>
          <w:noProof/>
        </w:rPr>
        <w:t>1</w:t>
      </w:r>
      <w:r>
        <w:fldChar w:fldCharType="end"/>
      </w:r>
      <w:r>
        <w:t>: CCRE stipend recipients and retention</w:t>
      </w:r>
    </w:p>
    <w:p w14:paraId="1C7A8F75" w14:textId="2547EE05" w:rsidR="00B252EA" w:rsidRPr="00B252EA" w:rsidRDefault="00B252EA" w:rsidP="00B252EA">
      <w:pPr>
        <w:pStyle w:val="ListParagraph"/>
        <w:spacing w:before="240"/>
        <w:ind w:left="511"/>
      </w:pPr>
      <w:r w:rsidRPr="00B252EA">
        <w:t xml:space="preserve">However, Halsey (2018) indicates that one-time financial incentives are not sufficient to attract teachers to rural and remote schools in Australia. To counter the perceived disadvantages of working in these communities, incentives must be sustained over time to remain an appealing option. Flinders University, in collaboration with other South Australian universities, the South Australian Department of Education, and Catholic Education, has developed scholarships and the 'Teach First in the Country' program for pre-service teachers. Significant funding has been invested into the initiative, resulting in a steady increase in enrolments each year.     </w:t>
      </w:r>
    </w:p>
    <w:p w14:paraId="53A06BA9" w14:textId="77777777" w:rsidR="004A26C5" w:rsidRDefault="00B252EA" w:rsidP="00B252EA">
      <w:pPr>
        <w:pStyle w:val="ListParagraph"/>
        <w:numPr>
          <w:ilvl w:val="0"/>
          <w:numId w:val="27"/>
        </w:numPr>
        <w:ind w:left="511" w:hanging="284"/>
      </w:pPr>
      <w:r w:rsidRPr="00B252EA">
        <w:rPr>
          <w:b/>
          <w:bCs/>
        </w:rPr>
        <w:t>Mentoring, networking and professional learning support:</w:t>
      </w:r>
      <w:r w:rsidRPr="00B252EA">
        <w:t xml:space="preserve"> While providing essential support to teachers is costly, its value cannot be overstated. Halsey’s review (2018) recommended that funding be provided for education students to undertake ‘quality extended professional experience placements’ in rural and remote schools. It then needs to continue into the teaching placements. Principals have noted that lack of professional development opportunities, especially for early career teachers is directly linked to high teacher attrition (Beswick et al. 2023) The cost of attending professional learning in larger centres is extremely costly. Federal funding received by the NWRISE organisation enables teachers to offset the costs of attending biannual face-to-face network meetings. Without this financial assistance, many teachers would be unable to participate. It also allows NWRISE to spend time establishing virtual networks throughout the year. The Rural School Leadership Academy provide a year-long fellowship which covers the costs of attending two conferences and rural school community visits as well as one of two certifications from the Harvard Graduate School of Education. The success of both these programs relies heavily on the adequate provision of funding support. </w:t>
      </w:r>
    </w:p>
    <w:p w14:paraId="52EEA7FB" w14:textId="352A7A1B" w:rsidR="00B252EA" w:rsidRPr="004A26C5" w:rsidRDefault="004A26C5" w:rsidP="00B252EA">
      <w:pPr>
        <w:pStyle w:val="ListParagraph"/>
        <w:numPr>
          <w:ilvl w:val="0"/>
          <w:numId w:val="27"/>
        </w:numPr>
        <w:ind w:left="511" w:hanging="284"/>
      </w:pPr>
      <w:r w:rsidRPr="004A26C5">
        <w:rPr>
          <w:b/>
          <w:bCs/>
          <w:shd w:val="clear" w:color="auto" w:fill="FFFFFF"/>
        </w:rPr>
        <w:lastRenderedPageBreak/>
        <w:t>Housing</w:t>
      </w:r>
      <w:r w:rsidR="000225EE">
        <w:rPr>
          <w:b/>
          <w:bCs/>
          <w:shd w:val="clear" w:color="auto" w:fill="FFFFFF"/>
        </w:rPr>
        <w:t xml:space="preserve"> – a further consideration</w:t>
      </w:r>
      <w:r w:rsidRPr="004A26C5">
        <w:rPr>
          <w:b/>
          <w:bCs/>
          <w:shd w:val="clear" w:color="auto" w:fill="FFFFFF"/>
        </w:rPr>
        <w:t>:</w:t>
      </w:r>
      <w:r>
        <w:rPr>
          <w:shd w:val="clear" w:color="auto" w:fill="FFFFFF"/>
        </w:rPr>
        <w:t xml:space="preserve"> </w:t>
      </w:r>
      <w:r w:rsidR="00B252EA" w:rsidRPr="004A26C5">
        <w:rPr>
          <w:shd w:val="clear" w:color="auto" w:fill="FFFFFF"/>
        </w:rPr>
        <w:t>Another key issue identified is the lack of available housing for teachers in rural and remote communities. Halsey (2018) highlighted that quality, well-maintained housing is critical for attracting teachers to these areas. The NSW Rural and Remote Education Strategy (2024) also acknowledges that the availability and upkeep of teacher</w:t>
      </w:r>
      <w:r w:rsidRPr="004A26C5">
        <w:rPr>
          <w:shd w:val="clear" w:color="auto" w:fill="FFFFFF"/>
        </w:rPr>
        <w:t xml:space="preserve"> housing</w:t>
      </w:r>
      <w:r w:rsidR="00B252EA" w:rsidRPr="004A26C5">
        <w:rPr>
          <w:shd w:val="clear" w:color="auto" w:fill="FFFFFF"/>
        </w:rPr>
        <w:t xml:space="preserve"> impact</w:t>
      </w:r>
      <w:r>
        <w:rPr>
          <w:shd w:val="clear" w:color="auto" w:fill="FFFFFF"/>
        </w:rPr>
        <w:t>s</w:t>
      </w:r>
      <w:r w:rsidR="00B252EA" w:rsidRPr="004A26C5">
        <w:rPr>
          <w:shd w:val="clear" w:color="auto" w:fill="FFFFFF"/>
        </w:rPr>
        <w:t xml:space="preserve"> schools’ ability to attract and retain staff.</w:t>
      </w:r>
    </w:p>
    <w:p w14:paraId="3F06250A" w14:textId="77777777" w:rsidR="00ED3B04" w:rsidRPr="00ED3B04" w:rsidRDefault="00ED3B04" w:rsidP="001B4C3C">
      <w:pPr>
        <w:pStyle w:val="Heading1"/>
        <w:rPr>
          <w:highlight w:val="white"/>
        </w:rPr>
      </w:pPr>
      <w:r w:rsidRPr="00ED3B04">
        <w:rPr>
          <w:highlight w:val="white"/>
        </w:rPr>
        <w:t>Conclusion</w:t>
      </w:r>
    </w:p>
    <w:p w14:paraId="2E616E1B" w14:textId="77777777" w:rsidR="00B252EA" w:rsidRPr="00B252EA" w:rsidRDefault="00B252EA" w:rsidP="00B252EA">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bookmarkStart w:id="0" w:name="_gjdgxs" w:colFirst="0" w:colLast="0"/>
      <w:bookmarkEnd w:id="0"/>
      <w:r w:rsidRPr="00B252EA">
        <w:rPr>
          <w:highlight w:val="white"/>
        </w:rPr>
        <w:t>This research aimed to identify best practices, both nationally and internationally, that focused on improving retention rates in rural and remote schools. By reviewing studies and visiting institutions and schools, common threads emerged. The challenge of attracting and retaining teachers in rural and remote schools is complex, with no single solution. However, a multifaceted approach, coupled with innovative thinking, is essential to develop strategies tailored to the unique needs of these communities.</w:t>
      </w:r>
    </w:p>
    <w:p w14:paraId="6AC9DF77" w14:textId="77777777" w:rsidR="00B252EA" w:rsidRPr="00B252EA" w:rsidRDefault="00B252EA" w:rsidP="00B252EA">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sidRPr="00B252EA">
        <w:rPr>
          <w:highlight w:val="white"/>
        </w:rPr>
        <w:t>Attracting teachers to rural and remote schools must begin at the high school level. Early exposure to the unique opportunities these communities offer is essential and needs to begin as early as possible. This exposure should then be reinforced during initial teacher training, where students can undertake placements in rural schools to gain first-hand experience of the benefits these communities provide. Teacher training must also ensure students are well-prepared for the unique challenges, not only in terms of teaching but also the social complexities they will encounter, helping them become the right fit for rural communities.</w:t>
      </w:r>
    </w:p>
    <w:p w14:paraId="5D8EDA61" w14:textId="77777777" w:rsidR="00B252EA" w:rsidRPr="00B252EA" w:rsidRDefault="00B252EA" w:rsidP="00B252EA">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sidRPr="00B252EA">
        <w:rPr>
          <w:highlight w:val="white"/>
        </w:rPr>
        <w:t>Navigating these challenges requires comprehensive support through context-specific professional learning, mentoring, and networking. Professional development must be viewed through a rural lens and tailored to meet the distinct needs of teachers and students in these communities.</w:t>
      </w:r>
    </w:p>
    <w:p w14:paraId="2BD1AF06" w14:textId="53CDF930" w:rsidR="00B252EA" w:rsidRDefault="00B252EA" w:rsidP="0043189E">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sidRPr="00B252EA">
        <w:rPr>
          <w:highlight w:val="white"/>
        </w:rPr>
        <w:t>Ultimately, the success of any program depends on sufficient funding. The Australian government is committed to ensuring all young Australians have access to high-quality, equitable education, and appropriate investment in rural and remote should be viewed as an investment in the nation’s future.</w:t>
      </w:r>
    </w:p>
    <w:p w14:paraId="2EDACAB6" w14:textId="272FF271" w:rsidR="00ED3B04" w:rsidRPr="00ED3B04" w:rsidRDefault="00AC1780" w:rsidP="00ED3B04">
      <w:pPr>
        <w:pStyle w:val="Heading1"/>
      </w:pPr>
      <w:r>
        <w:t>Acknowledgments</w:t>
      </w:r>
    </w:p>
    <w:p w14:paraId="5EEFFEC6" w14:textId="77777777" w:rsidR="00B252EA" w:rsidRDefault="00B252EA" w:rsidP="00B252EA">
      <w:pPr>
        <w:spacing w:after="120"/>
        <w:rPr>
          <w:highlight w:val="white"/>
        </w:rPr>
      </w:pPr>
      <w:r>
        <w:rPr>
          <w:highlight w:val="white"/>
        </w:rPr>
        <w:t>I would like to thank all the educators and Industry experts who were willing to take the time to share their knowledge and expertise with me:</w:t>
      </w:r>
    </w:p>
    <w:p w14:paraId="380DE878" w14:textId="77777777" w:rsidR="00B252EA" w:rsidRPr="00B252EA" w:rsidRDefault="00B252EA" w:rsidP="00B252EA">
      <w:pPr>
        <w:pStyle w:val="ListParagraph"/>
        <w:numPr>
          <w:ilvl w:val="0"/>
          <w:numId w:val="27"/>
        </w:numPr>
        <w:ind w:left="511" w:hanging="284"/>
      </w:pPr>
      <w:r w:rsidRPr="00B252EA">
        <w:t>Professor Kim Beswick, Professor of Mathematics Education, Head of the School of Education, Director Gonski Institute of Education</w:t>
      </w:r>
    </w:p>
    <w:p w14:paraId="089C04B6" w14:textId="77777777" w:rsidR="00B252EA" w:rsidRPr="00B252EA" w:rsidRDefault="00B252EA" w:rsidP="00B252EA">
      <w:pPr>
        <w:pStyle w:val="ListParagraph"/>
        <w:numPr>
          <w:ilvl w:val="0"/>
          <w:numId w:val="27"/>
        </w:numPr>
        <w:ind w:left="511" w:hanging="284"/>
      </w:pPr>
      <w:r w:rsidRPr="00B252EA">
        <w:t xml:space="preserve">Jacqueline Hood, Professional Experience Advisor, Teacher education Partnerships, Attraction and Engagement Programs </w:t>
      </w:r>
    </w:p>
    <w:p w14:paraId="646D67AC" w14:textId="77777777" w:rsidR="00B252EA" w:rsidRPr="00B252EA" w:rsidRDefault="00B252EA" w:rsidP="00B252EA">
      <w:pPr>
        <w:pStyle w:val="ListParagraph"/>
        <w:numPr>
          <w:ilvl w:val="0"/>
          <w:numId w:val="27"/>
        </w:numPr>
        <w:ind w:left="511" w:hanging="284"/>
      </w:pPr>
      <w:r w:rsidRPr="00B252EA">
        <w:t>Dr John Halsey, Emeritus Professor, Flinders University, Adelaide</w:t>
      </w:r>
    </w:p>
    <w:p w14:paraId="542F1C1B" w14:textId="77777777" w:rsidR="00B252EA" w:rsidRPr="00B252EA" w:rsidRDefault="00B252EA" w:rsidP="00B252EA">
      <w:pPr>
        <w:pStyle w:val="ListParagraph"/>
        <w:numPr>
          <w:ilvl w:val="0"/>
          <w:numId w:val="27"/>
        </w:numPr>
        <w:ind w:left="511" w:hanging="284"/>
      </w:pPr>
      <w:r w:rsidRPr="00B252EA">
        <w:t>Katrina Kiely, Community Connector, Muswellbrook Shire Council, NSW</w:t>
      </w:r>
    </w:p>
    <w:p w14:paraId="2E5623DB" w14:textId="77777777" w:rsidR="00B252EA" w:rsidRPr="00B252EA" w:rsidRDefault="00B252EA" w:rsidP="00B252EA">
      <w:pPr>
        <w:pStyle w:val="ListParagraph"/>
        <w:numPr>
          <w:ilvl w:val="0"/>
          <w:numId w:val="27"/>
        </w:numPr>
        <w:ind w:left="511" w:hanging="284"/>
      </w:pPr>
      <w:r w:rsidRPr="00B252EA">
        <w:t>Robert Fulton, Director Colorado Centre for Rural Education, University of Northern Colorado</w:t>
      </w:r>
    </w:p>
    <w:p w14:paraId="39AA5F8D" w14:textId="77777777" w:rsidR="00B252EA" w:rsidRPr="00B252EA" w:rsidRDefault="00B252EA" w:rsidP="00B252EA">
      <w:pPr>
        <w:pStyle w:val="ListParagraph"/>
        <w:numPr>
          <w:ilvl w:val="0"/>
          <w:numId w:val="27"/>
        </w:numPr>
        <w:ind w:left="511" w:hanging="284"/>
      </w:pPr>
      <w:r w:rsidRPr="00B252EA">
        <w:t>Sarah Hernandez, Eucalyptus Elementary School, Hesperia California</w:t>
      </w:r>
    </w:p>
    <w:p w14:paraId="582079A4" w14:textId="77777777" w:rsidR="00B252EA" w:rsidRPr="00B252EA" w:rsidRDefault="00B252EA" w:rsidP="00B252EA">
      <w:pPr>
        <w:pStyle w:val="ListParagraph"/>
        <w:numPr>
          <w:ilvl w:val="0"/>
          <w:numId w:val="27"/>
        </w:numPr>
        <w:ind w:left="511" w:hanging="284"/>
      </w:pPr>
      <w:r w:rsidRPr="00B252EA">
        <w:t>Heather Williams, Department Chair, Curriculum, Instruction, Foundational Studies, Boise State University</w:t>
      </w:r>
    </w:p>
    <w:p w14:paraId="70E7651D" w14:textId="77777777" w:rsidR="00B252EA" w:rsidRPr="00B252EA" w:rsidRDefault="00B252EA" w:rsidP="00B252EA">
      <w:pPr>
        <w:pStyle w:val="ListParagraph"/>
        <w:numPr>
          <w:ilvl w:val="0"/>
          <w:numId w:val="27"/>
        </w:numPr>
        <w:ind w:left="511" w:hanging="284"/>
      </w:pPr>
      <w:r w:rsidRPr="00B252EA">
        <w:t>Alicia Bruce, Principal, Pleasant Valley School, Boise Idaho</w:t>
      </w:r>
    </w:p>
    <w:p w14:paraId="781EEFE2" w14:textId="77777777" w:rsidR="00B252EA" w:rsidRPr="00B252EA" w:rsidRDefault="00B252EA" w:rsidP="00B252EA">
      <w:pPr>
        <w:pStyle w:val="ListParagraph"/>
        <w:numPr>
          <w:ilvl w:val="0"/>
          <w:numId w:val="27"/>
        </w:numPr>
        <w:ind w:left="511" w:hanging="284"/>
      </w:pPr>
      <w:r w:rsidRPr="00B252EA">
        <w:lastRenderedPageBreak/>
        <w:t>Jacob Williams, Deputy Director Region 17 Comprehensive Center, Education Northwest</w:t>
      </w:r>
    </w:p>
    <w:p w14:paraId="55E5B619" w14:textId="77777777" w:rsidR="00B252EA" w:rsidRPr="00B252EA" w:rsidRDefault="00B252EA" w:rsidP="00B252EA">
      <w:pPr>
        <w:pStyle w:val="ListParagraph"/>
        <w:numPr>
          <w:ilvl w:val="0"/>
          <w:numId w:val="27"/>
        </w:numPr>
        <w:ind w:left="511" w:hanging="284"/>
      </w:pPr>
      <w:r w:rsidRPr="00B252EA">
        <w:t>Sarah Hernandez, Eucalyptus Elementary School, Hesperia California</w:t>
      </w:r>
    </w:p>
    <w:p w14:paraId="6887C6CE" w14:textId="77777777" w:rsidR="00B252EA" w:rsidRPr="00B252EA" w:rsidRDefault="00B252EA" w:rsidP="00B252EA">
      <w:pPr>
        <w:pStyle w:val="ListParagraph"/>
        <w:numPr>
          <w:ilvl w:val="0"/>
          <w:numId w:val="27"/>
        </w:numPr>
        <w:ind w:left="511" w:hanging="284"/>
      </w:pPr>
      <w:r w:rsidRPr="00B252EA">
        <w:t>Tracy Sopkow, Chief Executive Officer, Rural Health Professions Action Plan, Edmonton, Canada</w:t>
      </w:r>
    </w:p>
    <w:p w14:paraId="3BE2B1FD" w14:textId="77777777" w:rsidR="00B252EA" w:rsidRPr="00B252EA" w:rsidRDefault="00B252EA" w:rsidP="00B252EA">
      <w:pPr>
        <w:pStyle w:val="ListParagraph"/>
        <w:numPr>
          <w:ilvl w:val="0"/>
          <w:numId w:val="27"/>
        </w:numPr>
        <w:ind w:left="511" w:hanging="284"/>
      </w:pPr>
      <w:r w:rsidRPr="00B252EA">
        <w:t>Colette Featherstone, Rural Health Professions Action Plan, Edmonton, Canada</w:t>
      </w:r>
    </w:p>
    <w:p w14:paraId="02D318FF" w14:textId="77777777" w:rsidR="00B252EA" w:rsidRPr="00B252EA" w:rsidRDefault="00B252EA" w:rsidP="00B252EA">
      <w:pPr>
        <w:pStyle w:val="ListParagraph"/>
        <w:numPr>
          <w:ilvl w:val="0"/>
          <w:numId w:val="27"/>
        </w:numPr>
        <w:ind w:left="511" w:hanging="284"/>
      </w:pPr>
      <w:r w:rsidRPr="00B252EA">
        <w:t>Dr Dianne Gereleuk, Dean Werklund School of Education, University of Calgary, Calgary Canada</w:t>
      </w:r>
    </w:p>
    <w:p w14:paraId="77729931" w14:textId="77777777" w:rsidR="00B252EA" w:rsidRPr="00B252EA" w:rsidRDefault="00B252EA" w:rsidP="00B252EA">
      <w:pPr>
        <w:pStyle w:val="ListParagraph"/>
        <w:numPr>
          <w:ilvl w:val="0"/>
          <w:numId w:val="27"/>
        </w:numPr>
        <w:ind w:left="511" w:hanging="284"/>
      </w:pPr>
      <w:r w:rsidRPr="00B252EA">
        <w:t>Michael T. O’Connor, Program Director, Roche Center for Catholic Education, Boston College, Boston Massachusetts</w:t>
      </w:r>
    </w:p>
    <w:p w14:paraId="026BF39A" w14:textId="77777777" w:rsidR="00B252EA" w:rsidRPr="00B252EA" w:rsidRDefault="00B252EA" w:rsidP="00B252EA">
      <w:pPr>
        <w:pStyle w:val="ListParagraph"/>
        <w:numPr>
          <w:ilvl w:val="0"/>
          <w:numId w:val="27"/>
        </w:numPr>
        <w:ind w:left="511" w:hanging="284"/>
      </w:pPr>
      <w:r w:rsidRPr="00B252EA">
        <w:t>Min Zeng, Director of Client Engagement, Harvard Graduate School of Education, Cambridge Massachusetts</w:t>
      </w:r>
    </w:p>
    <w:p w14:paraId="026D1CA9" w14:textId="77777777" w:rsidR="00B252EA" w:rsidRPr="00B252EA" w:rsidRDefault="00B252EA" w:rsidP="00B252EA">
      <w:pPr>
        <w:pStyle w:val="ListParagraph"/>
        <w:numPr>
          <w:ilvl w:val="0"/>
          <w:numId w:val="27"/>
        </w:numPr>
        <w:ind w:left="511" w:hanging="284"/>
      </w:pPr>
      <w:r w:rsidRPr="00B252EA">
        <w:t>Professor Hernan Cuervo, Deputy Director, Melbourne Graduate School of Education, Melbourne</w:t>
      </w:r>
    </w:p>
    <w:p w14:paraId="2EF13E57" w14:textId="77777777" w:rsidR="00B252EA" w:rsidRPr="00B252EA" w:rsidRDefault="00B252EA" w:rsidP="00B252EA">
      <w:pPr>
        <w:pStyle w:val="ListParagraph"/>
        <w:numPr>
          <w:ilvl w:val="0"/>
          <w:numId w:val="27"/>
        </w:numPr>
        <w:ind w:left="511" w:hanging="284"/>
      </w:pPr>
      <w:r w:rsidRPr="00B252EA">
        <w:t>Jackie Thompson, Senior Lecturer, College of Education, Flinders University, Adelaide</w:t>
      </w:r>
    </w:p>
    <w:p w14:paraId="77F149E4" w14:textId="77777777" w:rsidR="00B252EA" w:rsidRPr="00B252EA" w:rsidRDefault="00B252EA" w:rsidP="00B252EA">
      <w:pPr>
        <w:pStyle w:val="ListParagraph"/>
        <w:numPr>
          <w:ilvl w:val="0"/>
          <w:numId w:val="27"/>
        </w:numPr>
        <w:ind w:left="511" w:hanging="284"/>
      </w:pPr>
      <w:r w:rsidRPr="00B252EA">
        <w:t>Professor Scott Eacott, School of Education, UNSW, Sydney</w:t>
      </w:r>
    </w:p>
    <w:p w14:paraId="7EACB486" w14:textId="77777777" w:rsidR="00B252EA" w:rsidRPr="00B252EA" w:rsidRDefault="00B252EA" w:rsidP="00B252EA">
      <w:pPr>
        <w:pStyle w:val="ListParagraph"/>
        <w:numPr>
          <w:ilvl w:val="0"/>
          <w:numId w:val="27"/>
        </w:numPr>
        <w:ind w:left="511" w:hanging="284"/>
      </w:pPr>
      <w:r w:rsidRPr="00B252EA">
        <w:t>Jennifer Dubey, Managing Director, School &amp; System Leadership, Teach for America</w:t>
      </w:r>
    </w:p>
    <w:p w14:paraId="42966CE5" w14:textId="77777777" w:rsidR="00B252EA" w:rsidRPr="00B252EA" w:rsidRDefault="00B252EA" w:rsidP="00B252EA">
      <w:pPr>
        <w:pStyle w:val="ListParagraph"/>
        <w:numPr>
          <w:ilvl w:val="0"/>
          <w:numId w:val="27"/>
        </w:numPr>
        <w:ind w:left="511" w:hanging="284"/>
      </w:pPr>
      <w:bookmarkStart w:id="1" w:name="_Hlk177321818"/>
      <w:r w:rsidRPr="00B252EA">
        <w:t>Rod Clarkin, Housing Analyst, Education Housing</w:t>
      </w:r>
    </w:p>
    <w:bookmarkEnd w:id="1"/>
    <w:p w14:paraId="3E0D09BB" w14:textId="3252E6A7" w:rsidR="00B252EA" w:rsidRPr="00B252EA" w:rsidRDefault="00B252EA" w:rsidP="00ED3B04">
      <w:pPr>
        <w:pStyle w:val="ListParagraph"/>
        <w:numPr>
          <w:ilvl w:val="0"/>
          <w:numId w:val="27"/>
        </w:numPr>
        <w:ind w:left="511" w:hanging="284"/>
      </w:pPr>
      <w:r w:rsidRPr="00B252EA">
        <w:t>Roxanne Harris Relieving Principal, Walhallow Public School, Caroona, NSW</w:t>
      </w:r>
    </w:p>
    <w:p w14:paraId="7166A6E9" w14:textId="77777777" w:rsidR="004D3AEE" w:rsidRPr="00ED3B04" w:rsidRDefault="004D3AEE" w:rsidP="004D3AEE">
      <w:pPr>
        <w:pStyle w:val="Heading1"/>
      </w:pPr>
      <w:r>
        <w:t xml:space="preserve">References </w:t>
      </w:r>
    </w:p>
    <w:p w14:paraId="18A3159B" w14:textId="77777777" w:rsidR="00B252EA" w:rsidRPr="00995376" w:rsidRDefault="00B252EA" w:rsidP="00B252EA">
      <w:r w:rsidRPr="00995376">
        <w:rPr>
          <w:i/>
          <w:iCs/>
        </w:rPr>
        <w:t>Alice Springs (Mparntwe) Education Declaration</w:t>
      </w:r>
      <w:r>
        <w:rPr>
          <w:i/>
          <w:iCs/>
        </w:rPr>
        <w:t xml:space="preserve">, </w:t>
      </w:r>
      <w:r>
        <w:t xml:space="preserve">2019, Australian Government Department of Education, </w:t>
      </w:r>
      <w:r w:rsidRPr="00EB5C05">
        <w:t>https://www.education.gov.au/alice-springs-mparntwe-education-declaration/resources/alice-springs-mparntwe-education-declaration</w:t>
      </w:r>
    </w:p>
    <w:p w14:paraId="43808FFC" w14:textId="77777777" w:rsidR="00B252EA" w:rsidRPr="00AA4B02" w:rsidRDefault="00B252EA" w:rsidP="00B252EA">
      <w:pPr>
        <w:rPr>
          <w:highlight w:val="white"/>
        </w:rPr>
      </w:pPr>
      <w:r w:rsidRPr="001F159F">
        <w:t>Beswick, K, Roberts, P, Eacott, S, Holden, R, Alonzo, D, Downes, N, Mularcyzk, L, Loughland, T, Cridge, S, Corbyn, E, &amp; Bedford, M</w:t>
      </w:r>
      <w:r>
        <w:t xml:space="preserve"> </w:t>
      </w:r>
      <w:r w:rsidRPr="001F159F">
        <w:t>2022</w:t>
      </w:r>
      <w:r>
        <w:t>,</w:t>
      </w:r>
      <w:r w:rsidRPr="001F159F">
        <w:t xml:space="preserve"> </w:t>
      </w:r>
      <w:r w:rsidRPr="007561F0">
        <w:rPr>
          <w:i/>
          <w:iCs/>
        </w:rPr>
        <w:t>Rural and Regional Research Education Project: Final report.</w:t>
      </w:r>
      <w:r>
        <w:rPr>
          <w:i/>
          <w:iCs/>
        </w:rPr>
        <w:t xml:space="preserve"> Prepared for the NSW Department of Education, </w:t>
      </w:r>
      <w:r w:rsidRPr="00AA4B02">
        <w:t>https://education.nsw.gov.au/content/dam/main-education/teaching-and-learning/regional-rural-remote/reports/rural-and-regional-education-project-final-report.pdf</w:t>
      </w:r>
    </w:p>
    <w:p w14:paraId="362084A0" w14:textId="77777777" w:rsidR="00B252EA" w:rsidRDefault="00B252EA" w:rsidP="00B252EA">
      <w:r w:rsidRPr="00C45475">
        <w:t>Brenner, D, Azano, A. P, &amp; Downey, J</w:t>
      </w:r>
      <w:r>
        <w:t xml:space="preserve"> </w:t>
      </w:r>
      <w:r w:rsidRPr="00C45475">
        <w:t>2021</w:t>
      </w:r>
      <w:r w:rsidRPr="00B52341">
        <w:rPr>
          <w:i/>
          <w:iCs/>
        </w:rPr>
        <w:t>. Helping new teachers stay and thrive in rural schools</w:t>
      </w:r>
      <w:r>
        <w:rPr>
          <w:i/>
          <w:iCs/>
        </w:rPr>
        <w:t>,</w:t>
      </w:r>
      <w:r w:rsidRPr="00C45475">
        <w:t xml:space="preserve"> Phi Delta Kappan, 103(4), 14-18. </w:t>
      </w:r>
      <w:r>
        <w:t xml:space="preserve">Available at: </w:t>
      </w:r>
      <w:hyperlink r:id="rId13" w:history="1">
        <w:r w:rsidRPr="0002373A">
          <w:rPr>
            <w:rStyle w:val="Hyperlink"/>
            <w:color w:val="auto"/>
            <w:u w:val="none"/>
          </w:rPr>
          <w:t>https://doi.org/10.1177/00317217211065821  (accessed</w:t>
        </w:r>
      </w:hyperlink>
      <w:r w:rsidRPr="0002373A">
        <w:rPr>
          <w:color w:val="auto"/>
        </w:rPr>
        <w:t xml:space="preserve"> </w:t>
      </w:r>
      <w:r>
        <w:t>14 Sep. 2024).</w:t>
      </w:r>
    </w:p>
    <w:p w14:paraId="188CABF2" w14:textId="77777777" w:rsidR="00B252EA" w:rsidRDefault="00B252EA" w:rsidP="00B252EA">
      <w:pPr>
        <w:rPr>
          <w:color w:val="auto"/>
        </w:rPr>
      </w:pPr>
      <w:r>
        <w:t xml:space="preserve">Centre for Education Statistics and Evaluation 2020, </w:t>
      </w:r>
      <w:r>
        <w:rPr>
          <w:i/>
          <w:iCs/>
        </w:rPr>
        <w:t xml:space="preserve">Evaluation of the Rural and Remote Education Blueprint- Final Report, </w:t>
      </w:r>
      <w:r>
        <w:t xml:space="preserve">NSW Department of Education, </w:t>
      </w:r>
      <w:r w:rsidRPr="00311F5E">
        <w:t>https://education.nsw.gov.au/about-us/education-data-and-research/cese/publications/cese-evaluations/rural-and-remote-education-blueprint-final-report</w:t>
      </w:r>
    </w:p>
    <w:p w14:paraId="67AD10C5" w14:textId="77777777" w:rsidR="00B252EA" w:rsidRDefault="00B252EA" w:rsidP="00B252EA">
      <w:pPr>
        <w:rPr>
          <w:color w:val="auto"/>
        </w:rPr>
      </w:pPr>
      <w:r>
        <w:rPr>
          <w:color w:val="auto"/>
        </w:rPr>
        <w:t xml:space="preserve">Halsey, J 2018, </w:t>
      </w:r>
      <w:r>
        <w:rPr>
          <w:i/>
          <w:iCs/>
          <w:color w:val="auto"/>
        </w:rPr>
        <w:t xml:space="preserve">Independent Review inro Regional, Rural and Remote Education: Final Report, </w:t>
      </w:r>
      <w:r>
        <w:rPr>
          <w:color w:val="auto"/>
        </w:rPr>
        <w:t>Australian Government, Department of Education</w:t>
      </w:r>
      <w:r w:rsidRPr="003D0B55">
        <w:rPr>
          <w:color w:val="auto"/>
        </w:rPr>
        <w:t xml:space="preserve">, </w:t>
      </w:r>
      <w:hyperlink r:id="rId14" w:history="1">
        <w:r w:rsidRPr="003D0B55">
          <w:rPr>
            <w:rStyle w:val="Hyperlink"/>
            <w:color w:val="auto"/>
            <w:u w:val="none"/>
          </w:rPr>
          <w:t>https://www.education.gov.au/quality-schools-package/resources/independent-review-regional-rural-and-remote-education-final-report</w:t>
        </w:r>
      </w:hyperlink>
    </w:p>
    <w:p w14:paraId="756935B2" w14:textId="77777777" w:rsidR="00B252EA" w:rsidRDefault="00B252EA" w:rsidP="00B252EA">
      <w:pPr>
        <w:rPr>
          <w:color w:val="auto"/>
        </w:rPr>
      </w:pPr>
      <w:r>
        <w:rPr>
          <w:color w:val="auto"/>
        </w:rPr>
        <w:t xml:space="preserve">Hattie, J 2009, </w:t>
      </w:r>
      <w:r>
        <w:rPr>
          <w:i/>
          <w:iCs/>
          <w:color w:val="auto"/>
        </w:rPr>
        <w:t xml:space="preserve">Visible learning: A synthesis of over 800 meta-analyses related to achievement, </w:t>
      </w:r>
      <w:r>
        <w:rPr>
          <w:color w:val="auto"/>
        </w:rPr>
        <w:t>Routledge, London.</w:t>
      </w:r>
    </w:p>
    <w:p w14:paraId="603DEF97" w14:textId="77777777" w:rsidR="00B252EA" w:rsidRPr="00320003" w:rsidRDefault="00B252EA" w:rsidP="00B252EA">
      <w:pPr>
        <w:rPr>
          <w:color w:val="auto"/>
        </w:rPr>
      </w:pPr>
      <w:r>
        <w:rPr>
          <w:color w:val="auto"/>
        </w:rPr>
        <w:lastRenderedPageBreak/>
        <w:t xml:space="preserve">Hayes, L, Lachlan-Hache, L, Williams, Haidee 2019, </w:t>
      </w:r>
      <w:r>
        <w:rPr>
          <w:i/>
          <w:iCs/>
          <w:color w:val="auto"/>
        </w:rPr>
        <w:t xml:space="preserve">10 Mentoring and Induction Challenges in Rural Schools and How to Address Them, </w:t>
      </w:r>
      <w:r>
        <w:rPr>
          <w:color w:val="auto"/>
        </w:rPr>
        <w:t>American Institutes for Research, Washinton DC.</w:t>
      </w:r>
    </w:p>
    <w:p w14:paraId="015405DF" w14:textId="77777777" w:rsidR="004D3AEE" w:rsidRPr="004D3AEE" w:rsidRDefault="004D3AEE" w:rsidP="004D3AEE">
      <w:pPr>
        <w:rPr>
          <w:highlight w:val="white"/>
        </w:rPr>
      </w:pPr>
    </w:p>
    <w:p w14:paraId="0F71E17B" w14:textId="77777777" w:rsidR="004D3AEE" w:rsidRPr="004D3AEE" w:rsidRDefault="004D3AEE" w:rsidP="004D3AEE">
      <w:pPr>
        <w:rPr>
          <w:highlight w:val="white"/>
        </w:rPr>
      </w:pPr>
    </w:p>
    <w:p w14:paraId="1EE3D845" w14:textId="77777777" w:rsidR="004D3AEE" w:rsidRDefault="004D3AEE" w:rsidP="004D3AEE">
      <w:pPr>
        <w:rPr>
          <w:highlight w:val="white"/>
        </w:rPr>
      </w:pPr>
    </w:p>
    <w:p w14:paraId="25EC90F8" w14:textId="77777777" w:rsidR="004D3AEE" w:rsidRPr="004D3AEE" w:rsidRDefault="004D3AEE" w:rsidP="004D3AEE">
      <w:pPr>
        <w:tabs>
          <w:tab w:val="left" w:pos="2366"/>
        </w:tabs>
        <w:rPr>
          <w:highlight w:val="white"/>
        </w:rPr>
      </w:pPr>
      <w:r>
        <w:rPr>
          <w:highlight w:val="white"/>
        </w:rPr>
        <w:tab/>
      </w:r>
    </w:p>
    <w:sectPr w:rsidR="004D3AEE" w:rsidRPr="004D3AEE" w:rsidSect="00720CAA">
      <w:pgSz w:w="11900" w:h="16840" w:code="9"/>
      <w:pgMar w:top="1134" w:right="1134" w:bottom="1134" w:left="1134" w:header="0"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68287B" w14:textId="77777777" w:rsidR="003D1828" w:rsidRDefault="003D1828" w:rsidP="000255B4">
      <w:pPr>
        <w:spacing w:before="0" w:after="0" w:line="240" w:lineRule="auto"/>
      </w:pPr>
      <w:r>
        <w:separator/>
      </w:r>
    </w:p>
  </w:endnote>
  <w:endnote w:type="continuationSeparator" w:id="0">
    <w:p w14:paraId="682FD9D7" w14:textId="77777777" w:rsidR="003D1828" w:rsidRDefault="003D1828"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89FBF" w14:textId="5D7F1F3D" w:rsidR="000255B4" w:rsidRDefault="00B252EA" w:rsidP="000255B4">
    <w:pPr>
      <w:pStyle w:val="Footer"/>
      <w:tabs>
        <w:tab w:val="clear" w:pos="4513"/>
        <w:tab w:val="clear" w:pos="9026"/>
        <w:tab w:val="right" w:pos="9498"/>
      </w:tabs>
    </w:pPr>
    <w:r>
      <w:t>Closing the education gap</w:t>
    </w:r>
    <w:r w:rsidR="000255B4">
      <w:tab/>
      <w:t xml:space="preserve">Page </w:t>
    </w:r>
    <w:r w:rsidR="000255B4">
      <w:fldChar w:fldCharType="begin"/>
    </w:r>
    <w:r w:rsidR="000255B4">
      <w:instrText xml:space="preserve"> PAGE  \* Arabic  \* MERGEFORMAT </w:instrText>
    </w:r>
    <w:r w:rsidR="000255B4">
      <w:fldChar w:fldCharType="separate"/>
    </w:r>
    <w:r w:rsidR="004D3AEE">
      <w:rPr>
        <w:noProof/>
      </w:rPr>
      <w:t>3</w:t>
    </w:r>
    <w:r w:rsidR="000255B4">
      <w:fldChar w:fldCharType="end"/>
    </w:r>
    <w:r w:rsidR="000255B4">
      <w:t xml:space="preserve"> of </w:t>
    </w:r>
    <w:r w:rsidR="000225EE">
      <w:fldChar w:fldCharType="begin"/>
    </w:r>
    <w:r w:rsidR="000225EE">
      <w:instrText xml:space="preserve"> SECTIONPAGES   \* MERGEFORMAT </w:instrText>
    </w:r>
    <w:r w:rsidR="000225EE">
      <w:fldChar w:fldCharType="separate"/>
    </w:r>
    <w:r w:rsidR="000225EE">
      <w:rPr>
        <w:noProof/>
      </w:rPr>
      <w:t>8</w:t>
    </w:r>
    <w:r w:rsidR="000225EE">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981C7" w14:textId="7FB478B9" w:rsidR="00910707" w:rsidRPr="00D05F31" w:rsidRDefault="00D05F31" w:rsidP="00D05F31">
    <w:pPr>
      <w:pBdr>
        <w:top w:val="single" w:sz="4" w:space="1" w:color="auto"/>
      </w:pBdr>
      <w:spacing w:after="0"/>
    </w:pPr>
    <w:r w:rsidRPr="00752C8D">
      <w:rPr>
        <w:sz w:val="20"/>
        <w:szCs w:val="20"/>
      </w:rPr>
      <w:t xml:space="preserve">The Premier’s Teacher Scholarships program – an initiative of the NSW Premier’s Department and administered by the NSW Department of Education – provides funding for </w:t>
    </w:r>
    <w:r>
      <w:rPr>
        <w:sz w:val="20"/>
        <w:szCs w:val="20"/>
      </w:rPr>
      <w:t xml:space="preserve">a five-week </w:t>
    </w:r>
    <w:r w:rsidRPr="00752C8D">
      <w:rPr>
        <w:sz w:val="20"/>
        <w:szCs w:val="20"/>
      </w:rPr>
      <w:t xml:space="preserve">study tour to explore best practice in </w:t>
    </w:r>
    <w:r>
      <w:rPr>
        <w:sz w:val="20"/>
        <w:szCs w:val="20"/>
      </w:rPr>
      <w:t xml:space="preserve">a </w:t>
    </w:r>
    <w:r w:rsidRPr="00752C8D">
      <w:rPr>
        <w:sz w:val="20"/>
        <w:szCs w:val="20"/>
      </w:rPr>
      <w:t>recipient</w:t>
    </w:r>
    <w:r>
      <w:rPr>
        <w:sz w:val="20"/>
        <w:szCs w:val="20"/>
      </w:rPr>
      <w:t>’s</w:t>
    </w:r>
    <w:r w:rsidRPr="00752C8D">
      <w:rPr>
        <w:sz w:val="20"/>
        <w:szCs w:val="20"/>
      </w:rPr>
      <w:t xml:space="preserve"> chosen </w:t>
    </w:r>
    <w:r>
      <w:rPr>
        <w:sz w:val="20"/>
        <w:szCs w:val="20"/>
      </w:rPr>
      <w:t>focus</w:t>
    </w:r>
    <w:r w:rsidRPr="00752C8D">
      <w:rPr>
        <w:sz w:val="20"/>
        <w:szCs w:val="20"/>
      </w:rPr>
      <w:t xml:space="preserve"> area. The program aims to deliver outcomes for recipients, students, teacher colleagues and school communities. </w:t>
    </w:r>
    <w:r w:rsidRPr="009014B7">
      <w:rPr>
        <w:sz w:val="20"/>
        <w:szCs w:val="20"/>
      </w:rPr>
      <w:t xml:space="preserve">This </w:t>
    </w:r>
    <w:r w:rsidRPr="00752C8D">
      <w:rPr>
        <w:sz w:val="20"/>
        <w:szCs w:val="20"/>
      </w:rPr>
      <w:t xml:space="preserve">report was completed following </w:t>
    </w:r>
    <w:r>
      <w:rPr>
        <w:sz w:val="20"/>
        <w:szCs w:val="20"/>
      </w:rPr>
      <w:t xml:space="preserve">scholarship </w:t>
    </w:r>
    <w:r w:rsidRPr="00752C8D">
      <w:rPr>
        <w:sz w:val="20"/>
        <w:szCs w:val="20"/>
      </w:rPr>
      <w:t>study tour activities</w:t>
    </w:r>
    <w:r>
      <w:rPr>
        <w:sz w:val="20"/>
        <w:szCs w:val="20"/>
      </w:rPr>
      <w:t xml:space="preserve">. It is </w:t>
    </w:r>
    <w:r w:rsidRPr="009014B7">
      <w:rPr>
        <w:sz w:val="20"/>
        <w:szCs w:val="20"/>
      </w:rPr>
      <w:t>produced by the author in their capacity as a scholarship recipient and may not represent the views of the NSW government, employing authority or sponsoring organisation</w:t>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AA1C04" w14:textId="77777777" w:rsidR="003D1828" w:rsidRDefault="003D1828" w:rsidP="000255B4">
      <w:pPr>
        <w:spacing w:before="0" w:after="0" w:line="240" w:lineRule="auto"/>
      </w:pPr>
      <w:r>
        <w:separator/>
      </w:r>
    </w:p>
  </w:footnote>
  <w:footnote w:type="continuationSeparator" w:id="0">
    <w:p w14:paraId="0AEDF21D" w14:textId="77777777" w:rsidR="003D1828" w:rsidRDefault="003D1828" w:rsidP="000255B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5" w15:restartNumberingAfterBreak="0">
    <w:nsid w:val="0F136DB9"/>
    <w:multiLevelType w:val="multilevel"/>
    <w:tmpl w:val="DCE4B9E0"/>
    <w:numStyleLink w:val="PTSOrderedListStyle"/>
  </w:abstractNum>
  <w:abstractNum w:abstractNumId="16" w15:restartNumberingAfterBreak="0">
    <w:nsid w:val="103C0DC7"/>
    <w:multiLevelType w:val="multilevel"/>
    <w:tmpl w:val="3C2CCE98"/>
    <w:numStyleLink w:val="PTSUnorderedListStyle"/>
  </w:abstractNum>
  <w:abstractNum w:abstractNumId="17"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15:restartNumberingAfterBreak="0">
    <w:nsid w:val="291126AF"/>
    <w:multiLevelType w:val="multilevel"/>
    <w:tmpl w:val="DCE4B9E0"/>
    <w:numStyleLink w:val="PTSOrderedListStyle"/>
  </w:abstractNum>
  <w:abstractNum w:abstractNumId="21"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F301127"/>
    <w:multiLevelType w:val="multilevel"/>
    <w:tmpl w:val="8E16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3C5440"/>
    <w:multiLevelType w:val="hybridMultilevel"/>
    <w:tmpl w:val="E7EC04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B2819"/>
    <w:multiLevelType w:val="hybridMultilevel"/>
    <w:tmpl w:val="03760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7D03032"/>
    <w:multiLevelType w:val="multilevel"/>
    <w:tmpl w:val="3C2CCE98"/>
    <w:numStyleLink w:val="PTSUnorderedListStyle"/>
  </w:abstractNum>
  <w:abstractNum w:abstractNumId="29"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2"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4" w15:restartNumberingAfterBreak="0">
    <w:nsid w:val="53E82A3C"/>
    <w:multiLevelType w:val="multilevel"/>
    <w:tmpl w:val="DCE4B9E0"/>
    <w:numStyleLink w:val="PTSOrderedListStyle"/>
  </w:abstractNum>
  <w:abstractNum w:abstractNumId="35" w15:restartNumberingAfterBreak="0">
    <w:nsid w:val="553807B4"/>
    <w:multiLevelType w:val="multilevel"/>
    <w:tmpl w:val="DCE4B9E0"/>
    <w:numStyleLink w:val="PTSOrderedListStyle"/>
  </w:abstractNum>
  <w:abstractNum w:abstractNumId="36"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CFF7684"/>
    <w:multiLevelType w:val="hybridMultilevel"/>
    <w:tmpl w:val="6B04F2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FF16E86"/>
    <w:multiLevelType w:val="multilevel"/>
    <w:tmpl w:val="DCE4B9E0"/>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41"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2" w15:restartNumberingAfterBreak="0">
    <w:nsid w:val="679E97A2"/>
    <w:multiLevelType w:val="hybridMultilevel"/>
    <w:tmpl w:val="E4400998"/>
    <w:lvl w:ilvl="0" w:tplc="84F8AD0C">
      <w:start w:val="1"/>
      <w:numFmt w:val="bullet"/>
      <w:lvlText w:val=""/>
      <w:lvlJc w:val="left"/>
      <w:pPr>
        <w:ind w:left="720" w:hanging="360"/>
      </w:pPr>
      <w:rPr>
        <w:rFonts w:ascii="Symbol" w:hAnsi="Symbol" w:hint="default"/>
      </w:rPr>
    </w:lvl>
    <w:lvl w:ilvl="1" w:tplc="59E2C15C">
      <w:start w:val="1"/>
      <w:numFmt w:val="bullet"/>
      <w:lvlText w:val="o"/>
      <w:lvlJc w:val="left"/>
      <w:pPr>
        <w:ind w:left="1440" w:hanging="360"/>
      </w:pPr>
      <w:rPr>
        <w:rFonts w:ascii="Courier New" w:hAnsi="Courier New" w:hint="default"/>
      </w:rPr>
    </w:lvl>
    <w:lvl w:ilvl="2" w:tplc="5BB2398A">
      <w:start w:val="1"/>
      <w:numFmt w:val="bullet"/>
      <w:lvlText w:val=""/>
      <w:lvlJc w:val="left"/>
      <w:pPr>
        <w:ind w:left="2160" w:hanging="360"/>
      </w:pPr>
      <w:rPr>
        <w:rFonts w:ascii="Wingdings" w:hAnsi="Wingdings" w:hint="default"/>
      </w:rPr>
    </w:lvl>
    <w:lvl w:ilvl="3" w:tplc="C744239A">
      <w:start w:val="1"/>
      <w:numFmt w:val="bullet"/>
      <w:lvlText w:val=""/>
      <w:lvlJc w:val="left"/>
      <w:pPr>
        <w:ind w:left="2880" w:hanging="360"/>
      </w:pPr>
      <w:rPr>
        <w:rFonts w:ascii="Symbol" w:hAnsi="Symbol" w:hint="default"/>
      </w:rPr>
    </w:lvl>
    <w:lvl w:ilvl="4" w:tplc="135884F4">
      <w:start w:val="1"/>
      <w:numFmt w:val="bullet"/>
      <w:lvlText w:val="o"/>
      <w:lvlJc w:val="left"/>
      <w:pPr>
        <w:ind w:left="3600" w:hanging="360"/>
      </w:pPr>
      <w:rPr>
        <w:rFonts w:ascii="Courier New" w:hAnsi="Courier New" w:hint="default"/>
      </w:rPr>
    </w:lvl>
    <w:lvl w:ilvl="5" w:tplc="E6D2BEF0">
      <w:start w:val="1"/>
      <w:numFmt w:val="bullet"/>
      <w:lvlText w:val=""/>
      <w:lvlJc w:val="left"/>
      <w:pPr>
        <w:ind w:left="4320" w:hanging="360"/>
      </w:pPr>
      <w:rPr>
        <w:rFonts w:ascii="Wingdings" w:hAnsi="Wingdings" w:hint="default"/>
      </w:rPr>
    </w:lvl>
    <w:lvl w:ilvl="6" w:tplc="754E9714">
      <w:start w:val="1"/>
      <w:numFmt w:val="bullet"/>
      <w:lvlText w:val=""/>
      <w:lvlJc w:val="left"/>
      <w:pPr>
        <w:ind w:left="5040" w:hanging="360"/>
      </w:pPr>
      <w:rPr>
        <w:rFonts w:ascii="Symbol" w:hAnsi="Symbol" w:hint="default"/>
      </w:rPr>
    </w:lvl>
    <w:lvl w:ilvl="7" w:tplc="53EE357A">
      <w:start w:val="1"/>
      <w:numFmt w:val="bullet"/>
      <w:lvlText w:val="o"/>
      <w:lvlJc w:val="left"/>
      <w:pPr>
        <w:ind w:left="5760" w:hanging="360"/>
      </w:pPr>
      <w:rPr>
        <w:rFonts w:ascii="Courier New" w:hAnsi="Courier New" w:hint="default"/>
      </w:rPr>
    </w:lvl>
    <w:lvl w:ilvl="8" w:tplc="0630CCE2">
      <w:start w:val="1"/>
      <w:numFmt w:val="bullet"/>
      <w:lvlText w:val=""/>
      <w:lvlJc w:val="left"/>
      <w:pPr>
        <w:ind w:left="6480" w:hanging="360"/>
      </w:pPr>
      <w:rPr>
        <w:rFonts w:ascii="Wingdings" w:hAnsi="Wingdings" w:hint="default"/>
      </w:rPr>
    </w:lvl>
  </w:abstractNum>
  <w:abstractNum w:abstractNumId="43"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5767C01"/>
    <w:multiLevelType w:val="multilevel"/>
    <w:tmpl w:val="DCE4B9E0"/>
    <w:numStyleLink w:val="PTSOrderedListStyle"/>
  </w:abstractNum>
  <w:num w:numId="1" w16cid:durableId="522282926">
    <w:abstractNumId w:val="19"/>
  </w:num>
  <w:num w:numId="2" w16cid:durableId="963927439">
    <w:abstractNumId w:val="33"/>
  </w:num>
  <w:num w:numId="3" w16cid:durableId="1038435900">
    <w:abstractNumId w:val="38"/>
  </w:num>
  <w:num w:numId="4" w16cid:durableId="1874801615">
    <w:abstractNumId w:val="37"/>
  </w:num>
  <w:num w:numId="5" w16cid:durableId="465700344">
    <w:abstractNumId w:val="21"/>
  </w:num>
  <w:num w:numId="6" w16cid:durableId="352653544">
    <w:abstractNumId w:val="29"/>
  </w:num>
  <w:num w:numId="7" w16cid:durableId="1264805997">
    <w:abstractNumId w:val="26"/>
  </w:num>
  <w:num w:numId="8" w16cid:durableId="1043939693">
    <w:abstractNumId w:val="30"/>
  </w:num>
  <w:num w:numId="9" w16cid:durableId="832447887">
    <w:abstractNumId w:val="10"/>
  </w:num>
  <w:num w:numId="10" w16cid:durableId="441344456">
    <w:abstractNumId w:val="12"/>
  </w:num>
  <w:num w:numId="11" w16cid:durableId="1694375457">
    <w:abstractNumId w:val="17"/>
  </w:num>
  <w:num w:numId="12" w16cid:durableId="1354378654">
    <w:abstractNumId w:val="13"/>
  </w:num>
  <w:num w:numId="13" w16cid:durableId="923805672">
    <w:abstractNumId w:val="31"/>
  </w:num>
  <w:num w:numId="14" w16cid:durableId="701981400">
    <w:abstractNumId w:val="41"/>
  </w:num>
  <w:num w:numId="15" w16cid:durableId="1703938253">
    <w:abstractNumId w:val="24"/>
  </w:num>
  <w:num w:numId="16" w16cid:durableId="1539930045">
    <w:abstractNumId w:val="18"/>
  </w:num>
  <w:num w:numId="17" w16cid:durableId="1421099837">
    <w:abstractNumId w:val="43"/>
  </w:num>
  <w:num w:numId="18" w16cid:durableId="2096895664">
    <w:abstractNumId w:val="36"/>
  </w:num>
  <w:num w:numId="19" w16cid:durableId="236212348">
    <w:abstractNumId w:val="34"/>
  </w:num>
  <w:num w:numId="20" w16cid:durableId="932274738">
    <w:abstractNumId w:val="27"/>
  </w:num>
  <w:num w:numId="21" w16cid:durableId="1180661850">
    <w:abstractNumId w:val="32"/>
  </w:num>
  <w:num w:numId="22" w16cid:durableId="688408783">
    <w:abstractNumId w:val="14"/>
  </w:num>
  <w:num w:numId="23" w16cid:durableId="461575964">
    <w:abstractNumId w:val="44"/>
  </w:num>
  <w:num w:numId="24" w16cid:durableId="637803994">
    <w:abstractNumId w:val="15"/>
  </w:num>
  <w:num w:numId="25" w16cid:durableId="2136360820">
    <w:abstractNumId w:val="11"/>
  </w:num>
  <w:num w:numId="26" w16cid:durableId="798256476">
    <w:abstractNumId w:val="16"/>
  </w:num>
  <w:num w:numId="27" w16cid:durableId="708532385">
    <w:abstractNumId w:val="28"/>
  </w:num>
  <w:num w:numId="28" w16cid:durableId="1200123690">
    <w:abstractNumId w:val="20"/>
  </w:num>
  <w:num w:numId="29" w16cid:durableId="27680529">
    <w:abstractNumId w:val="35"/>
  </w:num>
  <w:num w:numId="30" w16cid:durableId="280065812">
    <w:abstractNumId w:val="9"/>
  </w:num>
  <w:num w:numId="31" w16cid:durableId="500396178">
    <w:abstractNumId w:val="7"/>
  </w:num>
  <w:num w:numId="32" w16cid:durableId="1355155013">
    <w:abstractNumId w:val="6"/>
  </w:num>
  <w:num w:numId="33" w16cid:durableId="878131545">
    <w:abstractNumId w:val="5"/>
  </w:num>
  <w:num w:numId="34" w16cid:durableId="1551964862">
    <w:abstractNumId w:val="4"/>
  </w:num>
  <w:num w:numId="35" w16cid:durableId="166331880">
    <w:abstractNumId w:val="8"/>
  </w:num>
  <w:num w:numId="36" w16cid:durableId="1504933306">
    <w:abstractNumId w:val="3"/>
  </w:num>
  <w:num w:numId="37" w16cid:durableId="54553549">
    <w:abstractNumId w:val="2"/>
  </w:num>
  <w:num w:numId="38" w16cid:durableId="1891841414">
    <w:abstractNumId w:val="1"/>
  </w:num>
  <w:num w:numId="39" w16cid:durableId="283736065">
    <w:abstractNumId w:val="0"/>
  </w:num>
  <w:num w:numId="40" w16cid:durableId="374693892">
    <w:abstractNumId w:val="40"/>
  </w:num>
  <w:num w:numId="41" w16cid:durableId="1634939162">
    <w:abstractNumId w:val="22"/>
  </w:num>
  <w:num w:numId="42" w16cid:durableId="528684806">
    <w:abstractNumId w:val="42"/>
  </w:num>
  <w:num w:numId="43" w16cid:durableId="1950383677">
    <w:abstractNumId w:val="25"/>
  </w:num>
  <w:num w:numId="44" w16cid:durableId="2123958409">
    <w:abstractNumId w:val="23"/>
  </w:num>
  <w:num w:numId="45" w16cid:durableId="86752419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33"/>
    <w:rsid w:val="000225EE"/>
    <w:rsid w:val="000255B4"/>
    <w:rsid w:val="00035C95"/>
    <w:rsid w:val="0006340C"/>
    <w:rsid w:val="00066CF7"/>
    <w:rsid w:val="000722A0"/>
    <w:rsid w:val="00084126"/>
    <w:rsid w:val="00084611"/>
    <w:rsid w:val="00087207"/>
    <w:rsid w:val="00091CB4"/>
    <w:rsid w:val="000963CD"/>
    <w:rsid w:val="000C11CD"/>
    <w:rsid w:val="000C18ED"/>
    <w:rsid w:val="000D7F55"/>
    <w:rsid w:val="00152E9A"/>
    <w:rsid w:val="00155404"/>
    <w:rsid w:val="001A680E"/>
    <w:rsid w:val="001B4C3C"/>
    <w:rsid w:val="001C0A56"/>
    <w:rsid w:val="001C1A56"/>
    <w:rsid w:val="001D37A1"/>
    <w:rsid w:val="001D3FF0"/>
    <w:rsid w:val="00244BF6"/>
    <w:rsid w:val="002622D7"/>
    <w:rsid w:val="00275489"/>
    <w:rsid w:val="00294239"/>
    <w:rsid w:val="002B3433"/>
    <w:rsid w:val="00327960"/>
    <w:rsid w:val="003B16E4"/>
    <w:rsid w:val="003D052D"/>
    <w:rsid w:val="003D1828"/>
    <w:rsid w:val="003F7783"/>
    <w:rsid w:val="003F79CA"/>
    <w:rsid w:val="0040108E"/>
    <w:rsid w:val="00411FC4"/>
    <w:rsid w:val="0043189E"/>
    <w:rsid w:val="00477517"/>
    <w:rsid w:val="004805F3"/>
    <w:rsid w:val="00484900"/>
    <w:rsid w:val="004A26C5"/>
    <w:rsid w:val="004B1D2C"/>
    <w:rsid w:val="004D3AEE"/>
    <w:rsid w:val="004E6436"/>
    <w:rsid w:val="004E735C"/>
    <w:rsid w:val="005061F6"/>
    <w:rsid w:val="00507B74"/>
    <w:rsid w:val="005162C5"/>
    <w:rsid w:val="005935DB"/>
    <w:rsid w:val="005A0C6B"/>
    <w:rsid w:val="005A7B5F"/>
    <w:rsid w:val="005D4364"/>
    <w:rsid w:val="0064190F"/>
    <w:rsid w:val="00674594"/>
    <w:rsid w:val="006B4571"/>
    <w:rsid w:val="006E2817"/>
    <w:rsid w:val="00720CAA"/>
    <w:rsid w:val="007279F1"/>
    <w:rsid w:val="00747760"/>
    <w:rsid w:val="00794760"/>
    <w:rsid w:val="007B6A7A"/>
    <w:rsid w:val="007D48EC"/>
    <w:rsid w:val="007D4B9D"/>
    <w:rsid w:val="00821624"/>
    <w:rsid w:val="008619E2"/>
    <w:rsid w:val="00887CC1"/>
    <w:rsid w:val="008C14F3"/>
    <w:rsid w:val="008D7CC0"/>
    <w:rsid w:val="008F5148"/>
    <w:rsid w:val="0090533A"/>
    <w:rsid w:val="00910707"/>
    <w:rsid w:val="00921561"/>
    <w:rsid w:val="00930037"/>
    <w:rsid w:val="00943538"/>
    <w:rsid w:val="009539A5"/>
    <w:rsid w:val="009D39DC"/>
    <w:rsid w:val="009F3C9D"/>
    <w:rsid w:val="00A00B24"/>
    <w:rsid w:val="00A06F4D"/>
    <w:rsid w:val="00A121AF"/>
    <w:rsid w:val="00A14CFC"/>
    <w:rsid w:val="00A20899"/>
    <w:rsid w:val="00A32200"/>
    <w:rsid w:val="00A573A5"/>
    <w:rsid w:val="00A73E77"/>
    <w:rsid w:val="00AB7750"/>
    <w:rsid w:val="00AC1780"/>
    <w:rsid w:val="00AE6057"/>
    <w:rsid w:val="00AF4E63"/>
    <w:rsid w:val="00B02AE5"/>
    <w:rsid w:val="00B12F43"/>
    <w:rsid w:val="00B21EEE"/>
    <w:rsid w:val="00B252EA"/>
    <w:rsid w:val="00B25A7D"/>
    <w:rsid w:val="00B335C9"/>
    <w:rsid w:val="00B5310E"/>
    <w:rsid w:val="00BB0675"/>
    <w:rsid w:val="00BE4C52"/>
    <w:rsid w:val="00C509F6"/>
    <w:rsid w:val="00C7010F"/>
    <w:rsid w:val="00C76B6E"/>
    <w:rsid w:val="00C902DF"/>
    <w:rsid w:val="00C92191"/>
    <w:rsid w:val="00C97BE9"/>
    <w:rsid w:val="00CA3FEA"/>
    <w:rsid w:val="00D05F31"/>
    <w:rsid w:val="00D06FE8"/>
    <w:rsid w:val="00D17681"/>
    <w:rsid w:val="00D63C18"/>
    <w:rsid w:val="00D65435"/>
    <w:rsid w:val="00DA2865"/>
    <w:rsid w:val="00DB375B"/>
    <w:rsid w:val="00DC4AF3"/>
    <w:rsid w:val="00E04460"/>
    <w:rsid w:val="00E14DC7"/>
    <w:rsid w:val="00E568E6"/>
    <w:rsid w:val="00E65DBE"/>
    <w:rsid w:val="00EC0ED6"/>
    <w:rsid w:val="00EC26CD"/>
    <w:rsid w:val="00ED34E8"/>
    <w:rsid w:val="00ED3B04"/>
    <w:rsid w:val="00F1653C"/>
    <w:rsid w:val="00F267AF"/>
    <w:rsid w:val="00F36095"/>
    <w:rsid w:val="00F37270"/>
    <w:rsid w:val="00F372E1"/>
    <w:rsid w:val="00F65681"/>
    <w:rsid w:val="00F815C6"/>
    <w:rsid w:val="00FB15FB"/>
    <w:rsid w:val="00FC4A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2E5EABC2"/>
  <w15:docId w15:val="{D5DCFA45-01B8-4076-8015-58CABBAB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02DF"/>
    <w:pPr>
      <w:pBdr>
        <w:top w:val="nil"/>
        <w:left w:val="nil"/>
        <w:bottom w:val="nil"/>
        <w:right w:val="nil"/>
        <w:between w:val="nil"/>
      </w:pBdr>
      <w:spacing w:before="60" w:after="180" w:line="276" w:lineRule="auto"/>
    </w:pPr>
    <w:rPr>
      <w:rFonts w:eastAsia="Calibri" w:cs="Calibri"/>
      <w:color w:val="000000"/>
      <w:sz w:val="22"/>
      <w:szCs w:val="24"/>
      <w:lang w:eastAsia="en-US"/>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right w:val="none" w:sz="0" w:space="0" w:color="auto"/>
        <w:between w:val="none" w:sz="0" w:space="0" w:color="auto"/>
      </w:pBdr>
      <w:spacing w:before="480"/>
      <w:outlineLvl w:val="0"/>
    </w:pPr>
    <w:rPr>
      <w:rFonts w:eastAsia="Times New Roman" w:cs="Times New Roman"/>
      <w:b/>
      <w:bCs/>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eastAsia="Times New Roman" w:cs="Times New Roman"/>
      <w:b/>
      <w:bCs/>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eastAsia="Times New Roman" w:cs="Times New Roman"/>
      <w:b/>
      <w:bCs/>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eastAsia="Times New Roman" w:cs="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pPr>
    <w:rPr>
      <w:rFonts w:eastAsia="Calibri" w:cs="Calibri"/>
      <w:color w:val="000000"/>
      <w:sz w:val="24"/>
      <w:szCs w:val="24"/>
      <w:lang w:val="en-US" w:eastAsia="en-US"/>
    </w:rPr>
  </w:style>
  <w:style w:type="paragraph" w:styleId="Title">
    <w:name w:val="Title"/>
    <w:basedOn w:val="Normal"/>
    <w:next w:val="Normal"/>
    <w:link w:val="TitleChar"/>
    <w:uiPriority w:val="10"/>
    <w:qFormat/>
    <w:rsid w:val="00C509F6"/>
    <w:pPr>
      <w:pBdr>
        <w:top w:val="single" w:sz="48" w:space="24" w:color="DBE5F1"/>
        <w:left w:val="single" w:sz="48" w:space="4" w:color="DBE5F1"/>
        <w:bottom w:val="single" w:sz="48" w:space="24" w:color="DBE5F1"/>
        <w:right w:val="single" w:sz="48" w:space="4" w:color="DBE5F1"/>
        <w:between w:val="none" w:sz="0" w:space="0" w:color="auto"/>
      </w:pBdr>
      <w:shd w:val="clear" w:color="auto" w:fill="DBE5F1"/>
      <w:spacing w:before="0"/>
      <w:ind w:left="170"/>
      <w:contextualSpacing/>
    </w:pPr>
    <w:rPr>
      <w:rFonts w:eastAsia="Times New Roman" w:cs="Times New Roman"/>
      <w:b/>
      <w:kern w:val="28"/>
      <w:sz w:val="52"/>
      <w:szCs w:val="52"/>
    </w:rPr>
  </w:style>
  <w:style w:type="character" w:customStyle="1" w:styleId="TitleChar">
    <w:name w:val="Title Char"/>
    <w:link w:val="Title"/>
    <w:uiPriority w:val="10"/>
    <w:rsid w:val="00C509F6"/>
    <w:rPr>
      <w:rFonts w:ascii="Arial" w:eastAsia="Times New Roman" w:hAnsi="Arial" w:cs="Times New Roman"/>
      <w:b/>
      <w:color w:val="000000"/>
      <w:kern w:val="28"/>
      <w:sz w:val="52"/>
      <w:szCs w:val="52"/>
      <w:shd w:val="clear" w:color="auto" w:fill="DBE5F1"/>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link w:val="Subtitle"/>
    <w:uiPriority w:val="11"/>
    <w:rsid w:val="008F5148"/>
    <w:rPr>
      <w:rFonts w:ascii="Arial" w:eastAsia="Times New Roman" w:hAnsi="Arial" w:cs="Times New Roman"/>
      <w:iCs/>
      <w:color w:val="000000"/>
      <w:kern w:val="28"/>
      <w:sz w:val="36"/>
      <w:szCs w:val="52"/>
      <w:shd w:val="clear" w:color="auto" w:fill="DBE5F1"/>
    </w:rPr>
  </w:style>
  <w:style w:type="character" w:styleId="Hyperlink">
    <w:name w:val="Hyperlink"/>
    <w:uiPriority w:val="99"/>
    <w:unhideWhenUsed/>
    <w:rsid w:val="00ED3B04"/>
    <w:rPr>
      <w:color w:val="0000FF"/>
      <w:u w:val="single"/>
    </w:rPr>
  </w:style>
  <w:style w:type="character" w:customStyle="1" w:styleId="Heading1Char">
    <w:name w:val="Heading 1 Char"/>
    <w:link w:val="Heading1"/>
    <w:uiPriority w:val="9"/>
    <w:rsid w:val="00B02AE5"/>
    <w:rPr>
      <w:rFonts w:ascii="Arial" w:eastAsia="Times New Roman" w:hAnsi="Arial" w:cs="Times New Roman"/>
      <w:b/>
      <w:bCs/>
      <w:color w:val="000000"/>
      <w:sz w:val="36"/>
      <w:szCs w:val="28"/>
    </w:rPr>
  </w:style>
  <w:style w:type="character" w:customStyle="1" w:styleId="Heading2Char">
    <w:name w:val="Heading 2 Char"/>
    <w:link w:val="Heading2"/>
    <w:uiPriority w:val="9"/>
    <w:rsid w:val="00F36095"/>
    <w:rPr>
      <w:rFonts w:ascii="Arial" w:eastAsia="Times New Roman" w:hAnsi="Arial" w:cs="Times New Roman"/>
      <w:b/>
      <w:bCs/>
      <w:color w:val="000000"/>
      <w:sz w:val="32"/>
      <w:szCs w:val="26"/>
    </w:rPr>
  </w:style>
  <w:style w:type="character" w:customStyle="1" w:styleId="Heading3Char">
    <w:name w:val="Heading 3 Char"/>
    <w:link w:val="Heading3"/>
    <w:uiPriority w:val="9"/>
    <w:rsid w:val="005935DB"/>
    <w:rPr>
      <w:rFonts w:ascii="Arial" w:eastAsia="Times New Roman" w:hAnsi="Arial" w:cs="Times New Roman"/>
      <w:b/>
      <w:bCs/>
      <w:color w:val="000000"/>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rPr>
  </w:style>
  <w:style w:type="character" w:customStyle="1" w:styleId="QuoteChar">
    <w:name w:val="Quote Char"/>
    <w:link w:val="Quote"/>
    <w:uiPriority w:val="29"/>
    <w:rsid w:val="009F3C9D"/>
    <w:rPr>
      <w:rFonts w:eastAsia="Calibri" w:cs="Calibri"/>
      <w:iCs/>
      <w:color w:val="000000"/>
      <w:szCs w:val="24"/>
    </w:rPr>
  </w:style>
  <w:style w:type="character" w:customStyle="1" w:styleId="Heading4Char">
    <w:name w:val="Heading 4 Char"/>
    <w:link w:val="Heading4"/>
    <w:uiPriority w:val="9"/>
    <w:semiHidden/>
    <w:rsid w:val="005935DB"/>
    <w:rPr>
      <w:rFonts w:ascii="Arial" w:eastAsia="Times New Roman" w:hAnsi="Arial" w:cs="Times New Roman"/>
      <w:b/>
      <w:bCs/>
      <w:iCs/>
      <w:color w:val="000000"/>
      <w:szCs w:val="24"/>
    </w:rPr>
  </w:style>
  <w:style w:type="paragraph" w:customStyle="1" w:styleId="Pre-Title">
    <w:name w:val="Pre-Title"/>
    <w:basedOn w:val="Normal"/>
    <w:rsid w:val="00E14DC7"/>
    <w:pPr>
      <w:spacing w:after="1920"/>
    </w:pPr>
    <w:rPr>
      <w:b/>
      <w:sz w:val="28"/>
    </w:rPr>
  </w:style>
  <w:style w:type="character" w:styleId="PlaceholderText">
    <w:name w:val="Placeholder Tex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link w:val="Footer"/>
    <w:uiPriority w:val="99"/>
    <w:rsid w:val="000255B4"/>
    <w:rPr>
      <w:rFonts w:eastAsia="Calibri" w:cs="Calibri"/>
      <w:color w:val="000000"/>
      <w:sz w:val="20"/>
      <w:szCs w:val="24"/>
    </w:rPr>
  </w:style>
  <w:style w:type="character" w:customStyle="1" w:styleId="NoSpacingChar">
    <w:name w:val="No Spacing Char"/>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B02AE5"/>
    <w:rPr>
      <w:rFonts w:ascii="Tahoma" w:eastAsia="Calibri" w:hAnsi="Tahoma" w:cs="Tahoma"/>
      <w:color w:val="000000"/>
      <w:sz w:val="16"/>
      <w:szCs w:val="16"/>
    </w:rPr>
  </w:style>
  <w:style w:type="character" w:styleId="Strong">
    <w:name w:val="Strong"/>
    <w:uiPriority w:val="22"/>
    <w:qFormat/>
    <w:rsid w:val="00F36095"/>
    <w:rPr>
      <w:b/>
      <w:bCs/>
    </w:rPr>
  </w:style>
  <w:style w:type="table" w:styleId="TableGrid">
    <w:name w:val="Table Grid"/>
    <w:basedOn w:val="TableNormal"/>
    <w:uiPriority w:val="59"/>
    <w:rsid w:val="0051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5162C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162C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162C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5">
    <w:name w:val="Light List Accent 5"/>
    <w:basedOn w:val="TableNormal"/>
    <w:uiPriority w:val="61"/>
    <w:rsid w:val="005162C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PTSstyle">
    <w:name w:val="PTS style"/>
    <w:basedOn w:val="TableNormal"/>
    <w:uiPriority w:val="99"/>
    <w:rsid w:val="001D3FF0"/>
    <w:pPr>
      <w:contextualSpacing/>
    </w:pPr>
    <w:rPr>
      <w:sz w:val="24"/>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57" w:type="dxa"/>
        <w:bottom w:w="57" w:type="dxa"/>
      </w:tblCellMar>
    </w:tblPr>
    <w:trPr>
      <w:cantSplit/>
    </w:trPr>
    <w:tblStylePr w:type="firstRow">
      <w:pPr>
        <w:jc w:val="left"/>
      </w:pPr>
      <w:rPr>
        <w:rFonts w:ascii="Arial" w:hAnsi="Arial"/>
        <w:b/>
        <w:caps w:val="0"/>
        <w:smallCaps w:val="0"/>
        <w:strike w:val="0"/>
        <w:dstrike w:val="0"/>
        <w:vanish w:val="0"/>
        <w:color w:val="FFFFFF"/>
        <w:sz w:val="24"/>
        <w:u w:val="none"/>
        <w:vertAlign w:val="baseline"/>
      </w:rPr>
      <w:tblPr/>
      <w:tcPr>
        <w:tcBorders>
          <w:top w:val="single" w:sz="8" w:space="0" w:color="17365D"/>
          <w:left w:val="single" w:sz="8" w:space="0" w:color="17365D"/>
          <w:bottom w:val="single" w:sz="8" w:space="0" w:color="17365D"/>
          <w:right w:val="single" w:sz="8" w:space="0" w:color="17365D"/>
          <w:insideH w:val="single" w:sz="8" w:space="0" w:color="17365D"/>
          <w:insideV w:val="single" w:sz="8" w:space="0" w:color="17365D"/>
          <w:tl2br w:val="nil"/>
          <w:tr2bl w:val="nil"/>
        </w:tcBorders>
        <w:shd w:val="clear" w:color="auto" w:fill="17365D"/>
      </w:tcPr>
    </w:tblStylePr>
  </w:style>
  <w:style w:type="table" w:styleId="LightList-Accent1">
    <w:name w:val="Light List Accent 1"/>
    <w:basedOn w:val="TableNormal"/>
    <w:uiPriority w:val="61"/>
    <w:rsid w:val="001D3FF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unhideWhenUsed/>
    <w:qFormat/>
    <w:rsid w:val="00C902DF"/>
    <w:pPr>
      <w:spacing w:before="0" w:after="200" w:line="240" w:lineRule="auto"/>
    </w:pPr>
    <w:rPr>
      <w:b/>
      <w:bCs/>
      <w:color w:val="1F497D"/>
      <w:sz w:val="18"/>
      <w:szCs w:val="18"/>
    </w:rPr>
  </w:style>
  <w:style w:type="paragraph" w:styleId="NormalWeb">
    <w:name w:val="Normal (Web)"/>
    <w:basedOn w:val="Normal"/>
    <w:uiPriority w:val="99"/>
    <w:semiHidden/>
    <w:unhideWhenUsed/>
    <w:rsid w:val="00A73E7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452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177/00317217211065821%20%20(acesse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ducation.gov.au/quality-schools-package/resources/independent-review-regional-rural-and-remote-education-final-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92D6F-E17E-43DF-904F-C8802B035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3227</Words>
  <Characters>20148</Characters>
  <Application>Microsoft Office Word</Application>
  <DocSecurity>0</DocSecurity>
  <Lines>167</Lines>
  <Paragraphs>46</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Sleath, Margaret</dc:creator>
  <cp:keywords/>
  <cp:lastModifiedBy>Tracy Davies</cp:lastModifiedBy>
  <cp:revision>9</cp:revision>
  <cp:lastPrinted>2018-04-13T01:20:00Z</cp:lastPrinted>
  <dcterms:created xsi:type="dcterms:W3CDTF">2024-10-11T04:15:00Z</dcterms:created>
  <dcterms:modified xsi:type="dcterms:W3CDTF">2024-11-08T03:48:00Z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5c54aa1de7062c19a9fb8291b9a8612e1d382280d7302117d150bf246458ed21</vt:lpwstr>
  </property>
  <property fmtid="{D5CDD505-2E9C-101B-9397-08002B2CF9AE}" pid="3" name="MSIP_Label_b603dfd7-d93a-4381-a340-2995d8282205_Enabled">
    <vt:lpwstr>true</vt:lpwstr>
  </property>
  <property fmtid="{D5CDD505-2E9C-101B-9397-08002B2CF9AE}" pid="4" name="MSIP_Label_b603dfd7-d93a-4381-a340-2995d8282205_SetDate">
    <vt:lpwstr>2024-01-12T03:04:16Z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3cf51bb6-ff2f-4b9a-81d8-14076c9701d8</vt:lpwstr>
  </property>
  <property fmtid="{D5CDD505-2E9C-101B-9397-08002B2CF9AE}" pid="9" name="MSIP_Label_b603dfd7-d93a-4381-a340-2995d8282205_ContentBits">
    <vt:lpwstr>0</vt:lpwstr>
  </property>
</Properties>
</file>