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45D7C5A4" w:rsidR="00ED3B04" w:rsidRPr="001450C0" w:rsidRDefault="00B46828" w:rsidP="00350FE9">
      <w:pPr>
        <w:pStyle w:val="Pre-Title"/>
        <w:spacing w:after="1320"/>
      </w:pPr>
      <w:r>
        <w:t xml:space="preserve">2020 </w:t>
      </w:r>
      <w:r w:rsidR="00ED3B04" w:rsidRPr="001450C0">
        <w:t xml:space="preserve">Premier’s </w:t>
      </w:r>
      <w:r w:rsidR="004D3AEE">
        <w:t xml:space="preserve">NESA Quality Teaching </w:t>
      </w:r>
      <w:r w:rsidR="00ED3B04" w:rsidRPr="001450C0">
        <w:t>Scholarship</w:t>
      </w:r>
    </w:p>
    <w:p w14:paraId="0011C0C3" w14:textId="67890C31" w:rsidR="00ED3B04" w:rsidRPr="00C509F6" w:rsidRDefault="00B46828" w:rsidP="00C509F6">
      <w:pPr>
        <w:pStyle w:val="Title"/>
      </w:pPr>
      <w:r>
        <w:t xml:space="preserve">How do we improve reading in young Australians? </w:t>
      </w:r>
    </w:p>
    <w:p w14:paraId="441CB682" w14:textId="6CC9C846" w:rsidR="00ED3B04" w:rsidRPr="001450C0" w:rsidRDefault="00ED3B04" w:rsidP="00ED3B04">
      <w:pPr>
        <w:pStyle w:val="Subtitle"/>
        <w:rPr>
          <w:rFonts w:eastAsia="Tahoma"/>
        </w:rPr>
      </w:pPr>
    </w:p>
    <w:p w14:paraId="1C925F83" w14:textId="1A5E5CAD" w:rsidR="00ED3B04" w:rsidRPr="00943538" w:rsidRDefault="00B46828" w:rsidP="00350FE9">
      <w:pPr>
        <w:pStyle w:val="Author"/>
        <w:spacing w:before="1320"/>
      </w:pPr>
      <w:r>
        <w:t>Sarah Martin</w:t>
      </w:r>
    </w:p>
    <w:p w14:paraId="3666F43D" w14:textId="2F213D72" w:rsidR="00ED3B04" w:rsidRDefault="00B46828" w:rsidP="003348A4">
      <w:pPr>
        <w:spacing w:after="0"/>
      </w:pPr>
      <w:r>
        <w:t>Literacy Advisor K-6, NSW Department of Education</w:t>
      </w:r>
    </w:p>
    <w:p w14:paraId="6EB86464" w14:textId="3323B62B" w:rsidR="00B46828" w:rsidRDefault="00B46828" w:rsidP="00350FE9">
      <w:pPr>
        <w:spacing w:after="0"/>
      </w:pPr>
      <w:r>
        <w:t>Assistant Principal Learning and Support, Coniston Public School</w:t>
      </w:r>
    </w:p>
    <w:p w14:paraId="26B4A539" w14:textId="77777777" w:rsidR="00ED3B04" w:rsidRDefault="00ED3B04" w:rsidP="00350FE9">
      <w:pPr>
        <w:pStyle w:val="Sponsor"/>
        <w:spacing w:before="1320"/>
      </w:pPr>
      <w:r w:rsidRPr="001450C0">
        <w:t>Sponsored by</w:t>
      </w:r>
    </w:p>
    <w:p w14:paraId="7B33461C" w14:textId="29928D13" w:rsidR="00EC0ED6" w:rsidRDefault="009F1EA1" w:rsidP="000255B4">
      <w:r>
        <w:rPr>
          <w:noProof/>
        </w:rPr>
        <w:drawing>
          <wp:inline distT="0" distB="0" distL="0" distR="0" wp14:anchorId="763AECF0" wp14:editId="4DA0A7A0">
            <wp:extent cx="2625831" cy="1134893"/>
            <wp:effectExtent l="0" t="0" r="3175" b="8255"/>
            <wp:docPr id="5" name="Picture 5" descr="NESA logo - A picture containing graphics, colorfulness, graphic design, fo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ESA logo - A picture containing graphics, colorfulness, graphic design, font&#10;"/>
                    <pic:cNvPicPr/>
                  </pic:nvPicPr>
                  <pic:blipFill>
                    <a:blip r:embed="rId9">
                      <a:extLst>
                        <a:ext uri="{28A0092B-C50C-407E-A947-70E740481C1C}">
                          <a14:useLocalDpi xmlns:a14="http://schemas.microsoft.com/office/drawing/2010/main" val="0"/>
                        </a:ext>
                      </a:extLst>
                    </a:blip>
                    <a:stretch>
                      <a:fillRect/>
                    </a:stretch>
                  </pic:blipFill>
                  <pic:spPr>
                    <a:xfrm>
                      <a:off x="0" y="0"/>
                      <a:ext cx="2636915" cy="1139684"/>
                    </a:xfrm>
                    <a:prstGeom prst="rect">
                      <a:avLst/>
                    </a:prstGeom>
                  </pic:spPr>
                </pic:pic>
              </a:graphicData>
            </a:graphic>
          </wp:inline>
        </w:drawing>
      </w:r>
    </w:p>
    <w:p w14:paraId="18D87451" w14:textId="77777777" w:rsidR="00B46828" w:rsidRDefault="00B46828">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43FEBDA4" w14:textId="77777777" w:rsidR="00ED3B04" w:rsidRPr="00ED3B04" w:rsidRDefault="00ED3B04" w:rsidP="00ED3B04">
      <w:pPr>
        <w:pStyle w:val="Heading1"/>
      </w:pPr>
      <w:r w:rsidRPr="00ED3B04">
        <w:lastRenderedPageBreak/>
        <w:t>Introduction</w:t>
      </w:r>
    </w:p>
    <w:p w14:paraId="05FCBB25" w14:textId="77777777" w:rsidR="00F02C98" w:rsidRDefault="00621F60" w:rsidP="00C620F8">
      <w:pPr>
        <w:pStyle w:val="BodyText1"/>
      </w:pPr>
      <w:r w:rsidRPr="00621F60">
        <w:t xml:space="preserve">Reading is a fundamental skill that serves as a cornerstone for academic success and lifelong learning (Cunningham &amp; Stanovich, 2011; National Institute of Child Health and Human Development, 2000). Unfortunately, reading failure remains a significant challenge in many Australian schools. </w:t>
      </w:r>
    </w:p>
    <w:p w14:paraId="364B970C" w14:textId="077A9D99" w:rsidR="00621F60" w:rsidRDefault="00621F60" w:rsidP="00C620F8">
      <w:pPr>
        <w:pStyle w:val="BodyText1"/>
      </w:pPr>
      <w:r w:rsidRPr="00621F60">
        <w:t>This report explores the data surrounding reading difficulties and failures among students in Australia, shedding light on the extent of the problem and potential implications for educational policies and interventions.</w:t>
      </w:r>
      <w:r w:rsidR="002E65ED">
        <w:t xml:space="preserve"> </w:t>
      </w:r>
      <w:r w:rsidRPr="00621F60">
        <w:t xml:space="preserve">It also aims to explore the differences across five Australian jurisdictions (Western Australia, Northern Territory, South Australia, </w:t>
      </w:r>
      <w:proofErr w:type="gramStart"/>
      <w:r w:rsidRPr="00621F60">
        <w:t>Victoria</w:t>
      </w:r>
      <w:proofErr w:type="gramEnd"/>
      <w:r w:rsidRPr="00621F60">
        <w:t xml:space="preserve"> and NSW) and highlight the common factors associated with school improvement. </w:t>
      </w:r>
    </w:p>
    <w:p w14:paraId="69F826F4" w14:textId="77777777" w:rsidR="00F02C98" w:rsidRPr="00621F60" w:rsidRDefault="00F02C98" w:rsidP="00F02C98">
      <w:r w:rsidRPr="00621F60">
        <w:t>Data indicates that although Australia is on the right track in many jurisdictions and there has been a positive shift, a considerable number of students still struggle with reading proficiency. The Progress in International Reading Literacy Study (PIRLS) is a global assessment that measures reading achievement among fourth-grade students. According to the latest available data from 2021, the average reading score for Australian students has remained stable between this cycle of PIRLS and the previous one in 2016. In 2016 however, Australia's average reading score was below the international average, indicating there is still room for improvement. The 2021 PIRLS results highlight that one in five Australian Year 4 students were reading at or below the low benchmark and the proportion of Australian Year 4 students who did not meet the proficient standard (20%) has not changed since PIRLS, 2016 (Hillman et al., 2023).</w:t>
      </w:r>
      <w:r>
        <w:t xml:space="preserve"> </w:t>
      </w:r>
      <w:r w:rsidRPr="00621F60">
        <w:t xml:space="preserve">The National Assessment Program - Literacy and Numeracy (NAPLAN) results revealed that 12.4% of Australian Year 5 students did not meet the minimum reading standards in 2019 and 11.2% in 2022 (ACARA, 2019;2022). </w:t>
      </w:r>
    </w:p>
    <w:p w14:paraId="70240C16" w14:textId="77777777" w:rsidR="00F02C98" w:rsidRPr="00621F60" w:rsidRDefault="00F02C98" w:rsidP="00F02C98">
      <w:r w:rsidRPr="00621F60">
        <w:t>Reading failure has significant consequences for students and society (McArthur &amp; Castles, 2017). It impacts academic performance, emotional well-being, and long-term educational outcomes. Students' struggles in reading hinder their progress in various subjects and limit comprehension and critical thinking skills. This can lead to decreased motivation, self-esteem issues, and behavioural problems. Furthermore, difficulties in reading increase the risk of academic underachievement, grade repetition, and dropout, limiting future employment prospects and socioeconomic opportunities. Preventing and addressing reading challenges is essential for students' success and overall development.</w:t>
      </w:r>
    </w:p>
    <w:p w14:paraId="54DEB07F" w14:textId="77777777" w:rsidR="00F02C98" w:rsidRPr="00621F60" w:rsidRDefault="00F02C98" w:rsidP="00F02C98">
      <w:r w:rsidRPr="00621F60">
        <w:t>Recognising the significance of reading failure, several initiatives and strategies have been implemented to support reading proficiency in Australian schools, with significant differences in focus and facilitation across jurisdictions:</w:t>
      </w:r>
    </w:p>
    <w:p w14:paraId="7E25EB26" w14:textId="1B35840F" w:rsidR="00F02C98" w:rsidRPr="00621F60" w:rsidRDefault="00F02C98" w:rsidP="00F02C98">
      <w:pPr>
        <w:pStyle w:val="ListParagraph"/>
        <w:numPr>
          <w:ilvl w:val="0"/>
          <w:numId w:val="27"/>
        </w:numPr>
        <w:ind w:left="511" w:hanging="284"/>
      </w:pPr>
      <w:r w:rsidRPr="00621F60">
        <w:t xml:space="preserve">Phonics </w:t>
      </w:r>
      <w:r w:rsidR="00A2243D">
        <w:t>i</w:t>
      </w:r>
      <w:r w:rsidRPr="00621F60">
        <w:t>nstruction: Promoting evidence-based reading instruction, including systematic synthetic phonics, has gained traction to improve decoding and word recognition skills.</w:t>
      </w:r>
    </w:p>
    <w:p w14:paraId="0FBB0A0B" w14:textId="715A62C9" w:rsidR="00F02C98" w:rsidRPr="00621F60" w:rsidRDefault="00F02C98" w:rsidP="00F02C98">
      <w:pPr>
        <w:pStyle w:val="ListParagraph"/>
        <w:numPr>
          <w:ilvl w:val="0"/>
          <w:numId w:val="27"/>
        </w:numPr>
        <w:ind w:left="511" w:hanging="284"/>
      </w:pPr>
      <w:r w:rsidRPr="00621F60">
        <w:t xml:space="preserve">Early </w:t>
      </w:r>
      <w:r w:rsidR="00A2243D">
        <w:t>i</w:t>
      </w:r>
      <w:r w:rsidRPr="00621F60">
        <w:t>ntervention: Early identification of reading difficulties, coupled with targeted interventions, can prevent reading failure and support struggling readers during their foundational years.</w:t>
      </w:r>
    </w:p>
    <w:p w14:paraId="157CF794" w14:textId="0262FA02" w:rsidR="00F02C98" w:rsidRPr="00621F60" w:rsidRDefault="00F02C98" w:rsidP="00F02C98">
      <w:pPr>
        <w:pStyle w:val="ListParagraph"/>
        <w:numPr>
          <w:ilvl w:val="0"/>
          <w:numId w:val="27"/>
        </w:numPr>
        <w:ind w:left="511" w:hanging="284"/>
      </w:pPr>
      <w:r w:rsidRPr="00621F60">
        <w:t xml:space="preserve">Professional </w:t>
      </w:r>
      <w:r w:rsidR="00A2243D">
        <w:t>d</w:t>
      </w:r>
      <w:r w:rsidRPr="00621F60">
        <w:t>evelopment: Providing teachers with ongoing professional development and training in evidence-based literacy instruction can enhance their effectiveness in supporting student reading development.</w:t>
      </w:r>
    </w:p>
    <w:p w14:paraId="7632A95A" w14:textId="62603191" w:rsidR="00F02C98" w:rsidRPr="00621F60" w:rsidRDefault="00F02C98" w:rsidP="00F02C98">
      <w:pPr>
        <w:pStyle w:val="ListParagraph"/>
        <w:numPr>
          <w:ilvl w:val="0"/>
          <w:numId w:val="27"/>
        </w:numPr>
        <w:spacing w:after="180"/>
        <w:ind w:left="511" w:hanging="284"/>
      </w:pPr>
      <w:r w:rsidRPr="00621F60">
        <w:t>Literacy-</w:t>
      </w:r>
      <w:r w:rsidR="00A2243D">
        <w:t>r</w:t>
      </w:r>
      <w:r w:rsidRPr="00621F60">
        <w:t xml:space="preserve">ich </w:t>
      </w:r>
      <w:r w:rsidR="00A2243D">
        <w:t>e</w:t>
      </w:r>
      <w:r w:rsidRPr="00621F60">
        <w:t>nvironments: Creating language-rich environments at home, in early childhood settings, and schools can foster a love for reading and improve overall literacy outcomes.</w:t>
      </w:r>
    </w:p>
    <w:p w14:paraId="2B4F627F" w14:textId="121C3708" w:rsidR="00F02C98" w:rsidRPr="00621F60" w:rsidRDefault="00F02C98" w:rsidP="00F02C98">
      <w:r w:rsidRPr="00621F60">
        <w:lastRenderedPageBreak/>
        <w:t xml:space="preserve">The reasons why some Australian schools </w:t>
      </w:r>
      <w:r w:rsidR="00A2243D">
        <w:t xml:space="preserve">may not </w:t>
      </w:r>
      <w:r w:rsidRPr="00621F60">
        <w:t>have fully embraced the science of reading approach in teaching reading are multifaceted. Firstly, educational practices can be influenced by a range of factors, including historical teaching methods, university teacher training and established pedagogical beliefs. Some schools may be reluctant to deviate from traditional approaches that have been in place for years, even if there is growing evidence supporting alternative methods.</w:t>
      </w:r>
      <w:r w:rsidR="00A2243D">
        <w:t xml:space="preserve"> </w:t>
      </w:r>
      <w:r w:rsidRPr="00621F60">
        <w:t>Secondly, the implementation of evidence-based practices requires a comprehensive understanding of the science of reading and the necessary instructional strategies. Teachers and school leaders may require professional development and training to effectively implement these approaches in the classroom, especially if this learning was not offered during their initial teacher education. Limited access to professional development opportunities or inadequate support for teachers can hinder the adoption of evidence-based reading instruction.</w:t>
      </w:r>
    </w:p>
    <w:p w14:paraId="7BD98AC6" w14:textId="77777777" w:rsidR="00ED3B04" w:rsidRPr="00ED3B04" w:rsidRDefault="005935DB" w:rsidP="00ED3B04">
      <w:pPr>
        <w:pStyle w:val="Heading1"/>
      </w:pPr>
      <w:r>
        <w:t>Focus of Study</w:t>
      </w:r>
    </w:p>
    <w:p w14:paraId="583A4155" w14:textId="77777777" w:rsidR="00621F60" w:rsidRPr="00621F60" w:rsidRDefault="00621F60" w:rsidP="00621F60">
      <w:r w:rsidRPr="00621F60">
        <w:t>The focus of my study tour was to research how schools use the scientific evidence behind teaching reading to prevent reading difficulties and improve reading for all students. I examined two sets of qualitative data.</w:t>
      </w:r>
    </w:p>
    <w:p w14:paraId="4DE9507D" w14:textId="02595E6F" w:rsidR="00621F60" w:rsidRPr="00621F60" w:rsidRDefault="00621F60" w:rsidP="00166E3E">
      <w:pPr>
        <w:spacing w:after="0"/>
        <w:rPr>
          <w:highlight w:val="white"/>
        </w:rPr>
      </w:pPr>
      <w:r>
        <w:rPr>
          <w:highlight w:val="white"/>
        </w:rPr>
        <w:t xml:space="preserve">1. </w:t>
      </w:r>
      <w:r w:rsidRPr="00621F60">
        <w:rPr>
          <w:highlight w:val="white"/>
        </w:rPr>
        <w:t xml:space="preserve">I was specifically looking at which approaches </w:t>
      </w:r>
      <w:r w:rsidR="00414EC0">
        <w:rPr>
          <w:highlight w:val="white"/>
        </w:rPr>
        <w:t>high-performing</w:t>
      </w:r>
      <w:r w:rsidRPr="00621F60">
        <w:rPr>
          <w:highlight w:val="white"/>
        </w:rPr>
        <w:t xml:space="preserve"> schools use to:</w:t>
      </w:r>
    </w:p>
    <w:p w14:paraId="0AC1B9DC" w14:textId="77777777" w:rsidR="00621F60" w:rsidRPr="00621F60" w:rsidRDefault="00621F60" w:rsidP="00166E3E">
      <w:pPr>
        <w:pStyle w:val="ListParagraph"/>
        <w:numPr>
          <w:ilvl w:val="0"/>
          <w:numId w:val="27"/>
        </w:numPr>
        <w:spacing w:before="0" w:after="0"/>
        <w:ind w:left="511" w:hanging="284"/>
      </w:pPr>
      <w:r w:rsidRPr="00621F60">
        <w:t xml:space="preserve">Assess students and identify those at risk of reading </w:t>
      </w:r>
      <w:proofErr w:type="gramStart"/>
      <w:r w:rsidRPr="00621F60">
        <w:t>difficulties</w:t>
      </w:r>
      <w:proofErr w:type="gramEnd"/>
    </w:p>
    <w:p w14:paraId="4503D65B" w14:textId="77777777" w:rsidR="00621F60" w:rsidRPr="00621F60" w:rsidRDefault="00621F60" w:rsidP="00166E3E">
      <w:pPr>
        <w:pStyle w:val="ListParagraph"/>
        <w:numPr>
          <w:ilvl w:val="0"/>
          <w:numId w:val="27"/>
        </w:numPr>
        <w:spacing w:before="0" w:after="0"/>
        <w:ind w:left="511" w:hanging="284"/>
      </w:pPr>
      <w:r w:rsidRPr="00621F60">
        <w:t xml:space="preserve">Monitor and evaluate reading </w:t>
      </w:r>
      <w:proofErr w:type="gramStart"/>
      <w:r w:rsidRPr="00621F60">
        <w:t>improvement</w:t>
      </w:r>
      <w:proofErr w:type="gramEnd"/>
    </w:p>
    <w:p w14:paraId="3F434C0E" w14:textId="77777777" w:rsidR="00621F60" w:rsidRPr="00621F60" w:rsidRDefault="00621F60" w:rsidP="00166E3E">
      <w:pPr>
        <w:pStyle w:val="ListParagraph"/>
        <w:numPr>
          <w:ilvl w:val="0"/>
          <w:numId w:val="27"/>
        </w:numPr>
        <w:spacing w:before="0" w:after="0"/>
        <w:ind w:left="511" w:hanging="284"/>
      </w:pPr>
      <w:r w:rsidRPr="00621F60">
        <w:t xml:space="preserve">Implement universal systematic synthetic phonics, phonological </w:t>
      </w:r>
      <w:proofErr w:type="gramStart"/>
      <w:r w:rsidRPr="00621F60">
        <w:t>awareness</w:t>
      </w:r>
      <w:proofErr w:type="gramEnd"/>
      <w:r w:rsidRPr="00621F60">
        <w:t xml:space="preserve"> and orthographic mapping across K-2</w:t>
      </w:r>
    </w:p>
    <w:p w14:paraId="13C99D9D" w14:textId="77777777" w:rsidR="00621F60" w:rsidRPr="00621F60" w:rsidRDefault="00621F60" w:rsidP="00166E3E">
      <w:pPr>
        <w:pStyle w:val="ListParagraph"/>
        <w:numPr>
          <w:ilvl w:val="0"/>
          <w:numId w:val="27"/>
        </w:numPr>
        <w:spacing w:before="0" w:after="180"/>
        <w:ind w:left="511" w:hanging="284"/>
      </w:pPr>
      <w:r w:rsidRPr="00621F60">
        <w:t>Organise intervention and appropriate response to students with dyslexia, reading difficulties or those not making adequate progress.</w:t>
      </w:r>
    </w:p>
    <w:p w14:paraId="38B0526C" w14:textId="5F8DEC8E" w:rsidR="00621F60" w:rsidRPr="00FC0492" w:rsidRDefault="00621F60" w:rsidP="00166E3E">
      <w:pPr>
        <w:spacing w:after="0"/>
        <w:rPr>
          <w:highlight w:val="white"/>
        </w:rPr>
      </w:pPr>
      <w:r w:rsidRPr="00FC0492">
        <w:rPr>
          <w:highlight w:val="white"/>
        </w:rPr>
        <w:t>2.</w:t>
      </w:r>
      <w:r w:rsidR="002E65ED">
        <w:rPr>
          <w:highlight w:val="white"/>
        </w:rPr>
        <w:t xml:space="preserve"> </w:t>
      </w:r>
      <w:r w:rsidRPr="00FC0492">
        <w:rPr>
          <w:highlight w:val="white"/>
        </w:rPr>
        <w:t>I sought to understand the specific 'framework' of the setting:</w:t>
      </w:r>
    </w:p>
    <w:p w14:paraId="5F56D086" w14:textId="77777777" w:rsidR="00621F60" w:rsidRPr="00621F60" w:rsidRDefault="00621F60" w:rsidP="00166E3E">
      <w:pPr>
        <w:pStyle w:val="ListParagraph"/>
        <w:numPr>
          <w:ilvl w:val="0"/>
          <w:numId w:val="27"/>
        </w:numPr>
        <w:spacing w:before="0" w:after="0"/>
        <w:ind w:left="511" w:hanging="284"/>
      </w:pPr>
      <w:r w:rsidRPr="00621F60">
        <w:t>Interpretation of the ‘research’ and their approach to teaching reading</w:t>
      </w:r>
    </w:p>
    <w:p w14:paraId="208A95F9" w14:textId="77777777" w:rsidR="00621F60" w:rsidRPr="00621F60" w:rsidRDefault="00621F60" w:rsidP="00166E3E">
      <w:pPr>
        <w:pStyle w:val="ListParagraph"/>
        <w:numPr>
          <w:ilvl w:val="0"/>
          <w:numId w:val="27"/>
        </w:numPr>
        <w:spacing w:before="0" w:after="0"/>
        <w:ind w:left="511" w:hanging="284"/>
      </w:pPr>
      <w:r w:rsidRPr="00621F60">
        <w:t xml:space="preserve">Change management and organisational </w:t>
      </w:r>
      <w:proofErr w:type="gramStart"/>
      <w:r w:rsidRPr="00621F60">
        <w:t>health</w:t>
      </w:r>
      <w:proofErr w:type="gramEnd"/>
    </w:p>
    <w:p w14:paraId="7FA83D81" w14:textId="77777777" w:rsidR="00621F60" w:rsidRPr="00621F60" w:rsidRDefault="00621F60" w:rsidP="00166E3E">
      <w:pPr>
        <w:pStyle w:val="ListParagraph"/>
        <w:numPr>
          <w:ilvl w:val="0"/>
          <w:numId w:val="27"/>
        </w:numPr>
        <w:spacing w:before="0" w:after="0"/>
        <w:ind w:left="511" w:hanging="284"/>
      </w:pPr>
      <w:r w:rsidRPr="00621F60">
        <w:t>Challenges and obstacles</w:t>
      </w:r>
    </w:p>
    <w:p w14:paraId="744C8C13" w14:textId="77777777" w:rsidR="00621F60" w:rsidRPr="00621F60" w:rsidRDefault="00621F60" w:rsidP="00166E3E">
      <w:pPr>
        <w:pStyle w:val="ListParagraph"/>
        <w:numPr>
          <w:ilvl w:val="0"/>
          <w:numId w:val="27"/>
        </w:numPr>
        <w:spacing w:before="0" w:after="0"/>
        <w:ind w:left="511" w:hanging="284"/>
      </w:pPr>
      <w:r w:rsidRPr="00621F60">
        <w:t>Student engagement</w:t>
      </w:r>
    </w:p>
    <w:p w14:paraId="37A6ABD0" w14:textId="77777777" w:rsidR="00621F60" w:rsidRPr="00621F60" w:rsidRDefault="00621F60" w:rsidP="00166E3E">
      <w:pPr>
        <w:pStyle w:val="ListParagraph"/>
        <w:numPr>
          <w:ilvl w:val="0"/>
          <w:numId w:val="27"/>
        </w:numPr>
        <w:spacing w:before="0" w:after="0"/>
        <w:ind w:left="511" w:hanging="284"/>
      </w:pPr>
      <w:r w:rsidRPr="00621F60">
        <w:t>Classroom routines</w:t>
      </w:r>
    </w:p>
    <w:p w14:paraId="101A2E98" w14:textId="77777777" w:rsidR="00621F60" w:rsidRPr="00621F60" w:rsidRDefault="00621F60" w:rsidP="00166E3E">
      <w:pPr>
        <w:pStyle w:val="ListParagraph"/>
        <w:numPr>
          <w:ilvl w:val="0"/>
          <w:numId w:val="27"/>
        </w:numPr>
        <w:spacing w:before="0" w:after="0"/>
        <w:ind w:left="511" w:hanging="284"/>
      </w:pPr>
      <w:r w:rsidRPr="00621F60">
        <w:t>Retrieval practice</w:t>
      </w:r>
    </w:p>
    <w:p w14:paraId="577A4380" w14:textId="77777777" w:rsidR="00621F60" w:rsidRPr="00621F60" w:rsidRDefault="00621F60" w:rsidP="00166E3E">
      <w:pPr>
        <w:pStyle w:val="ListParagraph"/>
        <w:numPr>
          <w:ilvl w:val="0"/>
          <w:numId w:val="27"/>
        </w:numPr>
        <w:spacing w:before="0" w:after="0"/>
        <w:ind w:left="511" w:hanging="284"/>
      </w:pPr>
      <w:r w:rsidRPr="00621F60">
        <w:t xml:space="preserve">Staff training and professional learning </w:t>
      </w:r>
    </w:p>
    <w:p w14:paraId="087C6DE1" w14:textId="77777777" w:rsidR="00621F60" w:rsidRPr="00621F60" w:rsidRDefault="00621F60" w:rsidP="00166E3E">
      <w:pPr>
        <w:pStyle w:val="ListParagraph"/>
        <w:numPr>
          <w:ilvl w:val="0"/>
          <w:numId w:val="27"/>
        </w:numPr>
        <w:spacing w:before="0" w:after="180"/>
        <w:ind w:left="511" w:hanging="284"/>
      </w:pPr>
      <w:r w:rsidRPr="00621F60">
        <w:t>Program/method fidelity and quality assurance.</w:t>
      </w:r>
    </w:p>
    <w:p w14:paraId="28900531" w14:textId="69109066" w:rsidR="00621F60" w:rsidRPr="00621F60" w:rsidRDefault="00621F60" w:rsidP="00621F60">
      <w:r w:rsidRPr="00621F60">
        <w:t xml:space="preserve">The purpose of both sets of qualitative data was to draw relevant and observed correlations between strategic leadership, curriculum, </w:t>
      </w:r>
      <w:proofErr w:type="gramStart"/>
      <w:r w:rsidRPr="00621F60">
        <w:t>engagement</w:t>
      </w:r>
      <w:proofErr w:type="gramEnd"/>
      <w:r w:rsidRPr="00621F60">
        <w:t xml:space="preserve"> and behaviour.</w:t>
      </w:r>
      <w:r w:rsidR="002E65ED">
        <w:t xml:space="preserve"> </w:t>
      </w:r>
      <w:r w:rsidRPr="00621F60">
        <w:t>It was</w:t>
      </w:r>
      <w:r w:rsidR="00414EC0">
        <w:t>,</w:t>
      </w:r>
      <w:r w:rsidRPr="00621F60">
        <w:t xml:space="preserve"> and remains my opinion</w:t>
      </w:r>
      <w:r w:rsidR="00414EC0">
        <w:t>,</w:t>
      </w:r>
      <w:r w:rsidRPr="00621F60">
        <w:t xml:space="preserve"> that the use of evidence-based reading methods, including how it is delivered (through Explicit Direct Instruction (EDI)), strategic leadership and organisational health will significantly impact the engagement, behaviour</w:t>
      </w:r>
      <w:r w:rsidR="0039359F">
        <w:t>,</w:t>
      </w:r>
      <w:r w:rsidRPr="00621F60">
        <w:t xml:space="preserve"> and learning success of students. </w:t>
      </w:r>
    </w:p>
    <w:p w14:paraId="3823E1F9" w14:textId="4A516687" w:rsidR="00621F60" w:rsidRPr="00621F60" w:rsidRDefault="00621F60" w:rsidP="00621F60">
      <w:r w:rsidRPr="00621F60">
        <w:t xml:space="preserve">It should be noted that all data collected in this study was based on observations and interviews with School Learning Support Officers (SLSOs), classroom teachers, senior executive staff members and experts in the field of teaching reading and school improvement across five out of eight Australian jurisdictions. Although schools in Tasmania, Queensland and the Australian Capital Territory were not visited, I have attended webinars and undertaken reading research to understand methods used in </w:t>
      </w:r>
      <w:r w:rsidR="0039359F">
        <w:t>top-performing</w:t>
      </w:r>
      <w:r w:rsidRPr="00621F60">
        <w:t xml:space="preserve"> schools in these jurisdictions (for example – via Think Forward Educators, Five from Five, newspaper articles and Learning Difficulties Australia) to gain a boarder understanding of teaching reading across the nation.</w:t>
      </w:r>
      <w:r w:rsidR="002E65ED">
        <w:t xml:space="preserve"> </w:t>
      </w:r>
    </w:p>
    <w:p w14:paraId="18D30A07" w14:textId="77777777" w:rsidR="00ED3B04" w:rsidRPr="00ED3B04" w:rsidRDefault="005935DB" w:rsidP="00943538">
      <w:pPr>
        <w:pStyle w:val="Heading1"/>
      </w:pPr>
      <w:r>
        <w:lastRenderedPageBreak/>
        <w:t>Significant Learning</w:t>
      </w:r>
    </w:p>
    <w:p w14:paraId="4BC66274" w14:textId="77777777" w:rsidR="00621F60" w:rsidRPr="00621F60" w:rsidRDefault="00621F60" w:rsidP="00621F60">
      <w:pPr>
        <w:rPr>
          <w:shd w:val="clear" w:color="auto" w:fill="FFFFFF"/>
        </w:rPr>
      </w:pPr>
      <w:r w:rsidRPr="00621F60">
        <w:rPr>
          <w:shd w:val="clear" w:color="auto" w:fill="FFFFFF"/>
        </w:rPr>
        <w:t xml:space="preserve">During my study tour I observed best practice at high performing schools with sustained and continuous growth in literacy and gathered information about the common factors associated with school improvement during school and university visits. </w:t>
      </w:r>
    </w:p>
    <w:p w14:paraId="044F1865" w14:textId="1913EE5E" w:rsidR="00621F60" w:rsidRPr="00621F60" w:rsidRDefault="00621F60" w:rsidP="00621F60">
      <w:pPr>
        <w:rPr>
          <w:shd w:val="clear" w:color="auto" w:fill="FFFFFF"/>
        </w:rPr>
      </w:pPr>
      <w:r w:rsidRPr="00621F60">
        <w:rPr>
          <w:shd w:val="clear" w:color="auto" w:fill="FFFFFF"/>
        </w:rPr>
        <w:t>While I didn’t step foot in every type of school in every jurisdiction, I managed to visit a cross</w:t>
      </w:r>
      <w:r w:rsidR="00A2243D">
        <w:rPr>
          <w:shd w:val="clear" w:color="auto" w:fill="FFFFFF"/>
        </w:rPr>
        <w:t>-</w:t>
      </w:r>
      <w:r w:rsidRPr="00621F60">
        <w:rPr>
          <w:shd w:val="clear" w:color="auto" w:fill="FFFFFF"/>
        </w:rPr>
        <w:t>section of</w:t>
      </w:r>
      <w:r w:rsidR="004F3408">
        <w:rPr>
          <w:shd w:val="clear" w:color="auto" w:fill="FFFFFF"/>
        </w:rPr>
        <w:t xml:space="preserve"> </w:t>
      </w:r>
      <w:r w:rsidR="007765DF">
        <w:rPr>
          <w:shd w:val="clear" w:color="auto" w:fill="FFFFFF"/>
        </w:rPr>
        <w:t xml:space="preserve">state </w:t>
      </w:r>
      <w:r w:rsidR="004F3408">
        <w:rPr>
          <w:shd w:val="clear" w:color="auto" w:fill="FFFFFF"/>
        </w:rPr>
        <w:t>government</w:t>
      </w:r>
      <w:r w:rsidRPr="00621F60">
        <w:rPr>
          <w:shd w:val="clear" w:color="auto" w:fill="FFFFFF"/>
        </w:rPr>
        <w:t xml:space="preserve"> schools, including rural, remote, and metropolitan schools. My decisions about which schools to visit were based on qualitative and quantitative data, research, and conversations with experts from varied sources across the country. Some examples of these experts came from include The Fogarty Foundation, The Dyslexia SPELD Foundation, Edith Cowan University, Learning Difficulties Australia, The Literacy Guarantee Unit (South Australia), Think Forward Educators, Five from Five and La Trobe University. Outlined below is a summary of my findings and the common thread to achievement and high performance in teaching and learning. It should be noted that 90% of the schools visited had an ICSEA score of below 1050 and in many cases, 80% of students fell in the bottom 2 quartiles of disadvantage. </w:t>
      </w:r>
    </w:p>
    <w:p w14:paraId="5335C660" w14:textId="68D21A9F" w:rsidR="00A2243D" w:rsidRDefault="00A2243D" w:rsidP="00A2243D">
      <w:pPr>
        <w:pStyle w:val="Heading3"/>
        <w:rPr>
          <w:shd w:val="clear" w:color="auto" w:fill="FFFFFF"/>
        </w:rPr>
      </w:pPr>
      <w:r>
        <w:rPr>
          <w:shd w:val="clear" w:color="auto" w:fill="FFFFFF"/>
        </w:rPr>
        <w:t>Consistent factors</w:t>
      </w:r>
    </w:p>
    <w:p w14:paraId="5C441E63" w14:textId="5B2E3FBC" w:rsidR="00A2243D" w:rsidRPr="00A2243D" w:rsidRDefault="00A2243D" w:rsidP="00A2243D">
      <w:pPr>
        <w:rPr>
          <w:shd w:val="clear" w:color="auto" w:fill="FFFFFF"/>
        </w:rPr>
      </w:pPr>
      <w:r w:rsidRPr="00621F60">
        <w:rPr>
          <w:shd w:val="clear" w:color="auto" w:fill="FFFFFF"/>
        </w:rPr>
        <w:t>From the extensive observations and interviews conducted throughout this study, three consistent factors emerged as crucial for school improvement in reading at a school level – strategic execution of change and reform, a strong understanding of the evidence through regular professional learning</w:t>
      </w:r>
      <w:r>
        <w:rPr>
          <w:shd w:val="clear" w:color="auto" w:fill="FFFFFF"/>
        </w:rPr>
        <w:t>,</w:t>
      </w:r>
      <w:r w:rsidRPr="00621F60">
        <w:rPr>
          <w:shd w:val="clear" w:color="auto" w:fill="FFFFFF"/>
        </w:rPr>
        <w:t xml:space="preserve"> and sufficient time off class for executive staff members to build capacity and quality assure implementation.</w:t>
      </w:r>
    </w:p>
    <w:p w14:paraId="585E83F8" w14:textId="571F0482" w:rsidR="00621F60" w:rsidRPr="005A0A87" w:rsidRDefault="005A0A87" w:rsidP="009626AC">
      <w:pPr>
        <w:pStyle w:val="Heading4"/>
        <w:rPr>
          <w:shd w:val="clear" w:color="auto" w:fill="FFFFFF"/>
        </w:rPr>
      </w:pPr>
      <w:r w:rsidRPr="005A0A87">
        <w:rPr>
          <w:shd w:val="clear" w:color="auto" w:fill="FFFFFF"/>
        </w:rPr>
        <w:t xml:space="preserve">1. </w:t>
      </w:r>
      <w:r w:rsidR="00621F60" w:rsidRPr="005A0A87">
        <w:rPr>
          <w:shd w:val="clear" w:color="auto" w:fill="FFFFFF"/>
        </w:rPr>
        <w:t xml:space="preserve">Strategic execution of change and reform </w:t>
      </w:r>
    </w:p>
    <w:p w14:paraId="3CF9A520" w14:textId="77777777" w:rsidR="00621F60" w:rsidRPr="00621F60" w:rsidRDefault="00621F60" w:rsidP="005A0A87">
      <w:pPr>
        <w:ind w:firstLine="720"/>
        <w:rPr>
          <w:shd w:val="clear" w:color="auto" w:fill="FFFFFF"/>
        </w:rPr>
      </w:pPr>
      <w:r w:rsidRPr="00621F60">
        <w:rPr>
          <w:shd w:val="clear" w:color="auto" w:fill="FFFFFF"/>
        </w:rPr>
        <w:t>“</w:t>
      </w:r>
      <w:r w:rsidRPr="005A0A87">
        <w:rPr>
          <w:shd w:val="clear" w:color="auto" w:fill="FFFFFF"/>
        </w:rPr>
        <w:t>A</w:t>
      </w:r>
      <w:r w:rsidRPr="00621F60">
        <w:rPr>
          <w:shd w:val="clear" w:color="auto" w:fill="FFFFFF"/>
        </w:rPr>
        <w:t xml:space="preserve"> leader needs enough understanding to fashion an intelligent strategy.” (Kotter, n.d.)</w:t>
      </w:r>
    </w:p>
    <w:p w14:paraId="504082E8" w14:textId="77777777" w:rsidR="00621F60" w:rsidRPr="00621F60" w:rsidRDefault="00621F60" w:rsidP="002E65ED">
      <w:pPr>
        <w:spacing w:after="0"/>
        <w:rPr>
          <w:shd w:val="clear" w:color="auto" w:fill="FFFFFF"/>
        </w:rPr>
      </w:pPr>
      <w:r w:rsidRPr="00621F60">
        <w:rPr>
          <w:shd w:val="clear" w:color="auto" w:fill="FFFFFF"/>
        </w:rPr>
        <w:t>Strategic leaders understand:</w:t>
      </w:r>
    </w:p>
    <w:p w14:paraId="55EAE6A8" w14:textId="5F542871" w:rsidR="00621F60" w:rsidRPr="005A0A87" w:rsidRDefault="00605DDA" w:rsidP="002E65ED">
      <w:pPr>
        <w:pStyle w:val="ListParagraph"/>
        <w:numPr>
          <w:ilvl w:val="0"/>
          <w:numId w:val="27"/>
        </w:numPr>
        <w:spacing w:before="0" w:after="0"/>
        <w:ind w:left="511" w:hanging="284"/>
      </w:pPr>
      <w:r>
        <w:t>t</w:t>
      </w:r>
      <w:r w:rsidR="00621F60" w:rsidRPr="005A0A87">
        <w:t xml:space="preserve">he school’s context including its organisational health and its </w:t>
      </w:r>
      <w:proofErr w:type="gramStart"/>
      <w:r w:rsidR="00621F60" w:rsidRPr="005A0A87">
        <w:t>data</w:t>
      </w:r>
      <w:proofErr w:type="gramEnd"/>
    </w:p>
    <w:p w14:paraId="2F9F95D8" w14:textId="3AA0595B" w:rsidR="00621F60" w:rsidRPr="005A0A87" w:rsidRDefault="00605DDA" w:rsidP="002E65ED">
      <w:pPr>
        <w:pStyle w:val="ListParagraph"/>
        <w:numPr>
          <w:ilvl w:val="0"/>
          <w:numId w:val="27"/>
        </w:numPr>
        <w:spacing w:before="0" w:after="0"/>
        <w:ind w:left="511" w:hanging="284"/>
      </w:pPr>
      <w:r>
        <w:t>h</w:t>
      </w:r>
      <w:r w:rsidR="00621F60" w:rsidRPr="005A0A87">
        <w:t xml:space="preserve">ow to manage and support staff through change </w:t>
      </w:r>
    </w:p>
    <w:p w14:paraId="18445F01" w14:textId="3490DDE3" w:rsidR="00621F60" w:rsidRPr="005A0A87" w:rsidRDefault="00605DDA" w:rsidP="002E65ED">
      <w:pPr>
        <w:pStyle w:val="ListParagraph"/>
        <w:numPr>
          <w:ilvl w:val="0"/>
          <w:numId w:val="27"/>
        </w:numPr>
        <w:spacing w:before="0" w:after="0"/>
        <w:ind w:left="511" w:hanging="284"/>
      </w:pPr>
      <w:r>
        <w:t>t</w:t>
      </w:r>
      <w:r w:rsidR="00621F60" w:rsidRPr="005A0A87">
        <w:t xml:space="preserve">he difference between scientifically robust evidence and an approach that is claiming to be ‘evidence </w:t>
      </w:r>
      <w:proofErr w:type="gramStart"/>
      <w:r w:rsidR="00621F60" w:rsidRPr="005A0A87">
        <w:t>based’</w:t>
      </w:r>
      <w:proofErr w:type="gramEnd"/>
    </w:p>
    <w:p w14:paraId="11FD738C" w14:textId="349D2189" w:rsidR="00621F60" w:rsidRPr="005A0A87" w:rsidRDefault="00605DDA" w:rsidP="002E65ED">
      <w:pPr>
        <w:pStyle w:val="ListParagraph"/>
        <w:numPr>
          <w:ilvl w:val="0"/>
          <w:numId w:val="27"/>
        </w:numPr>
        <w:spacing w:before="0" w:after="0"/>
        <w:ind w:left="511" w:hanging="284"/>
      </w:pPr>
      <w:r>
        <w:t>h</w:t>
      </w:r>
      <w:r w:rsidR="00621F60" w:rsidRPr="005A0A87">
        <w:t>ow to teach, implement and lead with the evidence</w:t>
      </w:r>
    </w:p>
    <w:p w14:paraId="43466E97" w14:textId="0B1C56F8" w:rsidR="00621F60" w:rsidRPr="005A0A87" w:rsidRDefault="00605DDA" w:rsidP="002E65ED">
      <w:pPr>
        <w:pStyle w:val="ListParagraph"/>
        <w:numPr>
          <w:ilvl w:val="0"/>
          <w:numId w:val="27"/>
        </w:numPr>
        <w:spacing w:before="0" w:after="0"/>
        <w:ind w:left="511" w:hanging="284"/>
      </w:pPr>
      <w:r>
        <w:t>s</w:t>
      </w:r>
      <w:r w:rsidR="00621F60" w:rsidRPr="005A0A87">
        <w:t xml:space="preserve">uccessful and effective instructional leadership/coaching methods </w:t>
      </w:r>
    </w:p>
    <w:p w14:paraId="000D818F" w14:textId="59412589" w:rsidR="00621F60" w:rsidRPr="005A0A87" w:rsidRDefault="00605DDA" w:rsidP="002E65ED">
      <w:pPr>
        <w:pStyle w:val="ListParagraph"/>
        <w:numPr>
          <w:ilvl w:val="0"/>
          <w:numId w:val="27"/>
        </w:numPr>
        <w:spacing w:before="0" w:after="180"/>
        <w:ind w:left="511" w:hanging="284"/>
      </w:pPr>
      <w:r>
        <w:t>m</w:t>
      </w:r>
      <w:r w:rsidR="00621F60" w:rsidRPr="005A0A87">
        <w:t xml:space="preserve">ulti-tiered frameworks and systems of support (MTSS) including the importance of effective Tier 1 instruction in the </w:t>
      </w:r>
      <w:proofErr w:type="gramStart"/>
      <w:r w:rsidR="00621F60" w:rsidRPr="005A0A87">
        <w:t>classroom</w:t>
      </w:r>
      <w:proofErr w:type="gramEnd"/>
      <w:r w:rsidR="00621F60" w:rsidRPr="005A0A87">
        <w:t xml:space="preserve"> </w:t>
      </w:r>
    </w:p>
    <w:p w14:paraId="212FF13D" w14:textId="77777777" w:rsidR="00621F60" w:rsidRPr="00621F60" w:rsidRDefault="00621F60" w:rsidP="002E65ED">
      <w:pPr>
        <w:spacing w:after="0"/>
        <w:rPr>
          <w:shd w:val="clear" w:color="auto" w:fill="FFFFFF"/>
        </w:rPr>
      </w:pPr>
      <w:r w:rsidRPr="00621F60">
        <w:rPr>
          <w:shd w:val="clear" w:color="auto" w:fill="FFFFFF"/>
        </w:rPr>
        <w:t>Strategic leaders also have or gain knowledge of:</w:t>
      </w:r>
    </w:p>
    <w:p w14:paraId="47468408" w14:textId="3349D083" w:rsidR="00621F60" w:rsidRPr="005A0A87" w:rsidRDefault="00605DDA" w:rsidP="002E65ED">
      <w:pPr>
        <w:pStyle w:val="ListParagraph"/>
        <w:numPr>
          <w:ilvl w:val="0"/>
          <w:numId w:val="27"/>
        </w:numPr>
        <w:spacing w:before="0" w:after="0"/>
        <w:ind w:left="511" w:hanging="284"/>
      </w:pPr>
      <w:r>
        <w:t>h</w:t>
      </w:r>
      <w:r w:rsidR="00621F60" w:rsidRPr="005A0A87">
        <w:t>ow the brain learns and the principles of learning including:</w:t>
      </w:r>
    </w:p>
    <w:p w14:paraId="77440A55" w14:textId="77777777" w:rsidR="00621F60" w:rsidRPr="005A0A87" w:rsidRDefault="00621F60" w:rsidP="002E65ED">
      <w:pPr>
        <w:pStyle w:val="ListParagraph"/>
        <w:numPr>
          <w:ilvl w:val="1"/>
          <w:numId w:val="27"/>
        </w:numPr>
        <w:spacing w:before="0" w:after="0"/>
      </w:pPr>
      <w:r w:rsidRPr="005A0A87">
        <w:t xml:space="preserve">spaced, interleaved and retrieval </w:t>
      </w:r>
      <w:proofErr w:type="gramStart"/>
      <w:r w:rsidRPr="005A0A87">
        <w:t>practice</w:t>
      </w:r>
      <w:proofErr w:type="gramEnd"/>
    </w:p>
    <w:p w14:paraId="084D6082" w14:textId="77777777" w:rsidR="00621F60" w:rsidRPr="005A0A87" w:rsidRDefault="00621F60" w:rsidP="002E65ED">
      <w:pPr>
        <w:pStyle w:val="ListParagraph"/>
        <w:numPr>
          <w:ilvl w:val="1"/>
          <w:numId w:val="27"/>
        </w:numPr>
        <w:spacing w:before="0" w:after="0"/>
      </w:pPr>
      <w:r w:rsidRPr="005A0A87">
        <w:t>gaining and maintaining attention of students</w:t>
      </w:r>
    </w:p>
    <w:p w14:paraId="1B7C17FF" w14:textId="77777777" w:rsidR="00621F60" w:rsidRPr="005A0A87" w:rsidRDefault="00621F60" w:rsidP="002E65ED">
      <w:pPr>
        <w:pStyle w:val="ListParagraph"/>
        <w:numPr>
          <w:ilvl w:val="1"/>
          <w:numId w:val="27"/>
        </w:numPr>
        <w:spacing w:before="0" w:after="0"/>
      </w:pPr>
      <w:r w:rsidRPr="005A0A87">
        <w:t>cognitive load theory</w:t>
      </w:r>
    </w:p>
    <w:p w14:paraId="02B15108" w14:textId="77777777" w:rsidR="00621F60" w:rsidRPr="005A0A87" w:rsidRDefault="00621F60" w:rsidP="002E65ED">
      <w:pPr>
        <w:pStyle w:val="ListParagraph"/>
        <w:numPr>
          <w:ilvl w:val="1"/>
          <w:numId w:val="27"/>
        </w:numPr>
        <w:spacing w:before="0" w:after="0"/>
      </w:pPr>
      <w:r w:rsidRPr="005A0A87">
        <w:t>intrinsic and extraneous load</w:t>
      </w:r>
    </w:p>
    <w:p w14:paraId="677E46A4" w14:textId="77777777" w:rsidR="00621F60" w:rsidRPr="005A0A87" w:rsidRDefault="00621F60" w:rsidP="002E65ED">
      <w:pPr>
        <w:pStyle w:val="ListParagraph"/>
        <w:numPr>
          <w:ilvl w:val="1"/>
          <w:numId w:val="27"/>
        </w:numPr>
        <w:spacing w:before="0" w:after="0"/>
      </w:pPr>
      <w:r w:rsidRPr="005A0A87">
        <w:t>routine and engagement norms</w:t>
      </w:r>
    </w:p>
    <w:p w14:paraId="7268FE42" w14:textId="31D0FFF7" w:rsidR="00621F60" w:rsidRPr="005A0A87" w:rsidRDefault="00605DDA" w:rsidP="002E65ED">
      <w:pPr>
        <w:pStyle w:val="ListParagraph"/>
        <w:numPr>
          <w:ilvl w:val="0"/>
          <w:numId w:val="27"/>
        </w:numPr>
        <w:spacing w:before="0" w:after="0"/>
        <w:ind w:left="511" w:hanging="284"/>
      </w:pPr>
      <w:r>
        <w:t>t</w:t>
      </w:r>
      <w:r w:rsidR="00621F60" w:rsidRPr="005A0A87">
        <w:t xml:space="preserve">he principles of instruction (EDI), Hattie’s barometer of influence, </w:t>
      </w:r>
    </w:p>
    <w:p w14:paraId="40EF2469" w14:textId="77777777" w:rsidR="00621F60" w:rsidRPr="005A0A87" w:rsidRDefault="00621F60" w:rsidP="002E65ED">
      <w:pPr>
        <w:pStyle w:val="ListParagraph"/>
        <w:numPr>
          <w:ilvl w:val="0"/>
          <w:numId w:val="27"/>
        </w:numPr>
        <w:spacing w:before="0" w:after="0"/>
        <w:ind w:left="511" w:hanging="284"/>
      </w:pPr>
      <w:r w:rsidRPr="005A0A87">
        <w:t xml:space="preserve">high impact teaching strategies, (e.g. formative feedback, effective questioning to check for understanding, effective daily </w:t>
      </w:r>
      <w:proofErr w:type="gramStart"/>
      <w:r w:rsidRPr="005A0A87">
        <w:t>reviews</w:t>
      </w:r>
      <w:proofErr w:type="gramEnd"/>
      <w:r w:rsidRPr="005A0A87">
        <w:t xml:space="preserve"> and effective guided practice)</w:t>
      </w:r>
    </w:p>
    <w:p w14:paraId="3154A27E" w14:textId="39F8806C" w:rsidR="00621F60" w:rsidRDefault="00605DDA" w:rsidP="002E65ED">
      <w:pPr>
        <w:pStyle w:val="ListParagraph"/>
        <w:numPr>
          <w:ilvl w:val="0"/>
          <w:numId w:val="27"/>
        </w:numPr>
        <w:spacing w:before="0" w:after="180"/>
        <w:ind w:left="511" w:hanging="284"/>
      </w:pPr>
      <w:r>
        <w:t>c</w:t>
      </w:r>
      <w:r w:rsidR="00621F60" w:rsidRPr="005A0A87">
        <w:t>hallenges that can occur in the reading brain, including phonological processing, phonological memory, orthographic mapping, working memory and rapid automatised naming.</w:t>
      </w:r>
    </w:p>
    <w:p w14:paraId="366FCA89" w14:textId="0D6372F9" w:rsidR="005A0A87" w:rsidRPr="005A0A87" w:rsidRDefault="005A0A87" w:rsidP="009626AC">
      <w:pPr>
        <w:pStyle w:val="Heading4"/>
        <w:rPr>
          <w:shd w:val="clear" w:color="auto" w:fill="FFFFFF"/>
        </w:rPr>
      </w:pPr>
      <w:r w:rsidRPr="005A0A87">
        <w:rPr>
          <w:shd w:val="clear" w:color="auto" w:fill="FFFFFF"/>
        </w:rPr>
        <w:lastRenderedPageBreak/>
        <w:t>2.</w:t>
      </w:r>
      <w:r w:rsidR="00A2243D">
        <w:rPr>
          <w:shd w:val="clear" w:color="auto" w:fill="FFFFFF"/>
        </w:rPr>
        <w:t xml:space="preserve"> </w:t>
      </w:r>
      <w:r w:rsidRPr="005A0A87">
        <w:rPr>
          <w:shd w:val="clear" w:color="auto" w:fill="FFFFFF"/>
        </w:rPr>
        <w:t xml:space="preserve">A strong understanding of the evidence base through regular professional learning </w:t>
      </w:r>
    </w:p>
    <w:p w14:paraId="79B9C9E6" w14:textId="4573103E" w:rsidR="005A0A87" w:rsidRPr="005A0A87" w:rsidRDefault="005A0A87" w:rsidP="009626AC">
      <w:pPr>
        <w:pStyle w:val="BodyText1"/>
        <w:rPr>
          <w:shd w:val="clear" w:color="auto" w:fill="FFFFFF"/>
        </w:rPr>
      </w:pPr>
      <w:r w:rsidRPr="005A0A87">
        <w:rPr>
          <w:shd w:val="clear" w:color="auto" w:fill="FFFFFF"/>
        </w:rPr>
        <w:t>Having evidence-based knowledge as a leader gives the school a clear focus and direction and allows for difficult conversations and creative solutions.</w:t>
      </w:r>
      <w:r w:rsidR="002E65ED">
        <w:rPr>
          <w:shd w:val="clear" w:color="auto" w:fill="FFFFFF"/>
        </w:rPr>
        <w:t xml:space="preserve"> </w:t>
      </w:r>
      <w:r w:rsidRPr="005A0A87">
        <w:rPr>
          <w:shd w:val="clear" w:color="auto" w:fill="FFFFFF"/>
        </w:rPr>
        <w:t xml:space="preserve">One Principal said she made sure she had the most expertise and knowledge in the school when it came to understanding the brain, teaching literacy and high impact teaching strategies. She was able to be challenged by staff as she knew the scientific reasons behind every decision for the change in approach. This kept staff focused and assured that they were on the right track. </w:t>
      </w:r>
    </w:p>
    <w:p w14:paraId="3A980D53" w14:textId="76BB23C7" w:rsidR="005A0A87" w:rsidRPr="005A0A87" w:rsidRDefault="005A0A87" w:rsidP="009626AC">
      <w:pPr>
        <w:pStyle w:val="BodyText1"/>
        <w:rPr>
          <w:shd w:val="clear" w:color="auto" w:fill="FFFFFF"/>
        </w:rPr>
      </w:pPr>
      <w:r w:rsidRPr="005A0A87">
        <w:rPr>
          <w:shd w:val="clear" w:color="auto" w:fill="FFFFFF"/>
        </w:rPr>
        <w:t xml:space="preserve">Upskilling all staff, including SLSOs, about how children learn to read, how the brain learns and teaching strategies that have high impact was pivotal in all schools visited. For those schools that purchased a systematic synthetic phonics program (e.g. </w:t>
      </w:r>
      <w:proofErr w:type="spellStart"/>
      <w:r w:rsidRPr="005A0A87">
        <w:rPr>
          <w:shd w:val="clear" w:color="auto" w:fill="FFFFFF"/>
        </w:rPr>
        <w:t>inititiaLit</w:t>
      </w:r>
      <w:proofErr w:type="spellEnd"/>
      <w:r w:rsidRPr="005A0A87">
        <w:rPr>
          <w:shd w:val="clear" w:color="auto" w:fill="FFFFFF"/>
        </w:rPr>
        <w:t xml:space="preserve">), a phonemic awareness scope and sequence and associated activities (e.g. Heggerty’s) and a spelling program (e.g. Spelling Mastery), the training did not stop there. Leadership teams conducted regular reviews of previously learnt skills and concepts to ensure staff weren’t forgetting what they had learnt, as well as slowly imparting new teaching, learning and literacy knowledge. </w:t>
      </w:r>
    </w:p>
    <w:p w14:paraId="298443D6" w14:textId="77777777" w:rsidR="005A0A87" w:rsidRPr="005A0A87" w:rsidRDefault="005A0A87" w:rsidP="009626AC">
      <w:pPr>
        <w:pStyle w:val="BodyText1"/>
        <w:rPr>
          <w:shd w:val="clear" w:color="auto" w:fill="FFFFFF"/>
        </w:rPr>
      </w:pPr>
      <w:r w:rsidRPr="005A0A87">
        <w:rPr>
          <w:shd w:val="clear" w:color="auto" w:fill="FFFFFF"/>
        </w:rPr>
        <w:t xml:space="preserve">In their pursuit of strategic improvement in reading for all students, school Principals and leadership teams prioritised professional development sessions and workshops for all staff to provide in-depth understanding and practical strategies for promoting oral language skills, implementing explicit instruction based on cognitive load theory and neuroscience research, utilising progress monitoring tools within a multi-tiered system of support (MTSS) framework, recognising and supporting students with developmental language disorder, and effectively identifying and intervening in cases of learning difficulties. Through ongoing training in all aspects of literacy, teachers and SLSOs were equipped with the necessary tools and expertise to create inclusive and effective learning environments that support all students in developing strong literacy skills. </w:t>
      </w:r>
    </w:p>
    <w:p w14:paraId="4048A60C" w14:textId="3EA5CEA2" w:rsidR="005A0A87" w:rsidRPr="00A2243D" w:rsidRDefault="00A2243D" w:rsidP="009626AC">
      <w:pPr>
        <w:pStyle w:val="Heading4"/>
      </w:pPr>
      <w:r w:rsidRPr="00A2243D">
        <w:t xml:space="preserve">3. </w:t>
      </w:r>
      <w:r w:rsidR="005A0A87" w:rsidRPr="00A2243D">
        <w:t>Sufficient time off class for executive staff</w:t>
      </w:r>
    </w:p>
    <w:p w14:paraId="3E16F134" w14:textId="4A6D30FA" w:rsidR="005A0A87" w:rsidRPr="005A0A87" w:rsidRDefault="005A0A87" w:rsidP="005A0A87">
      <w:pPr>
        <w:rPr>
          <w:shd w:val="clear" w:color="auto" w:fill="FFFFFF"/>
        </w:rPr>
      </w:pPr>
      <w:r w:rsidRPr="005A0A87">
        <w:rPr>
          <w:shd w:val="clear" w:color="auto" w:fill="FFFFFF"/>
        </w:rPr>
        <w:t>It was widely acknowledged that there is a large amount of knowledge missing from graduating teachers about how the brain learns, how to teach reading and how to manage a classroom so learning can occur. Consequentially there is much learning and training to be had for all staff.</w:t>
      </w:r>
      <w:r w:rsidR="002E65ED">
        <w:rPr>
          <w:shd w:val="clear" w:color="auto" w:fill="FFFFFF"/>
        </w:rPr>
        <w:t xml:space="preserve"> </w:t>
      </w:r>
    </w:p>
    <w:p w14:paraId="11301F60" w14:textId="77777777" w:rsidR="005A0A87" w:rsidRPr="005A0A87" w:rsidRDefault="005A0A87" w:rsidP="005A0A87">
      <w:pPr>
        <w:rPr>
          <w:shd w:val="clear" w:color="auto" w:fill="FFFFFF"/>
        </w:rPr>
      </w:pPr>
      <w:r w:rsidRPr="005A0A87">
        <w:rPr>
          <w:shd w:val="clear" w:color="auto" w:fill="FFFFFF"/>
        </w:rPr>
        <w:t xml:space="preserve">Non-teaching time for executive staff members meant that there was time to collect and interpret data; reflect, </w:t>
      </w:r>
      <w:proofErr w:type="gramStart"/>
      <w:r w:rsidRPr="005A0A87">
        <w:rPr>
          <w:shd w:val="clear" w:color="auto" w:fill="FFFFFF"/>
        </w:rPr>
        <w:t>evaluate</w:t>
      </w:r>
      <w:proofErr w:type="gramEnd"/>
      <w:r w:rsidRPr="005A0A87">
        <w:rPr>
          <w:shd w:val="clear" w:color="auto" w:fill="FFFFFF"/>
        </w:rPr>
        <w:t xml:space="preserve"> and plan for professional learning of staff members, prevent teacher burnout, mentor instructional coaches and ensure program fidelity, quality assurance and consistency across the school. Larger schools were able to have more executive staff off class than smaller schools, yet some small schools still provided leadership opportunities and time for teaching staff to lead and develop their team in curriculum and ensure consistency of implementation and monitoring of high impact teaching practices. </w:t>
      </w:r>
    </w:p>
    <w:p w14:paraId="2184507D" w14:textId="3B3E75BA" w:rsidR="005A0A87" w:rsidRPr="005A0A87" w:rsidRDefault="005A0A87" w:rsidP="005A0A87">
      <w:pPr>
        <w:rPr>
          <w:shd w:val="clear" w:color="auto" w:fill="FFFFFF"/>
        </w:rPr>
      </w:pPr>
      <w:r w:rsidRPr="005A0A87">
        <w:rPr>
          <w:shd w:val="clear" w:color="auto" w:fill="FFFFFF"/>
        </w:rPr>
        <w:t xml:space="preserve">Observed differences that impacted non-teaching time for senior executive staff and teachers included school funding allocations and associated flexibility, </w:t>
      </w:r>
      <w:r w:rsidR="007765DF">
        <w:rPr>
          <w:shd w:val="clear" w:color="auto" w:fill="FFFFFF"/>
        </w:rPr>
        <w:t>state government education</w:t>
      </w:r>
      <w:r w:rsidRPr="005A0A87">
        <w:rPr>
          <w:shd w:val="clear" w:color="auto" w:fill="FFFFFF"/>
        </w:rPr>
        <w:t xml:space="preserve"> </w:t>
      </w:r>
      <w:r w:rsidR="007765DF">
        <w:rPr>
          <w:shd w:val="clear" w:color="auto" w:fill="FFFFFF"/>
        </w:rPr>
        <w:t xml:space="preserve">department </w:t>
      </w:r>
      <w:r w:rsidRPr="005A0A87">
        <w:rPr>
          <w:shd w:val="clear" w:color="auto" w:fill="FFFFFF"/>
        </w:rPr>
        <w:t>policy and the allocation of specialist teachers (e.g. language teachers, performing arts and sports teachers).</w:t>
      </w:r>
      <w:r w:rsidR="002E65ED">
        <w:rPr>
          <w:shd w:val="clear" w:color="auto" w:fill="FFFFFF"/>
        </w:rPr>
        <w:t xml:space="preserve"> </w:t>
      </w:r>
      <w:r w:rsidRPr="005A0A87">
        <w:rPr>
          <w:shd w:val="clear" w:color="auto" w:fill="FFFFFF"/>
        </w:rPr>
        <w:t>For example, Western Australian teachers have the most time allocated off class at 4.5 hours per week (excluding additional hours for early career teachers and K-2 teachers) and South Australia was not far behind with 4.1 hours excluding additional time for teachers of students with disability.</w:t>
      </w:r>
      <w:r w:rsidR="002E65ED">
        <w:rPr>
          <w:shd w:val="clear" w:color="auto" w:fill="FFFFFF"/>
        </w:rPr>
        <w:t xml:space="preserve"> </w:t>
      </w:r>
      <w:r w:rsidRPr="005A0A87">
        <w:rPr>
          <w:shd w:val="clear" w:color="auto" w:fill="FFFFFF"/>
        </w:rPr>
        <w:t>The flow on effect for jurisdictions that did not have senior executive staff off class and sufficient time for teachers to plan and develop resources - particularly as a team - often resulted in varied teaching practice, cognitive overload for staff and teacher burnout.</w:t>
      </w:r>
      <w:r w:rsidR="002E65ED">
        <w:rPr>
          <w:shd w:val="clear" w:color="auto" w:fill="FFFFFF"/>
        </w:rPr>
        <w:t xml:space="preserve"> </w:t>
      </w:r>
    </w:p>
    <w:p w14:paraId="51A107F6" w14:textId="77777777" w:rsidR="005A0A87" w:rsidRPr="00A2243D" w:rsidRDefault="005A0A87" w:rsidP="00A2243D">
      <w:pPr>
        <w:pStyle w:val="Heading3"/>
      </w:pPr>
      <w:r w:rsidRPr="00A2243D">
        <w:lastRenderedPageBreak/>
        <w:t>Other school reform commonalities</w:t>
      </w:r>
    </w:p>
    <w:p w14:paraId="29BB4B33" w14:textId="16383470" w:rsidR="005A0A87" w:rsidRPr="005A0A87" w:rsidRDefault="005A0A87" w:rsidP="005A0A87">
      <w:pPr>
        <w:rPr>
          <w:shd w:val="clear" w:color="auto" w:fill="FFFFFF"/>
        </w:rPr>
      </w:pPr>
      <w:r w:rsidRPr="005A0A87">
        <w:rPr>
          <w:shd w:val="clear" w:color="auto" w:fill="FFFFFF"/>
        </w:rPr>
        <w:t xml:space="preserve">Other commonalities among schools included systematic assessment approaches, high expectations for staff and students (including behaviour), decluttering the classroom, the use of EDI, and support and training from experts outside of schools. One example of such support is Fogarty </w:t>
      </w:r>
      <w:proofErr w:type="spellStart"/>
      <w:r w:rsidRPr="005A0A87">
        <w:rPr>
          <w:shd w:val="clear" w:color="auto" w:fill="FFFFFF"/>
        </w:rPr>
        <w:t>Edvance</w:t>
      </w:r>
      <w:proofErr w:type="spellEnd"/>
      <w:r w:rsidRPr="005A0A87">
        <w:rPr>
          <w:shd w:val="clear" w:color="auto" w:fill="FFFFFF"/>
        </w:rPr>
        <w:t>, which is an arm of The Fogarty Foundation in Western Australia. Its School Improvement Program is dedicated to enhancing the capacity of school leadership teams to make well-informed decisions based on evidence, engage in strategic planning, and ultimately enhance student outcomes.</w:t>
      </w:r>
    </w:p>
    <w:p w14:paraId="79494C5D" w14:textId="77777777" w:rsidR="005A0A87" w:rsidRPr="005A0A87" w:rsidRDefault="005A0A87" w:rsidP="005A0A87">
      <w:pPr>
        <w:rPr>
          <w:shd w:val="clear" w:color="auto" w:fill="FFFFFF"/>
        </w:rPr>
      </w:pPr>
      <w:r w:rsidRPr="005A0A87">
        <w:rPr>
          <w:shd w:val="clear" w:color="auto" w:fill="FFFFFF"/>
        </w:rPr>
        <w:t xml:space="preserve">By offering comprehensive support, Fogarty </w:t>
      </w:r>
      <w:proofErr w:type="spellStart"/>
      <w:r w:rsidRPr="005A0A87">
        <w:rPr>
          <w:shd w:val="clear" w:color="auto" w:fill="FFFFFF"/>
        </w:rPr>
        <w:t>EDvance</w:t>
      </w:r>
      <w:proofErr w:type="spellEnd"/>
      <w:r w:rsidRPr="005A0A87">
        <w:rPr>
          <w:shd w:val="clear" w:color="auto" w:fill="FFFFFF"/>
        </w:rPr>
        <w:t xml:space="preserve"> strengthens leadership capabilities and overall effectiveness of schools. Their unique three-year School Improvement Program combines the best practices, resources, and tools from the education, business, and philanthropic sectors (Fogarty </w:t>
      </w:r>
      <w:proofErr w:type="spellStart"/>
      <w:r w:rsidRPr="005A0A87">
        <w:rPr>
          <w:shd w:val="clear" w:color="auto" w:fill="FFFFFF"/>
        </w:rPr>
        <w:t>Edvance</w:t>
      </w:r>
      <w:proofErr w:type="spellEnd"/>
      <w:r w:rsidRPr="005A0A87">
        <w:rPr>
          <w:shd w:val="clear" w:color="auto" w:fill="FFFFFF"/>
        </w:rPr>
        <w:t xml:space="preserve"> (n.d.))</w:t>
      </w:r>
    </w:p>
    <w:p w14:paraId="0C0386F9" w14:textId="77777777" w:rsidR="005A0A87" w:rsidRPr="005A0A87" w:rsidRDefault="005A0A87" w:rsidP="005A0A87">
      <w:pPr>
        <w:rPr>
          <w:shd w:val="clear" w:color="auto" w:fill="FFFFFF"/>
        </w:rPr>
      </w:pPr>
      <w:r w:rsidRPr="005A0A87">
        <w:rPr>
          <w:shd w:val="clear" w:color="auto" w:fill="FFFFFF"/>
        </w:rPr>
        <w:t>In South Australia, the Literacy Guarantee Unit has established a comprehensive initiative to enhance literacy levels. Specialised literacy coaches provide intensive coaching to primary school teachers, offering valuable guidance and support in effective reading instruction for targeted intervention schools.</w:t>
      </w:r>
    </w:p>
    <w:p w14:paraId="694C88D7" w14:textId="77777777" w:rsidR="005A0A87" w:rsidRPr="005A0A87" w:rsidRDefault="005A0A87" w:rsidP="005A0A87">
      <w:pPr>
        <w:rPr>
          <w:shd w:val="clear" w:color="auto" w:fill="FFFFFF"/>
        </w:rPr>
      </w:pPr>
      <w:r w:rsidRPr="005A0A87">
        <w:rPr>
          <w:shd w:val="clear" w:color="auto" w:fill="FFFFFF"/>
        </w:rPr>
        <w:t>The Literacy Guarantee Unit goes beyond coaching and organises three annual state-wide conferences exclusively for teachers. These conferences serve as valuable professional development opportunities, enabling educators to enhance their expertise in literacy instruction. By learning from experts, collaborating with peers, and staying informed about the latest research and effective teaching practices, teachers gain valuable insights to improve their reading instruction approaches (Department for Education, South Australia, 2018).</w:t>
      </w:r>
    </w:p>
    <w:p w14:paraId="4622783A" w14:textId="66372E0B" w:rsidR="005A0A87" w:rsidRPr="00166E3E" w:rsidRDefault="005A0A87" w:rsidP="00166E3E">
      <w:pPr>
        <w:pStyle w:val="Heading3"/>
      </w:pPr>
      <w:r w:rsidRPr="00166E3E">
        <w:t xml:space="preserve">Common obstacles that high performing schools faced during and after </w:t>
      </w:r>
      <w:proofErr w:type="gramStart"/>
      <w:r w:rsidRPr="00166E3E">
        <w:t>growth</w:t>
      </w:r>
      <w:proofErr w:type="gramEnd"/>
    </w:p>
    <w:p w14:paraId="336B2C80" w14:textId="4452C952" w:rsidR="005A0A87" w:rsidRPr="005A0A87" w:rsidRDefault="005A0A87" w:rsidP="009626AC">
      <w:pPr>
        <w:pStyle w:val="BodyText1"/>
        <w:rPr>
          <w:shd w:val="clear" w:color="auto" w:fill="FFFFFF"/>
        </w:rPr>
      </w:pPr>
      <w:r w:rsidRPr="005A0A87">
        <w:rPr>
          <w:shd w:val="clear" w:color="auto" w:fill="FFFFFF"/>
        </w:rPr>
        <w:t xml:space="preserve">Aside from the gap in literacy knowledge that newly graduating teachers often arrive to schools with and the time and effort this takes to fill those gaps, including that of the learning teacher, there were other challenges that schools faced. The funds and time required to train all staff in a consistent evidence-based approach was a worthwhile investment, but it meant that new staff needed upskilling, </w:t>
      </w:r>
      <w:proofErr w:type="gramStart"/>
      <w:r w:rsidRPr="005A0A87">
        <w:rPr>
          <w:shd w:val="clear" w:color="auto" w:fill="FFFFFF"/>
        </w:rPr>
        <w:t>training</w:t>
      </w:r>
      <w:proofErr w:type="gramEnd"/>
      <w:r w:rsidRPr="005A0A87">
        <w:rPr>
          <w:shd w:val="clear" w:color="auto" w:fill="FFFFFF"/>
        </w:rPr>
        <w:t xml:space="preserve"> and coaching to the same level that existing staff were. During a teacher shortage this is even more challenging as more staff come and go and not always are all staff permanent employees. Structured inductions and instructional coaching were put in place for new staff, and this was possible when executive staff were off class. </w:t>
      </w:r>
    </w:p>
    <w:p w14:paraId="09C4ECD3" w14:textId="6B45AE5A" w:rsidR="005A0A87" w:rsidRPr="005A0A87" w:rsidRDefault="005A0A87" w:rsidP="009626AC">
      <w:pPr>
        <w:pStyle w:val="BodyText1"/>
        <w:rPr>
          <w:shd w:val="clear" w:color="auto" w:fill="FFFFFF"/>
        </w:rPr>
      </w:pPr>
      <w:r w:rsidRPr="005A0A87">
        <w:rPr>
          <w:shd w:val="clear" w:color="auto" w:fill="FFFFFF"/>
        </w:rPr>
        <w:t>It was often the case that the school I was visiting was one of the only schools in their area that was using an evidence</w:t>
      </w:r>
      <w:r w:rsidR="00505CEC">
        <w:rPr>
          <w:shd w:val="clear" w:color="auto" w:fill="FFFFFF"/>
        </w:rPr>
        <w:t>-</w:t>
      </w:r>
      <w:r w:rsidRPr="005A0A87">
        <w:rPr>
          <w:shd w:val="clear" w:color="auto" w:fill="FFFFFF"/>
        </w:rPr>
        <w:t>informed approach. Balanced literacy and play</w:t>
      </w:r>
      <w:r w:rsidR="00505CEC">
        <w:rPr>
          <w:shd w:val="clear" w:color="auto" w:fill="FFFFFF"/>
        </w:rPr>
        <w:t>-</w:t>
      </w:r>
      <w:r w:rsidRPr="005A0A87">
        <w:rPr>
          <w:shd w:val="clear" w:color="auto" w:fill="FFFFFF"/>
        </w:rPr>
        <w:t xml:space="preserve">based learning are still prevalent across the country with mixed views and interpretations about EDI, creating literacy rich environments, how to teach the Big Six and balancing creativity with learning. In many cases these polarising views often resulted in sudden growth in enrolment numbers in the high performing school and data outliers in NAPLAN and PAT testing as new students moved to the school to have their reading difficulties addressed. </w:t>
      </w:r>
    </w:p>
    <w:p w14:paraId="2FE33D27" w14:textId="77777777" w:rsidR="005A0A87" w:rsidRPr="005A0A87" w:rsidRDefault="005A0A87" w:rsidP="009626AC">
      <w:pPr>
        <w:pStyle w:val="BodyText1"/>
        <w:rPr>
          <w:shd w:val="clear" w:color="auto" w:fill="FFFFFF"/>
        </w:rPr>
      </w:pPr>
      <w:r w:rsidRPr="005A0A87">
        <w:rPr>
          <w:shd w:val="clear" w:color="auto" w:fill="FFFFFF"/>
        </w:rPr>
        <w:t xml:space="preserve">Preventing gaps is best accomplished by providing the highest-quality early literacy instruction that is effective for the most diverse cohort to acquire foundational literacy skills, so students can execute these skills fluently. The instructional practices recommended to achieve this for younger students are to teach skills and strategies systematically, explicitly, directly, and following a clear scope and sequence. This also includes incorporating daily instruction with opportunities to </w:t>
      </w:r>
      <w:r w:rsidRPr="005A0A87">
        <w:rPr>
          <w:shd w:val="clear" w:color="auto" w:fill="FFFFFF"/>
        </w:rPr>
        <w:lastRenderedPageBreak/>
        <w:t>practice through a gradual release of responsibility (</w:t>
      </w:r>
      <w:proofErr w:type="spellStart"/>
      <w:r w:rsidRPr="005A0A87">
        <w:rPr>
          <w:shd w:val="clear" w:color="auto" w:fill="FFFFFF"/>
        </w:rPr>
        <w:t>Foorman</w:t>
      </w:r>
      <w:proofErr w:type="spellEnd"/>
      <w:r w:rsidRPr="005A0A87">
        <w:rPr>
          <w:shd w:val="clear" w:color="auto" w:fill="FFFFFF"/>
        </w:rPr>
        <w:t xml:space="preserve"> et al., 2016; Frye et al., 2013; Gersten et al., 2009; Siegler et al., 2010; Shanahan et al., 2010 as cited in de Bruin et al., 2023), with regular progress screening (Gersten et al., 2008; Gersten, Beckman et al., 2009 as cited in de Bruin et al., 2023).</w:t>
      </w:r>
    </w:p>
    <w:p w14:paraId="1713D4C6" w14:textId="77777777" w:rsidR="005A0A87" w:rsidRPr="005A0A87" w:rsidRDefault="005A0A87" w:rsidP="009626AC">
      <w:pPr>
        <w:pStyle w:val="BodyText1"/>
        <w:rPr>
          <w:shd w:val="clear" w:color="auto" w:fill="FFFFFF"/>
        </w:rPr>
      </w:pPr>
      <w:r w:rsidRPr="005A0A87">
        <w:rPr>
          <w:shd w:val="clear" w:color="auto" w:fill="FFFFFF"/>
        </w:rPr>
        <w:t>Providing effective instruction using these practices supports about 95% of children to learn (</w:t>
      </w:r>
      <w:proofErr w:type="spellStart"/>
      <w:r w:rsidRPr="005A0A87">
        <w:rPr>
          <w:shd w:val="clear" w:color="auto" w:fill="FFFFFF"/>
        </w:rPr>
        <w:t>Foorman</w:t>
      </w:r>
      <w:proofErr w:type="spellEnd"/>
      <w:r w:rsidRPr="005A0A87">
        <w:rPr>
          <w:shd w:val="clear" w:color="auto" w:fill="FFFFFF"/>
        </w:rPr>
        <w:t xml:space="preserve"> et al., 1998 as cited in de Bruin et al., 2023), although some may need supplementary and carefully targeted early intervention (</w:t>
      </w:r>
      <w:proofErr w:type="spellStart"/>
      <w:r w:rsidRPr="005A0A87">
        <w:rPr>
          <w:shd w:val="clear" w:color="auto" w:fill="FFFFFF"/>
        </w:rPr>
        <w:t>Vellutino</w:t>
      </w:r>
      <w:proofErr w:type="spellEnd"/>
      <w:r w:rsidRPr="005A0A87">
        <w:rPr>
          <w:shd w:val="clear" w:color="auto" w:fill="FFFFFF"/>
        </w:rPr>
        <w:t xml:space="preserve"> et al., 1996 as cited in de Bruin, et al., 2023) to make satisfactory progress. Without effective intervention and support, students who do not master foundational literacy skills in the early years of school do not catch up (Francis et al., 1996; Juel, 1988; </w:t>
      </w:r>
      <w:proofErr w:type="spellStart"/>
      <w:r w:rsidRPr="005A0A87">
        <w:rPr>
          <w:shd w:val="clear" w:color="auto" w:fill="FFFFFF"/>
        </w:rPr>
        <w:t>Shaywitz</w:t>
      </w:r>
      <w:proofErr w:type="spellEnd"/>
      <w:r w:rsidRPr="005A0A87">
        <w:rPr>
          <w:shd w:val="clear" w:color="auto" w:fill="FFFFFF"/>
        </w:rPr>
        <w:t xml:space="preserve"> et al., 1999 as cited in de Bruin et al., 2023). Students who had not received effective instruction in the early years and entered the high performing school in Year 2 or above, found that their MTSS became strained at the targeted level and the decision making about which universal learning to miss out on for targeted intervention became fraught.</w:t>
      </w:r>
    </w:p>
    <w:p w14:paraId="32543715" w14:textId="795CC3BD" w:rsidR="005A0A87" w:rsidRPr="005A0A87" w:rsidRDefault="005A0A87" w:rsidP="009626AC">
      <w:pPr>
        <w:pStyle w:val="BodyText1"/>
        <w:rPr>
          <w:shd w:val="clear" w:color="auto" w:fill="FFFFFF"/>
        </w:rPr>
      </w:pPr>
      <w:r w:rsidRPr="005A0A87">
        <w:rPr>
          <w:shd w:val="clear" w:color="auto" w:fill="FFFFFF"/>
        </w:rPr>
        <w:t xml:space="preserve">Open plan classrooms were also a challenge for many high performing schools. To maintain focus and attention of students and deliver an effective EDI lesson, the brain requires reduced noise and minimal distractors. Open plan classrooms can be noisy and awkward in their layout preventing full attention and cognitive flow. Subsequentially school Principals needed to spend time and energy fighting the case for newly built closed classrooms and/or making do with dividers for existing classrooms. </w:t>
      </w:r>
    </w:p>
    <w:p w14:paraId="08BF2810" w14:textId="6B3EB631" w:rsidR="005A0A87" w:rsidRPr="005A0A87" w:rsidRDefault="005A0A87" w:rsidP="009626AC">
      <w:pPr>
        <w:pStyle w:val="BodyText1"/>
        <w:rPr>
          <w:shd w:val="clear" w:color="auto" w:fill="FFFFFF"/>
        </w:rPr>
      </w:pPr>
      <w:r w:rsidRPr="005A0A87">
        <w:rPr>
          <w:shd w:val="clear" w:color="auto" w:fill="FFFFFF"/>
        </w:rPr>
        <w:t>And finally, high performing schools (in some jurisdictions) believed their</w:t>
      </w:r>
      <w:r w:rsidR="007765DF">
        <w:rPr>
          <w:shd w:val="clear" w:color="auto" w:fill="FFFFFF"/>
        </w:rPr>
        <w:t xml:space="preserve"> state education departments </w:t>
      </w:r>
      <w:r w:rsidRPr="005A0A87">
        <w:rPr>
          <w:shd w:val="clear" w:color="auto" w:fill="FFFFFF"/>
        </w:rPr>
        <w:t>could provide clearer messaging about evidence-based methods to teaching all components of reading effectively. Some examples included messaging around universal evidence-based programs or approaches, screening and assessment tools, and explicit direct instruction. Instead, schools conducted their own time-consuming research or paid for an expert to upskill and support their school in their journey to sustained improvement.</w:t>
      </w:r>
      <w:r w:rsidR="002E65ED">
        <w:rPr>
          <w:shd w:val="clear" w:color="auto" w:fill="FFFFFF"/>
        </w:rPr>
        <w:t xml:space="preserve"> </w:t>
      </w:r>
    </w:p>
    <w:p w14:paraId="3F06250A" w14:textId="77777777" w:rsidR="00ED3B04" w:rsidRPr="00ED3B04" w:rsidRDefault="00ED3B04" w:rsidP="001B4C3C">
      <w:pPr>
        <w:pStyle w:val="Heading1"/>
        <w:rPr>
          <w:highlight w:val="white"/>
        </w:rPr>
      </w:pPr>
      <w:r w:rsidRPr="00ED3B04">
        <w:rPr>
          <w:highlight w:val="white"/>
        </w:rPr>
        <w:t>Conclusion</w:t>
      </w:r>
    </w:p>
    <w:p w14:paraId="6374AE0E" w14:textId="45D520D8" w:rsidR="005A0A87" w:rsidRPr="005A0A87" w:rsidRDefault="005A0A87" w:rsidP="009626AC">
      <w:pPr>
        <w:pStyle w:val="BodyText1"/>
        <w:rPr>
          <w:highlight w:val="white"/>
        </w:rPr>
      </w:pPr>
      <w:bookmarkStart w:id="0" w:name="_gjdgxs" w:colFirst="0" w:colLast="0"/>
      <w:bookmarkEnd w:id="0"/>
      <w:r w:rsidRPr="005A0A87">
        <w:rPr>
          <w:highlight w:val="white"/>
        </w:rPr>
        <w:t>While my findings lack a national survey and quantitative data, it is apparent that improving reading for all students is not just about choosing evidence-based instructional practices and expecting all staff to implement them. Australia needs strict quality assurance in universities to ensure teaching graduates are receiving adequate training (Buckingham, 2022) about how students learn and how to teach, assess and monitor all aspects of literacy.</w:t>
      </w:r>
      <w:r w:rsidR="002E65ED">
        <w:rPr>
          <w:highlight w:val="white"/>
        </w:rPr>
        <w:t xml:space="preserve"> </w:t>
      </w:r>
      <w:r w:rsidRPr="005A0A87">
        <w:rPr>
          <w:highlight w:val="white"/>
        </w:rPr>
        <w:t>Teaching reading effectively is multidimensional.</w:t>
      </w:r>
      <w:r w:rsidR="002E65ED">
        <w:rPr>
          <w:highlight w:val="white"/>
        </w:rPr>
        <w:t xml:space="preserve"> </w:t>
      </w:r>
      <w:r w:rsidRPr="005A0A87">
        <w:rPr>
          <w:highlight w:val="white"/>
        </w:rPr>
        <w:t xml:space="preserve">One requires linguistic knowledge; an understanding of how the brain learns, remembers, and forgets information; an understanding of the challenges that students with dyslexia face and the ability to engage and maintain students’ attention and manage a classroom (Louden et al., 2005). Until initial teacher education policies and practices are adequately addressed across the country, schools will continue to take the burden of filling this gap and variance in what one believes to be evidence based instructional methods will grow. </w:t>
      </w:r>
    </w:p>
    <w:p w14:paraId="35A27200" w14:textId="3C744089" w:rsidR="005A0A87" w:rsidRPr="005A0A87" w:rsidRDefault="005A0A87" w:rsidP="009626AC">
      <w:pPr>
        <w:pStyle w:val="BodyText1"/>
        <w:rPr>
          <w:highlight w:val="white"/>
        </w:rPr>
      </w:pPr>
      <w:r w:rsidRPr="005A0A87">
        <w:rPr>
          <w:highlight w:val="white"/>
        </w:rPr>
        <w:t>At a school level, to ensure executive staff members and/or instructional coaches are effective in their roles, sufficient time off class is essential.</w:t>
      </w:r>
      <w:r w:rsidR="002E65ED">
        <w:rPr>
          <w:highlight w:val="white"/>
        </w:rPr>
        <w:t xml:space="preserve"> </w:t>
      </w:r>
      <w:r w:rsidRPr="005A0A87">
        <w:rPr>
          <w:highlight w:val="white"/>
        </w:rPr>
        <w:t>As demonstrated in all schools visited, this enabled a thorough understanding of one’s school context, planning for targeted professional learning, capacity building of all staff and quality assurance of evidence-based instructional practices underpinned by their multi-tiered framework.</w:t>
      </w:r>
      <w:r w:rsidR="002E65ED">
        <w:rPr>
          <w:highlight w:val="white"/>
        </w:rPr>
        <w:t xml:space="preserve"> </w:t>
      </w:r>
    </w:p>
    <w:p w14:paraId="70FCB2AE" w14:textId="5FE06D9C" w:rsidR="005A0A87" w:rsidRPr="005A0A87" w:rsidRDefault="005A0A87" w:rsidP="009626AC">
      <w:pPr>
        <w:pStyle w:val="BodyText1"/>
        <w:rPr>
          <w:highlight w:val="white"/>
        </w:rPr>
      </w:pPr>
      <w:r w:rsidRPr="005A0A87">
        <w:rPr>
          <w:highlight w:val="white"/>
        </w:rPr>
        <w:t>The data on reading failure in Australian schools underscores the need for concerted efforts to address these issues.</w:t>
      </w:r>
      <w:r w:rsidR="002E65ED">
        <w:rPr>
          <w:highlight w:val="white"/>
        </w:rPr>
        <w:t xml:space="preserve"> </w:t>
      </w:r>
      <w:r w:rsidRPr="005A0A87">
        <w:rPr>
          <w:highlight w:val="white"/>
        </w:rPr>
        <w:t xml:space="preserve">Australia can strive towards improved literacy outcomes and empower its </w:t>
      </w:r>
      <w:r w:rsidRPr="005A0A87">
        <w:rPr>
          <w:highlight w:val="white"/>
        </w:rPr>
        <w:lastRenderedPageBreak/>
        <w:t>students for future success by overhauling our teacher education programs, preventing achievement gaps from widening in the primary school years (de Bruen et al, 2023), having consistency across jurisdictions to ensure system-wide scaling of MTSS is successful and by aligning policy and messaging to the evidence across all</w:t>
      </w:r>
      <w:r w:rsidR="007765DF">
        <w:rPr>
          <w:highlight w:val="white"/>
        </w:rPr>
        <w:t xml:space="preserve"> state education department </w:t>
      </w:r>
      <w:r w:rsidRPr="005A0A87">
        <w:rPr>
          <w:highlight w:val="white"/>
        </w:rPr>
        <w:t xml:space="preserve">jurisdictions. </w:t>
      </w:r>
    </w:p>
    <w:p w14:paraId="2EDACAB6" w14:textId="77777777" w:rsidR="00ED3B04" w:rsidRPr="00ED3B04" w:rsidRDefault="00D17681" w:rsidP="00ED3B04">
      <w:pPr>
        <w:pStyle w:val="Heading1"/>
      </w:pPr>
      <w:r>
        <w:t>Acknowledgements</w:t>
      </w:r>
    </w:p>
    <w:p w14:paraId="130FD814" w14:textId="4272498B" w:rsidR="005A0A87" w:rsidRPr="005A0A87" w:rsidRDefault="005A0A87" w:rsidP="009626AC">
      <w:pPr>
        <w:pStyle w:val="BodyText1"/>
        <w:rPr>
          <w:highlight w:val="white"/>
        </w:rPr>
      </w:pPr>
      <w:r w:rsidRPr="005A0A87">
        <w:rPr>
          <w:highlight w:val="white"/>
        </w:rPr>
        <w:t xml:space="preserve">I would like to acknowledge all the </w:t>
      </w:r>
      <w:proofErr w:type="gramStart"/>
      <w:r w:rsidRPr="005A0A87">
        <w:rPr>
          <w:highlight w:val="white"/>
        </w:rPr>
        <w:t>Principals</w:t>
      </w:r>
      <w:proofErr w:type="gramEnd"/>
      <w:r w:rsidRPr="005A0A87">
        <w:rPr>
          <w:highlight w:val="white"/>
        </w:rPr>
        <w:t xml:space="preserve"> that welcomed me into their fantastic schools, allowing me to ask many questions and observe best practice K-6.</w:t>
      </w:r>
      <w:r w:rsidR="002E65ED">
        <w:rPr>
          <w:highlight w:val="white"/>
        </w:rPr>
        <w:t xml:space="preserve"> </w:t>
      </w:r>
      <w:r w:rsidRPr="005A0A87">
        <w:rPr>
          <w:highlight w:val="white"/>
        </w:rPr>
        <w:t xml:space="preserve">I would also like to thank Daniella Hassett from Fogarty </w:t>
      </w:r>
      <w:proofErr w:type="spellStart"/>
      <w:r w:rsidRPr="005A0A87">
        <w:rPr>
          <w:highlight w:val="white"/>
        </w:rPr>
        <w:t>Edvance</w:t>
      </w:r>
      <w:proofErr w:type="spellEnd"/>
      <w:r w:rsidRPr="005A0A87">
        <w:rPr>
          <w:highlight w:val="white"/>
        </w:rPr>
        <w:t xml:space="preserve">; Professor Lorraine Hammond from Edith Cowan University; Professor Tanya Serry, Dr Nathaniel Swain and Dr Tessa </w:t>
      </w:r>
      <w:proofErr w:type="spellStart"/>
      <w:r w:rsidRPr="005A0A87">
        <w:rPr>
          <w:highlight w:val="white"/>
        </w:rPr>
        <w:t>Weadman</w:t>
      </w:r>
      <w:proofErr w:type="spellEnd"/>
      <w:r w:rsidRPr="005A0A87">
        <w:rPr>
          <w:highlight w:val="white"/>
        </w:rPr>
        <w:t xml:space="preserve"> from the SOLAR Lab at La Trobe University; Georgina Perry from SPELD NSW; Professor Rauno </w:t>
      </w:r>
      <w:proofErr w:type="spellStart"/>
      <w:r w:rsidRPr="005A0A87">
        <w:rPr>
          <w:highlight w:val="white"/>
        </w:rPr>
        <w:t>Parrila</w:t>
      </w:r>
      <w:proofErr w:type="spellEnd"/>
      <w:r w:rsidRPr="005A0A87">
        <w:rPr>
          <w:highlight w:val="white"/>
        </w:rPr>
        <w:t xml:space="preserve"> and Professor Anne Castles from the Australian Catholic University; Dr Jennifer Buckingham -</w:t>
      </w:r>
      <w:r w:rsidR="002E65ED">
        <w:rPr>
          <w:highlight w:val="white"/>
        </w:rPr>
        <w:t xml:space="preserve"> </w:t>
      </w:r>
      <w:r w:rsidRPr="005A0A87">
        <w:rPr>
          <w:highlight w:val="white"/>
        </w:rPr>
        <w:t xml:space="preserve">Director of Strategy and Senior Research Fellow, </w:t>
      </w:r>
      <w:proofErr w:type="spellStart"/>
      <w:r w:rsidRPr="005A0A87">
        <w:rPr>
          <w:highlight w:val="white"/>
        </w:rPr>
        <w:t>MultiLit</w:t>
      </w:r>
      <w:proofErr w:type="spellEnd"/>
      <w:r w:rsidRPr="005A0A87">
        <w:rPr>
          <w:highlight w:val="white"/>
        </w:rPr>
        <w:t>; and Claire Wood, Clare Harris and Tanya Kay from the Department of Education, South Australia.</w:t>
      </w:r>
      <w:r w:rsidR="002E65ED">
        <w:rPr>
          <w:highlight w:val="white"/>
        </w:rPr>
        <w:t xml:space="preserve"> </w:t>
      </w:r>
      <w:r w:rsidRPr="005A0A87">
        <w:rPr>
          <w:highlight w:val="white"/>
        </w:rPr>
        <w:t xml:space="preserve">Thanks also to NESA, Lyn Kirkby and Anne Gripton for your sponsorship, </w:t>
      </w:r>
      <w:proofErr w:type="gramStart"/>
      <w:r w:rsidRPr="005A0A87">
        <w:rPr>
          <w:highlight w:val="white"/>
        </w:rPr>
        <w:t>support</w:t>
      </w:r>
      <w:proofErr w:type="gramEnd"/>
      <w:r w:rsidRPr="005A0A87">
        <w:rPr>
          <w:highlight w:val="white"/>
        </w:rPr>
        <w:t xml:space="preserve"> and interest in this research.</w:t>
      </w:r>
    </w:p>
    <w:p w14:paraId="7166A6E9" w14:textId="77777777" w:rsidR="004D3AEE" w:rsidRPr="00ED3B04" w:rsidRDefault="004D3AEE" w:rsidP="004D3AEE">
      <w:pPr>
        <w:pStyle w:val="Heading1"/>
      </w:pPr>
      <w:r>
        <w:t xml:space="preserve">References </w:t>
      </w:r>
    </w:p>
    <w:p w14:paraId="2D016449" w14:textId="77777777" w:rsidR="005A0A87" w:rsidRPr="005A0A87" w:rsidRDefault="005A0A87" w:rsidP="009626AC">
      <w:pPr>
        <w:autoSpaceDE w:val="0"/>
        <w:autoSpaceDN w:val="0"/>
        <w:adjustRightInd w:val="0"/>
        <w:ind w:left="720" w:hanging="720"/>
        <w:rPr>
          <w:rFonts w:ascii="Public Sans" w:hAnsi="Public Sans" w:cs="Helvetica"/>
          <w:color w:val="auto"/>
          <w:szCs w:val="22"/>
          <w:lang w:val="en-GB"/>
        </w:rPr>
      </w:pPr>
      <w:bookmarkStart w:id="1" w:name="_Hlk142995858"/>
      <w:r w:rsidRPr="005A0A87">
        <w:rPr>
          <w:rFonts w:ascii="Public Sans" w:hAnsi="Public Sans" w:cs="Helvetica"/>
          <w:color w:val="auto"/>
          <w:szCs w:val="22"/>
          <w:lang w:val="en-GB"/>
        </w:rPr>
        <w:t>Buckingham, J. (2022). The ‘Next Steps’ for improving initial teacher education, Five from Five, 5</w:t>
      </w:r>
      <w:r w:rsidRPr="005A0A87">
        <w:rPr>
          <w:rFonts w:ascii="Public Sans" w:hAnsi="Public Sans" w:cs="Helvetica"/>
          <w:color w:val="auto"/>
          <w:szCs w:val="22"/>
          <w:vertAlign w:val="superscript"/>
          <w:lang w:val="en-GB"/>
        </w:rPr>
        <w:t>th</w:t>
      </w:r>
      <w:r w:rsidRPr="005A0A87">
        <w:rPr>
          <w:rFonts w:ascii="Public Sans" w:hAnsi="Public Sans" w:cs="Helvetica"/>
          <w:color w:val="auto"/>
          <w:szCs w:val="22"/>
          <w:lang w:val="en-GB"/>
        </w:rPr>
        <w:t xml:space="preserve"> of March. Available at: https://fivefromfive.com.au/blog/the-next-steps-for-improving-initial-teacher-education/</w:t>
      </w:r>
    </w:p>
    <w:p w14:paraId="5D9ACBC4" w14:textId="77777777" w:rsidR="005A0A87" w:rsidRPr="005A0A87" w:rsidRDefault="005A0A87" w:rsidP="009626AC">
      <w:pPr>
        <w:autoSpaceDE w:val="0"/>
        <w:autoSpaceDN w:val="0"/>
        <w:adjustRightInd w:val="0"/>
        <w:ind w:left="720" w:hanging="720"/>
        <w:rPr>
          <w:rFonts w:ascii="Public Sans" w:hAnsi="Public Sans" w:cs="Helvetica"/>
          <w:color w:val="auto"/>
          <w:szCs w:val="22"/>
          <w:lang w:val="en-GB"/>
        </w:rPr>
      </w:pPr>
      <w:r w:rsidRPr="005A0A87">
        <w:rPr>
          <w:rFonts w:ascii="Public Sans" w:hAnsi="Public Sans" w:cs="Helvetica"/>
          <w:color w:val="auto"/>
          <w:szCs w:val="22"/>
          <w:lang w:val="en-GB"/>
        </w:rPr>
        <w:t>Cunningham, A. E., &amp; Stanovich, K. E. (2011). What reading does for the mind. Journal of Direct Instruction, 1(2), 137-149.</w:t>
      </w:r>
    </w:p>
    <w:p w14:paraId="7B03FB7D" w14:textId="77777777" w:rsidR="005A0A87" w:rsidRPr="005A0A87" w:rsidRDefault="005A0A87" w:rsidP="009626AC">
      <w:pPr>
        <w:ind w:left="720" w:hanging="710"/>
        <w:rPr>
          <w:rFonts w:ascii="Public Sans" w:hAnsi="Public Sans"/>
          <w:color w:val="auto"/>
          <w:szCs w:val="22"/>
        </w:rPr>
      </w:pPr>
      <w:r w:rsidRPr="005A0A87">
        <w:rPr>
          <w:rFonts w:ascii="Public Sans" w:hAnsi="Public Sans"/>
          <w:color w:val="auto"/>
          <w:szCs w:val="22"/>
        </w:rPr>
        <w:t xml:space="preserve">de Bruin K, Kestel E, Francis M, </w:t>
      </w:r>
      <w:proofErr w:type="spellStart"/>
      <w:r w:rsidRPr="005A0A87">
        <w:rPr>
          <w:rFonts w:ascii="Public Sans" w:hAnsi="Public Sans"/>
          <w:color w:val="auto"/>
          <w:szCs w:val="22"/>
        </w:rPr>
        <w:t>Forgasz</w:t>
      </w:r>
      <w:proofErr w:type="spellEnd"/>
      <w:r w:rsidRPr="005A0A87">
        <w:rPr>
          <w:rFonts w:ascii="Public Sans" w:hAnsi="Public Sans"/>
          <w:color w:val="auto"/>
          <w:szCs w:val="22"/>
        </w:rPr>
        <w:t xml:space="preserve"> H and Fries R (2023). Supporting students significantly behind in literacy and numeracy: a review of evidence-based approaches, edresearch.edu.au</w:t>
      </w:r>
    </w:p>
    <w:p w14:paraId="62D3F374" w14:textId="77777777" w:rsidR="005A0A87" w:rsidRPr="005A0A87" w:rsidRDefault="005A0A87" w:rsidP="009626AC">
      <w:pPr>
        <w:autoSpaceDE w:val="0"/>
        <w:autoSpaceDN w:val="0"/>
        <w:adjustRightInd w:val="0"/>
        <w:ind w:left="720" w:hanging="720"/>
        <w:rPr>
          <w:rFonts w:ascii="Public Sans" w:hAnsi="Public Sans" w:cs="Helvetica"/>
          <w:color w:val="auto"/>
          <w:szCs w:val="22"/>
          <w:lang w:val="en-GB"/>
        </w:rPr>
      </w:pPr>
      <w:r w:rsidRPr="005A0A87">
        <w:rPr>
          <w:rFonts w:ascii="Public Sans" w:hAnsi="Public Sans" w:cs="Helvetica"/>
          <w:color w:val="auto"/>
          <w:szCs w:val="22"/>
          <w:lang w:val="en-GB"/>
        </w:rPr>
        <w:t xml:space="preserve">Department for Education, South Australia. (2018, August 29). Literacy and numeracy programs in schools. Www.education.sa.gov.au. </w:t>
      </w:r>
      <w:hyperlink r:id="rId10" w:history="1">
        <w:r w:rsidRPr="005A0A87">
          <w:rPr>
            <w:rFonts w:ascii="Public Sans" w:hAnsi="Public Sans" w:cs="Helvetica"/>
            <w:color w:val="auto"/>
            <w:szCs w:val="22"/>
            <w:lang w:val="en-GB"/>
          </w:rPr>
          <w:t>https://www.education.sa.gov.au/parents-and-families/curriculum-and-learning/literacy-and-numeracy/literacy-and-numeracy-programs-schools</w:t>
        </w:r>
      </w:hyperlink>
    </w:p>
    <w:p w14:paraId="355122AF" w14:textId="78AD6DBE" w:rsidR="005A0A87" w:rsidRPr="009626AC" w:rsidRDefault="005A0A87" w:rsidP="009626AC">
      <w:pPr>
        <w:autoSpaceDE w:val="0"/>
        <w:autoSpaceDN w:val="0"/>
        <w:adjustRightInd w:val="0"/>
        <w:ind w:left="720" w:hanging="720"/>
        <w:rPr>
          <w:rFonts w:ascii="Public Sans" w:hAnsi="Public Sans" w:cs="Helvetica"/>
          <w:color w:val="FF0000"/>
          <w:szCs w:val="22"/>
          <w:lang w:val="en-GB"/>
        </w:rPr>
      </w:pPr>
      <w:r w:rsidRPr="005A0A87">
        <w:rPr>
          <w:rFonts w:ascii="Public Sans" w:hAnsi="Public Sans" w:cs="Helvetica"/>
          <w:color w:val="auto"/>
          <w:szCs w:val="22"/>
          <w:lang w:val="en-GB"/>
        </w:rPr>
        <w:t xml:space="preserve">Fogarty </w:t>
      </w:r>
      <w:proofErr w:type="spellStart"/>
      <w:r w:rsidRPr="005A0A87">
        <w:rPr>
          <w:rFonts w:ascii="Public Sans" w:hAnsi="Public Sans" w:cs="Helvetica"/>
          <w:color w:val="auto"/>
          <w:szCs w:val="22"/>
          <w:lang w:val="en-GB"/>
        </w:rPr>
        <w:t>Edvance</w:t>
      </w:r>
      <w:proofErr w:type="spellEnd"/>
      <w:r w:rsidRPr="005A0A87">
        <w:rPr>
          <w:rFonts w:ascii="Public Sans" w:hAnsi="Public Sans" w:cs="Helvetica"/>
          <w:color w:val="auto"/>
          <w:szCs w:val="22"/>
          <w:lang w:val="en-GB"/>
        </w:rPr>
        <w:t xml:space="preserve">. (n.d.). Program Results: Measurable improvements to student outcomes. Fogarty </w:t>
      </w:r>
      <w:proofErr w:type="spellStart"/>
      <w:r w:rsidRPr="005A0A87">
        <w:rPr>
          <w:rFonts w:ascii="Public Sans" w:hAnsi="Public Sans" w:cs="Helvetica"/>
          <w:color w:val="auto"/>
          <w:szCs w:val="22"/>
          <w:lang w:val="en-GB"/>
        </w:rPr>
        <w:t>EDvance</w:t>
      </w:r>
      <w:proofErr w:type="spellEnd"/>
      <w:r w:rsidRPr="005A0A87">
        <w:rPr>
          <w:rFonts w:ascii="Public Sans" w:hAnsi="Public Sans" w:cs="Helvetica"/>
          <w:color w:val="auto"/>
          <w:szCs w:val="22"/>
          <w:lang w:val="en-GB"/>
        </w:rPr>
        <w:t xml:space="preserve">. Retrieved June 2, 2023, from </w:t>
      </w:r>
    </w:p>
    <w:p w14:paraId="04AC6DB8" w14:textId="77777777" w:rsidR="005A0A87" w:rsidRPr="005A0A87" w:rsidRDefault="005A0A87" w:rsidP="009626AC">
      <w:pPr>
        <w:ind w:left="720" w:hanging="710"/>
        <w:rPr>
          <w:rFonts w:ascii="Public Sans" w:hAnsi="Public Sans"/>
          <w:color w:val="auto"/>
          <w:szCs w:val="22"/>
        </w:rPr>
      </w:pPr>
      <w:r w:rsidRPr="005A0A87">
        <w:rPr>
          <w:rFonts w:ascii="Public Sans" w:hAnsi="Public Sans"/>
          <w:color w:val="auto"/>
          <w:szCs w:val="22"/>
        </w:rPr>
        <w:t>Hillman, K., O’Grady, E., Rodrigues, S., Schmid, M., &amp; Thomson, S. (2023). Progress in International Reading Literacy Study: Australia’s results from PIRLS 2021. Australian Council for Educational Research. https://doi.org/10.37517/978-1-74286-693-2</w:t>
      </w:r>
    </w:p>
    <w:p w14:paraId="75F4D836" w14:textId="77777777" w:rsidR="005A0A87" w:rsidRPr="005A0A87" w:rsidRDefault="005A0A87" w:rsidP="009626AC">
      <w:pPr>
        <w:autoSpaceDE w:val="0"/>
        <w:autoSpaceDN w:val="0"/>
        <w:adjustRightInd w:val="0"/>
        <w:ind w:left="720" w:hanging="720"/>
        <w:rPr>
          <w:rFonts w:ascii="Public Sans" w:hAnsi="Public Sans" w:cs="Helvetica"/>
          <w:color w:val="auto"/>
          <w:szCs w:val="22"/>
          <w:lang w:val="en-GB"/>
        </w:rPr>
      </w:pPr>
      <w:r w:rsidRPr="005A0A87">
        <w:rPr>
          <w:rFonts w:ascii="Public Sans" w:hAnsi="Public Sans" w:cs="Helvetica"/>
          <w:color w:val="auto"/>
          <w:szCs w:val="22"/>
          <w:lang w:val="en-GB"/>
        </w:rPr>
        <w:t xml:space="preserve">Learning Difficulties Australia. (2019). On phonics, phonemic </w:t>
      </w:r>
      <w:proofErr w:type="gramStart"/>
      <w:r w:rsidRPr="005A0A87">
        <w:rPr>
          <w:rFonts w:ascii="Public Sans" w:hAnsi="Public Sans" w:cs="Helvetica"/>
          <w:color w:val="auto"/>
          <w:szCs w:val="22"/>
          <w:lang w:val="en-GB"/>
        </w:rPr>
        <w:t>awareness</w:t>
      </w:r>
      <w:proofErr w:type="gramEnd"/>
      <w:r w:rsidRPr="005A0A87">
        <w:rPr>
          <w:rFonts w:ascii="Public Sans" w:hAnsi="Public Sans" w:cs="Helvetica"/>
          <w:color w:val="auto"/>
          <w:szCs w:val="22"/>
          <w:lang w:val="en-GB"/>
        </w:rPr>
        <w:t xml:space="preserve"> and dyslexia. Bulletin | Volume 51. https://ldaustralia.org/publications/bulletin-volume-51-nos-2-3-summer-2019/.</w:t>
      </w:r>
    </w:p>
    <w:p w14:paraId="4D1790CB" w14:textId="77777777" w:rsidR="005A0A87" w:rsidRPr="005A0A87" w:rsidRDefault="005A0A87" w:rsidP="009626AC">
      <w:pPr>
        <w:autoSpaceDE w:val="0"/>
        <w:autoSpaceDN w:val="0"/>
        <w:adjustRightInd w:val="0"/>
        <w:ind w:left="720" w:hanging="720"/>
        <w:rPr>
          <w:rFonts w:ascii="Public Sans" w:hAnsi="Public Sans" w:cs="Helvetica"/>
          <w:color w:val="auto"/>
          <w:szCs w:val="22"/>
          <w:lang w:val="en-GB"/>
        </w:rPr>
      </w:pPr>
      <w:r w:rsidRPr="005A0A87">
        <w:rPr>
          <w:rFonts w:ascii="Public Sans" w:hAnsi="Public Sans" w:cs="Helvetica"/>
          <w:color w:val="auto"/>
          <w:szCs w:val="22"/>
          <w:lang w:val="en-GB"/>
        </w:rPr>
        <w:t xml:space="preserve">Learning Difficulties Australia. (2022). Teaching Teachers. Bulletin | Volume 54. </w:t>
      </w:r>
      <w:hyperlink r:id="rId11" w:history="1">
        <w:r w:rsidRPr="00C50C38">
          <w:rPr>
            <w:rStyle w:val="Hyperlink"/>
            <w:rFonts w:ascii="Public Sans" w:hAnsi="Public Sans" w:cs="Helvetica"/>
            <w:color w:val="auto"/>
            <w:szCs w:val="22"/>
            <w:u w:val="none"/>
            <w:lang w:val="en-GB"/>
          </w:rPr>
          <w:t>https://ldaustralia.org/publications/bulletin-volume-54-no-1-april-2022/</w:t>
        </w:r>
      </w:hyperlink>
      <w:r w:rsidRPr="00C50C38">
        <w:rPr>
          <w:rFonts w:ascii="Public Sans" w:hAnsi="Public Sans" w:cs="Helvetica"/>
          <w:color w:val="auto"/>
          <w:szCs w:val="22"/>
          <w:lang w:val="en-GB"/>
        </w:rPr>
        <w:t>.</w:t>
      </w:r>
    </w:p>
    <w:p w14:paraId="1C1A9B48" w14:textId="77777777" w:rsidR="005A0A87" w:rsidRPr="005A0A87" w:rsidRDefault="005A0A87" w:rsidP="009626AC">
      <w:pPr>
        <w:autoSpaceDE w:val="0"/>
        <w:autoSpaceDN w:val="0"/>
        <w:adjustRightInd w:val="0"/>
        <w:ind w:left="720" w:hanging="720"/>
        <w:rPr>
          <w:rFonts w:ascii="Public Sans" w:hAnsi="Public Sans" w:cs="Helvetica"/>
          <w:color w:val="auto"/>
          <w:szCs w:val="22"/>
          <w:lang w:val="en-GB"/>
        </w:rPr>
      </w:pPr>
      <w:r w:rsidRPr="005A0A87">
        <w:rPr>
          <w:rFonts w:ascii="Public Sans" w:hAnsi="Public Sans" w:cs="Helvetica"/>
          <w:color w:val="auto"/>
          <w:szCs w:val="22"/>
          <w:lang w:val="en-GB"/>
        </w:rPr>
        <w:lastRenderedPageBreak/>
        <w:t xml:space="preserve">Louden, W., Rohl, M., Barratt Pugh, C., Brown, C., Cairney, T., </w:t>
      </w:r>
      <w:proofErr w:type="spellStart"/>
      <w:r w:rsidRPr="005A0A87">
        <w:rPr>
          <w:rFonts w:ascii="Public Sans" w:hAnsi="Public Sans" w:cs="Helvetica"/>
          <w:color w:val="auto"/>
          <w:szCs w:val="22"/>
          <w:lang w:val="en-GB"/>
        </w:rPr>
        <w:t>Elderfield</w:t>
      </w:r>
      <w:proofErr w:type="spellEnd"/>
      <w:r w:rsidRPr="005A0A87">
        <w:rPr>
          <w:rFonts w:ascii="Public Sans" w:hAnsi="Public Sans" w:cs="Helvetica"/>
          <w:color w:val="auto"/>
          <w:szCs w:val="22"/>
          <w:lang w:val="en-GB"/>
        </w:rPr>
        <w:t xml:space="preserve">, J., House, H., Meiers, M., </w:t>
      </w:r>
      <w:proofErr w:type="spellStart"/>
      <w:r w:rsidRPr="005A0A87">
        <w:rPr>
          <w:rFonts w:ascii="Public Sans" w:hAnsi="Public Sans" w:cs="Helvetica"/>
          <w:color w:val="auto"/>
          <w:szCs w:val="22"/>
          <w:lang w:val="en-GB"/>
        </w:rPr>
        <w:t>Rivalland</w:t>
      </w:r>
      <w:proofErr w:type="spellEnd"/>
      <w:r w:rsidRPr="005A0A87">
        <w:rPr>
          <w:rFonts w:ascii="Public Sans" w:hAnsi="Public Sans" w:cs="Helvetica"/>
          <w:color w:val="auto"/>
          <w:szCs w:val="22"/>
          <w:lang w:val="en-GB"/>
        </w:rPr>
        <w:t>, J., &amp; Rowe, K. (2005). In Teachers' Hands: Effective Literacy Teaching Practices in the Early Years of Schooling. https://research.acer.edu.au/monitoring_learning/2</w:t>
      </w:r>
    </w:p>
    <w:p w14:paraId="4CF52D56" w14:textId="5DDFC283" w:rsidR="005A0A87" w:rsidRPr="005A0A87" w:rsidRDefault="005A0A87" w:rsidP="009626AC">
      <w:pPr>
        <w:autoSpaceDE w:val="0"/>
        <w:autoSpaceDN w:val="0"/>
        <w:adjustRightInd w:val="0"/>
        <w:ind w:left="720" w:hanging="720"/>
        <w:rPr>
          <w:rFonts w:ascii="Public Sans" w:hAnsi="Public Sans" w:cs="Helvetica"/>
          <w:color w:val="auto"/>
          <w:szCs w:val="22"/>
          <w:lang w:val="en-GB"/>
        </w:rPr>
      </w:pPr>
      <w:r w:rsidRPr="005A0A87">
        <w:rPr>
          <w:rFonts w:ascii="Public Sans" w:hAnsi="Public Sans" w:cs="Helvetica"/>
          <w:color w:val="auto"/>
          <w:szCs w:val="22"/>
          <w:lang w:val="en-GB"/>
        </w:rPr>
        <w:t xml:space="preserve">National Institute of Child Health and Human Development. (2000). Report of the National Reading Panel: Teaching children to read: An evidence-based assessment of the scientific research literature on reading and its implications for reading instruction (NIH Publication No. 00-4769). U.S. Government Printing Office. Retrieved from </w:t>
      </w:r>
      <w:proofErr w:type="gramStart"/>
      <w:r w:rsidRPr="005A0A87">
        <w:rPr>
          <w:rFonts w:ascii="Public Sans" w:hAnsi="Public Sans" w:cs="Helvetica"/>
          <w:color w:val="auto"/>
          <w:szCs w:val="22"/>
          <w:lang w:val="en-GB"/>
        </w:rPr>
        <w:t>https://www.nichd.nih.gov/sites/default/files/publications/pubs/nrp/Documents/report.pdf</w:t>
      </w:r>
      <w:proofErr w:type="gramEnd"/>
    </w:p>
    <w:p w14:paraId="74D926F0" w14:textId="77777777" w:rsidR="005A0A87" w:rsidRPr="005A0A87" w:rsidRDefault="005A0A87" w:rsidP="009626AC">
      <w:pPr>
        <w:autoSpaceDE w:val="0"/>
        <w:autoSpaceDN w:val="0"/>
        <w:adjustRightInd w:val="0"/>
        <w:ind w:left="720" w:hanging="720"/>
        <w:rPr>
          <w:rFonts w:ascii="Public Sans" w:hAnsi="Public Sans" w:cs="Helvetica"/>
          <w:color w:val="auto"/>
          <w:szCs w:val="22"/>
          <w:lang w:val="en-GB"/>
        </w:rPr>
      </w:pPr>
      <w:r w:rsidRPr="005A0A87">
        <w:rPr>
          <w:rFonts w:ascii="Public Sans" w:hAnsi="Public Sans" w:cs="Helvetica"/>
          <w:color w:val="auto"/>
          <w:szCs w:val="22"/>
          <w:lang w:val="en-GB"/>
        </w:rPr>
        <w:t xml:space="preserve">Professor, E., &amp; Louden, B. (2018). Evidence-based approaches to school improvement: The Kimberley Schools Project. In Australian Council for Educational Research. </w:t>
      </w:r>
      <w:hyperlink r:id="rId12" w:history="1">
        <w:r w:rsidRPr="005A0A87">
          <w:rPr>
            <w:rFonts w:ascii="Public Sans" w:hAnsi="Public Sans" w:cs="Helvetica"/>
            <w:color w:val="auto"/>
            <w:szCs w:val="22"/>
            <w:lang w:val="en-GB"/>
          </w:rPr>
          <w:t>https://research.acer.edu.au/cgi/viewcontent.cgi?article=1330&amp;context=research_conference</w:t>
        </w:r>
      </w:hyperlink>
    </w:p>
    <w:p w14:paraId="49B7B834" w14:textId="77777777" w:rsidR="005A0A87" w:rsidRPr="005A0A87" w:rsidRDefault="005A0A87" w:rsidP="009626AC">
      <w:pPr>
        <w:autoSpaceDE w:val="0"/>
        <w:autoSpaceDN w:val="0"/>
        <w:adjustRightInd w:val="0"/>
        <w:ind w:left="720" w:hanging="720"/>
        <w:rPr>
          <w:rFonts w:ascii="Public Sans" w:hAnsi="Public Sans" w:cs="Helvetica"/>
          <w:color w:val="auto"/>
          <w:szCs w:val="22"/>
          <w:lang w:val="en-GB"/>
        </w:rPr>
      </w:pPr>
      <w:proofErr w:type="spellStart"/>
      <w:r w:rsidRPr="005A0A87">
        <w:rPr>
          <w:rFonts w:ascii="Public Sans" w:hAnsi="Public Sans" w:cs="Helvetica"/>
          <w:color w:val="auto"/>
          <w:szCs w:val="22"/>
          <w:lang w:val="en-GB"/>
        </w:rPr>
        <w:t>Shaywitz</w:t>
      </w:r>
      <w:proofErr w:type="spellEnd"/>
      <w:r w:rsidRPr="005A0A87">
        <w:rPr>
          <w:rFonts w:ascii="Public Sans" w:hAnsi="Public Sans" w:cs="Helvetica"/>
          <w:color w:val="auto"/>
          <w:szCs w:val="22"/>
          <w:lang w:val="en-GB"/>
        </w:rPr>
        <w:t xml:space="preserve">, S. E., </w:t>
      </w:r>
      <w:proofErr w:type="spellStart"/>
      <w:r w:rsidRPr="005A0A87">
        <w:rPr>
          <w:rFonts w:ascii="Public Sans" w:hAnsi="Public Sans" w:cs="Helvetica"/>
          <w:color w:val="auto"/>
          <w:szCs w:val="22"/>
          <w:lang w:val="en-GB"/>
        </w:rPr>
        <w:t>Shaywitz</w:t>
      </w:r>
      <w:proofErr w:type="spellEnd"/>
      <w:r w:rsidRPr="005A0A87">
        <w:rPr>
          <w:rFonts w:ascii="Public Sans" w:hAnsi="Public Sans" w:cs="Helvetica"/>
          <w:color w:val="auto"/>
          <w:szCs w:val="22"/>
          <w:lang w:val="en-GB"/>
        </w:rPr>
        <w:t xml:space="preserve">, B. A., Pugh, K. R., Fulbright, R. K., </w:t>
      </w:r>
      <w:proofErr w:type="spellStart"/>
      <w:r w:rsidRPr="005A0A87">
        <w:rPr>
          <w:rFonts w:ascii="Public Sans" w:hAnsi="Public Sans" w:cs="Helvetica"/>
          <w:color w:val="auto"/>
          <w:szCs w:val="22"/>
          <w:lang w:val="en-GB"/>
        </w:rPr>
        <w:t>Skudlarski</w:t>
      </w:r>
      <w:proofErr w:type="spellEnd"/>
      <w:r w:rsidRPr="005A0A87">
        <w:rPr>
          <w:rFonts w:ascii="Public Sans" w:hAnsi="Public Sans" w:cs="Helvetica"/>
          <w:color w:val="auto"/>
          <w:szCs w:val="22"/>
          <w:lang w:val="en-GB"/>
        </w:rPr>
        <w:t xml:space="preserve">, P., Mencl, W. E., ... &amp; Gore, J. C. (1999). The neurobiology of reading and dyslexia. Biological psychiatry, 46(9), 1301-1311. </w:t>
      </w:r>
      <w:proofErr w:type="spellStart"/>
      <w:r w:rsidRPr="005A0A87">
        <w:rPr>
          <w:rFonts w:ascii="Public Sans" w:hAnsi="Public Sans" w:cs="Helvetica"/>
          <w:color w:val="auto"/>
          <w:szCs w:val="22"/>
          <w:lang w:val="en-GB"/>
        </w:rPr>
        <w:t>doi</w:t>
      </w:r>
      <w:proofErr w:type="spellEnd"/>
      <w:r w:rsidRPr="005A0A87">
        <w:rPr>
          <w:rFonts w:ascii="Public Sans" w:hAnsi="Public Sans" w:cs="Helvetica"/>
          <w:color w:val="auto"/>
          <w:szCs w:val="22"/>
          <w:lang w:val="en-GB"/>
        </w:rPr>
        <w:t>: 10.1016/S0006-3223(99)00155-9</w:t>
      </w:r>
    </w:p>
    <w:bookmarkEnd w:id="1"/>
    <w:p w14:paraId="25EC90F8" w14:textId="22C97389" w:rsidR="004D3AEE" w:rsidRPr="004D3AEE" w:rsidRDefault="004D3AEE" w:rsidP="004D3AEE">
      <w:pPr>
        <w:tabs>
          <w:tab w:val="left" w:pos="2366"/>
        </w:tabs>
        <w:rPr>
          <w:highlight w:val="white"/>
        </w:rPr>
      </w:pPr>
    </w:p>
    <w:sectPr w:rsidR="004D3AEE" w:rsidRPr="004D3AEE" w:rsidSect="00350FE9">
      <w:headerReference w:type="even" r:id="rId13"/>
      <w:headerReference w:type="default" r:id="rId14"/>
      <w:footerReference w:type="even" r:id="rId15"/>
      <w:footerReference w:type="default" r:id="rId16"/>
      <w:headerReference w:type="first" r:id="rId17"/>
      <w:footerReference w:type="first" r:id="rId18"/>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ublic Sans">
    <w:panose1 w:val="00000000000000000000"/>
    <w:charset w:val="00"/>
    <w:family w:val="auto"/>
    <w:pitch w:val="variable"/>
    <w:sig w:usb0="A00000FF" w:usb1="4000205B" w:usb2="00000000" w:usb3="00000000" w:csb0="00000193"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864C" w14:textId="77777777" w:rsidR="006B37C1" w:rsidRDefault="006B3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7A8F9066" w:rsidR="000255B4" w:rsidRDefault="00B46828" w:rsidP="000255B4">
    <w:pPr>
      <w:pStyle w:val="Footer"/>
      <w:tabs>
        <w:tab w:val="clear" w:pos="4513"/>
        <w:tab w:val="clear" w:pos="9026"/>
        <w:tab w:val="right" w:pos="9498"/>
      </w:tabs>
    </w:pPr>
    <w:r>
      <w:t>How do we improve reading in young Australians?</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6B37C1">
      <w:fldChar w:fldCharType="begin"/>
    </w:r>
    <w:r w:rsidR="006B37C1">
      <w:instrText xml:space="preserve"> SECTIONPAGES   \* MERGEFORMAT </w:instrText>
    </w:r>
    <w:r w:rsidR="006B37C1">
      <w:fldChar w:fldCharType="separate"/>
    </w:r>
    <w:r w:rsidR="006B37C1">
      <w:rPr>
        <w:noProof/>
      </w:rPr>
      <w:t>9</w:t>
    </w:r>
    <w:r w:rsidR="006B37C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1F14" w14:textId="73E006E0" w:rsidR="00350FE9" w:rsidRPr="009F1EA1" w:rsidRDefault="009F1EA1" w:rsidP="009F1EA1">
    <w:pPr>
      <w:pBdr>
        <w:top w:val="single" w:sz="4" w:space="1" w:color="auto"/>
      </w:pBdr>
      <w:spacing w:after="0"/>
    </w:pPr>
    <w:bookmarkStart w:id="2" w:name="_Hlk158120279"/>
    <w:bookmarkStart w:id="3" w:name="_Hlk158120280"/>
    <w:bookmarkStart w:id="4" w:name="_Hlk158120295"/>
    <w:bookmarkStart w:id="5" w:name="_Hlk158120296"/>
    <w:bookmarkStart w:id="6" w:name="_Hlk158120312"/>
    <w:bookmarkStart w:id="7" w:name="_Hlk158120313"/>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CA5B" w14:textId="77777777" w:rsidR="006B37C1" w:rsidRDefault="006B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3093" w14:textId="77777777" w:rsidR="006B37C1" w:rsidRDefault="006B3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DC6A" w14:textId="77777777" w:rsidR="006B37C1" w:rsidRDefault="006B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F41F5"/>
    <w:multiLevelType w:val="hybridMultilevel"/>
    <w:tmpl w:val="9B40760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082FFD"/>
    <w:multiLevelType w:val="hybridMultilevel"/>
    <w:tmpl w:val="4E5EE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E0420C"/>
    <w:multiLevelType w:val="hybridMultilevel"/>
    <w:tmpl w:val="F4DAFAC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EC0AA5"/>
    <w:multiLevelType w:val="hybridMultilevel"/>
    <w:tmpl w:val="36EC65C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D03032"/>
    <w:multiLevelType w:val="multilevel"/>
    <w:tmpl w:val="3C2CCE98"/>
    <w:numStyleLink w:val="PTSUnorderedListStyle"/>
  </w:abstractNum>
  <w:abstractNum w:abstractNumId="31" w15:restartNumberingAfterBreak="0">
    <w:nsid w:val="4DB1422A"/>
    <w:multiLevelType w:val="hybridMultilevel"/>
    <w:tmpl w:val="0BD408EC"/>
    <w:lvl w:ilvl="0" w:tplc="2DBAAA0C">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2"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53E82A3C"/>
    <w:multiLevelType w:val="multilevel"/>
    <w:tmpl w:val="DCE4B9E0"/>
    <w:numStyleLink w:val="PTSOrderedListStyle"/>
  </w:abstractNum>
  <w:abstractNum w:abstractNumId="38" w15:restartNumberingAfterBreak="0">
    <w:nsid w:val="553807B4"/>
    <w:multiLevelType w:val="multilevel"/>
    <w:tmpl w:val="DCE4B9E0"/>
    <w:numStyleLink w:val="PTSOrderedListStyle"/>
  </w:abstractNum>
  <w:abstractNum w:abstractNumId="39"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3" w15:restartNumberingAfterBreak="0">
    <w:nsid w:val="625D5D19"/>
    <w:multiLevelType w:val="hybridMultilevel"/>
    <w:tmpl w:val="9F8A218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4"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6B351362"/>
    <w:multiLevelType w:val="hybridMultilevel"/>
    <w:tmpl w:val="76643E3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6"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5767C01"/>
    <w:multiLevelType w:val="multilevel"/>
    <w:tmpl w:val="DCE4B9E0"/>
    <w:numStyleLink w:val="PTSOrderedListStyle"/>
  </w:abstractNum>
  <w:abstractNum w:abstractNumId="48" w15:restartNumberingAfterBreak="0">
    <w:nsid w:val="7615569F"/>
    <w:multiLevelType w:val="hybridMultilevel"/>
    <w:tmpl w:val="95F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282926">
    <w:abstractNumId w:val="22"/>
  </w:num>
  <w:num w:numId="2" w16cid:durableId="963927439">
    <w:abstractNumId w:val="36"/>
  </w:num>
  <w:num w:numId="3" w16cid:durableId="1038435900">
    <w:abstractNumId w:val="41"/>
  </w:num>
  <w:num w:numId="4" w16cid:durableId="1874801615">
    <w:abstractNumId w:val="40"/>
  </w:num>
  <w:num w:numId="5" w16cid:durableId="465700344">
    <w:abstractNumId w:val="24"/>
  </w:num>
  <w:num w:numId="6" w16cid:durableId="352653544">
    <w:abstractNumId w:val="32"/>
  </w:num>
  <w:num w:numId="7" w16cid:durableId="1264805997">
    <w:abstractNumId w:val="28"/>
  </w:num>
  <w:num w:numId="8" w16cid:durableId="1043939693">
    <w:abstractNumId w:val="33"/>
  </w:num>
  <w:num w:numId="9" w16cid:durableId="832447887">
    <w:abstractNumId w:val="11"/>
  </w:num>
  <w:num w:numId="10" w16cid:durableId="441344456">
    <w:abstractNumId w:val="13"/>
  </w:num>
  <w:num w:numId="11" w16cid:durableId="1694375457">
    <w:abstractNumId w:val="18"/>
  </w:num>
  <w:num w:numId="12" w16cid:durableId="1354378654">
    <w:abstractNumId w:val="14"/>
  </w:num>
  <w:num w:numId="13" w16cid:durableId="923805672">
    <w:abstractNumId w:val="34"/>
  </w:num>
  <w:num w:numId="14" w16cid:durableId="701981400">
    <w:abstractNumId w:val="44"/>
  </w:num>
  <w:num w:numId="15" w16cid:durableId="1703938253">
    <w:abstractNumId w:val="27"/>
  </w:num>
  <w:num w:numId="16" w16cid:durableId="1539930045">
    <w:abstractNumId w:val="20"/>
  </w:num>
  <w:num w:numId="17" w16cid:durableId="1421099837">
    <w:abstractNumId w:val="46"/>
  </w:num>
  <w:num w:numId="18" w16cid:durableId="2096895664">
    <w:abstractNumId w:val="39"/>
  </w:num>
  <w:num w:numId="19" w16cid:durableId="236212348">
    <w:abstractNumId w:val="37"/>
  </w:num>
  <w:num w:numId="20" w16cid:durableId="932274738">
    <w:abstractNumId w:val="29"/>
  </w:num>
  <w:num w:numId="21" w16cid:durableId="1180661850">
    <w:abstractNumId w:val="35"/>
  </w:num>
  <w:num w:numId="22" w16cid:durableId="688408783">
    <w:abstractNumId w:val="15"/>
  </w:num>
  <w:num w:numId="23" w16cid:durableId="461575964">
    <w:abstractNumId w:val="47"/>
  </w:num>
  <w:num w:numId="24" w16cid:durableId="637803994">
    <w:abstractNumId w:val="16"/>
  </w:num>
  <w:num w:numId="25" w16cid:durableId="2136360820">
    <w:abstractNumId w:val="12"/>
  </w:num>
  <w:num w:numId="26" w16cid:durableId="798256476">
    <w:abstractNumId w:val="17"/>
  </w:num>
  <w:num w:numId="27" w16cid:durableId="708532385">
    <w:abstractNumId w:val="30"/>
  </w:num>
  <w:num w:numId="28" w16cid:durableId="1200123690">
    <w:abstractNumId w:val="23"/>
  </w:num>
  <w:num w:numId="29" w16cid:durableId="27680529">
    <w:abstractNumId w:val="38"/>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2"/>
  </w:num>
  <w:num w:numId="41" w16cid:durableId="1634939162">
    <w:abstractNumId w:val="26"/>
  </w:num>
  <w:num w:numId="42" w16cid:durableId="626813109">
    <w:abstractNumId w:val="10"/>
  </w:num>
  <w:num w:numId="43" w16cid:durableId="723410748">
    <w:abstractNumId w:val="45"/>
  </w:num>
  <w:num w:numId="44" w16cid:durableId="897201655">
    <w:abstractNumId w:val="43"/>
  </w:num>
  <w:num w:numId="45" w16cid:durableId="657347268">
    <w:abstractNumId w:val="21"/>
  </w:num>
  <w:num w:numId="46" w16cid:durableId="12535755">
    <w:abstractNumId w:val="25"/>
  </w:num>
  <w:num w:numId="47" w16cid:durableId="1853953680">
    <w:abstractNumId w:val="48"/>
  </w:num>
  <w:num w:numId="48" w16cid:durableId="1005134157">
    <w:abstractNumId w:val="31"/>
  </w:num>
  <w:num w:numId="49" w16cid:durableId="390347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152E9A"/>
    <w:rsid w:val="00155404"/>
    <w:rsid w:val="00166E3E"/>
    <w:rsid w:val="001B4C3C"/>
    <w:rsid w:val="001C0A56"/>
    <w:rsid w:val="001C1A56"/>
    <w:rsid w:val="001D3FF0"/>
    <w:rsid w:val="00275489"/>
    <w:rsid w:val="00294239"/>
    <w:rsid w:val="002B3433"/>
    <w:rsid w:val="002E65ED"/>
    <w:rsid w:val="00327960"/>
    <w:rsid w:val="003348A4"/>
    <w:rsid w:val="00350FE9"/>
    <w:rsid w:val="0039359F"/>
    <w:rsid w:val="003D1828"/>
    <w:rsid w:val="0040108E"/>
    <w:rsid w:val="00414EC0"/>
    <w:rsid w:val="0043189E"/>
    <w:rsid w:val="00477517"/>
    <w:rsid w:val="004D3AEE"/>
    <w:rsid w:val="004E735C"/>
    <w:rsid w:val="004F3408"/>
    <w:rsid w:val="00505CEC"/>
    <w:rsid w:val="00507B74"/>
    <w:rsid w:val="005162C5"/>
    <w:rsid w:val="005935DB"/>
    <w:rsid w:val="005A0A87"/>
    <w:rsid w:val="005D4364"/>
    <w:rsid w:val="005F6952"/>
    <w:rsid w:val="00605DDA"/>
    <w:rsid w:val="00621F60"/>
    <w:rsid w:val="0068478C"/>
    <w:rsid w:val="006B37C1"/>
    <w:rsid w:val="006B4571"/>
    <w:rsid w:val="006E2817"/>
    <w:rsid w:val="00720CAA"/>
    <w:rsid w:val="007279F1"/>
    <w:rsid w:val="00740D7B"/>
    <w:rsid w:val="007765DF"/>
    <w:rsid w:val="00794760"/>
    <w:rsid w:val="007D4B9D"/>
    <w:rsid w:val="008619E2"/>
    <w:rsid w:val="008F5148"/>
    <w:rsid w:val="0090533A"/>
    <w:rsid w:val="00921561"/>
    <w:rsid w:val="00930037"/>
    <w:rsid w:val="00943538"/>
    <w:rsid w:val="009539A5"/>
    <w:rsid w:val="009626AC"/>
    <w:rsid w:val="009F1EA1"/>
    <w:rsid w:val="009F3C9D"/>
    <w:rsid w:val="009F5008"/>
    <w:rsid w:val="00A2243D"/>
    <w:rsid w:val="00A32200"/>
    <w:rsid w:val="00A573A5"/>
    <w:rsid w:val="00AB7750"/>
    <w:rsid w:val="00B02AE5"/>
    <w:rsid w:val="00B12F43"/>
    <w:rsid w:val="00B21EEE"/>
    <w:rsid w:val="00B46828"/>
    <w:rsid w:val="00B5310E"/>
    <w:rsid w:val="00BB0675"/>
    <w:rsid w:val="00C509F6"/>
    <w:rsid w:val="00C50C38"/>
    <w:rsid w:val="00C620F8"/>
    <w:rsid w:val="00C7010F"/>
    <w:rsid w:val="00C76B6E"/>
    <w:rsid w:val="00C902DF"/>
    <w:rsid w:val="00C92191"/>
    <w:rsid w:val="00D06FE8"/>
    <w:rsid w:val="00D17681"/>
    <w:rsid w:val="00D63C18"/>
    <w:rsid w:val="00D65435"/>
    <w:rsid w:val="00DA7474"/>
    <w:rsid w:val="00DC4AF3"/>
    <w:rsid w:val="00E14DC7"/>
    <w:rsid w:val="00E568E6"/>
    <w:rsid w:val="00EC0ED6"/>
    <w:rsid w:val="00EC26CD"/>
    <w:rsid w:val="00ED3B04"/>
    <w:rsid w:val="00F02C98"/>
    <w:rsid w:val="00F1653C"/>
    <w:rsid w:val="00F36095"/>
    <w:rsid w:val="00F37270"/>
    <w:rsid w:val="00F65681"/>
    <w:rsid w:val="00F815C6"/>
    <w:rsid w:val="00FB15FB"/>
    <w:rsid w:val="00FC0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customStyle="1" w:styleId="dcr-n6w1lc">
    <w:name w:val="dcr-n6w1lc"/>
    <w:basedOn w:val="Normal"/>
    <w:rsid w:val="00621F6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CommentReference">
    <w:name w:val="annotation reference"/>
    <w:basedOn w:val="DefaultParagraphFont"/>
    <w:uiPriority w:val="99"/>
    <w:semiHidden/>
    <w:unhideWhenUsed/>
    <w:rsid w:val="002E65ED"/>
    <w:rPr>
      <w:sz w:val="16"/>
      <w:szCs w:val="16"/>
    </w:rPr>
  </w:style>
  <w:style w:type="paragraph" w:styleId="CommentText">
    <w:name w:val="annotation text"/>
    <w:basedOn w:val="Normal"/>
    <w:link w:val="CommentTextChar"/>
    <w:uiPriority w:val="99"/>
    <w:unhideWhenUsed/>
    <w:rsid w:val="002E65ED"/>
    <w:pPr>
      <w:spacing w:line="240" w:lineRule="auto"/>
    </w:pPr>
    <w:rPr>
      <w:sz w:val="20"/>
      <w:szCs w:val="20"/>
    </w:rPr>
  </w:style>
  <w:style w:type="character" w:customStyle="1" w:styleId="CommentTextChar">
    <w:name w:val="Comment Text Char"/>
    <w:basedOn w:val="DefaultParagraphFont"/>
    <w:link w:val="CommentText"/>
    <w:uiPriority w:val="99"/>
    <w:rsid w:val="002E65ED"/>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2E65ED"/>
    <w:rPr>
      <w:b/>
      <w:bCs/>
    </w:rPr>
  </w:style>
  <w:style w:type="character" w:customStyle="1" w:styleId="CommentSubjectChar">
    <w:name w:val="Comment Subject Char"/>
    <w:basedOn w:val="CommentTextChar"/>
    <w:link w:val="CommentSubject"/>
    <w:uiPriority w:val="99"/>
    <w:semiHidden/>
    <w:rsid w:val="002E65ED"/>
    <w:rPr>
      <w:rFonts w:eastAsia="Calibri" w:cs="Calibri"/>
      <w:b/>
      <w:bCs/>
      <w:color w:val="000000"/>
      <w:lang w:eastAsia="en-US"/>
    </w:rPr>
  </w:style>
  <w:style w:type="paragraph" w:customStyle="1" w:styleId="BodyText1">
    <w:name w:val="Body Text1"/>
    <w:basedOn w:val="Normal"/>
    <w:link w:val="BodytextChar"/>
    <w:qFormat/>
    <w:rsid w:val="00C620F8"/>
  </w:style>
  <w:style w:type="character" w:customStyle="1" w:styleId="BodytextChar">
    <w:name w:val="Body text Char"/>
    <w:basedOn w:val="DefaultParagraphFont"/>
    <w:link w:val="BodyText1"/>
    <w:rsid w:val="00C620F8"/>
    <w:rPr>
      <w:rFonts w:eastAsia="Calibri" w:cs="Calibri"/>
      <w:color w:val="000000"/>
      <w:sz w:val="22"/>
      <w:szCs w:val="24"/>
      <w:lang w:eastAsia="en-US"/>
    </w:rPr>
  </w:style>
  <w:style w:type="paragraph" w:styleId="Revision">
    <w:name w:val="Revision"/>
    <w:hidden/>
    <w:uiPriority w:val="99"/>
    <w:semiHidden/>
    <w:rsid w:val="00F02C98"/>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acer.edu.au/cgi/viewcontent.cgi?article=1330&amp;context=research_conferen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daustralia.org/publications/bulletin-volume-54-no-1-april-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ucation.sa.gov.au/parents-and-families/curriculum-and-learning/literacy-and-numeracy/literacy-and-numeracy-programs-schoo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3542</Words>
  <Characters>21925</Characters>
  <Application>Microsoft Office Word</Application>
  <DocSecurity>0</DocSecurity>
  <Lines>329</Lines>
  <Paragraphs>98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14</cp:revision>
  <cp:lastPrinted>2018-04-13T01:20:00Z</cp:lastPrinted>
  <dcterms:created xsi:type="dcterms:W3CDTF">2023-08-15T02:35:00Z</dcterms:created>
  <dcterms:modified xsi:type="dcterms:W3CDTF">2024-02-06T02:58:00Z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93861a119bd4e2e163b0a3b6eb385a59b8553e5fe1ec9976726d0b560acda469</vt:lpwstr>
  </property>
  <property fmtid="{D5CDD505-2E9C-101B-9397-08002B2CF9AE}" pid="3" name="MSIP_Label_b603dfd7-d93a-4381-a340-2995d8282205_Enabled">
    <vt:lpwstr>true</vt:lpwstr>
  </property>
  <property fmtid="{D5CDD505-2E9C-101B-9397-08002B2CF9AE}" pid="4" name="MSIP_Label_b603dfd7-d93a-4381-a340-2995d8282205_SetDate">
    <vt:lpwstr>2023-06-21T02:29:20Z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e00e50f4-0426-476e-8363-63ef89ad2ccc</vt:lpwstr>
  </property>
  <property fmtid="{D5CDD505-2E9C-101B-9397-08002B2CF9AE}" pid="9" name="MSIP_Label_b603dfd7-d93a-4381-a340-2995d8282205_ContentBits">
    <vt:lpwstr>0</vt:lpwstr>
  </property>
</Properties>
</file>