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5AE33F9F" w:rsidR="00ED3B04" w:rsidRPr="001450C0" w:rsidRDefault="0054600D" w:rsidP="00910707">
      <w:pPr>
        <w:pStyle w:val="Pre-Title"/>
        <w:spacing w:after="1320"/>
      </w:pPr>
      <w:r>
        <w:t>2020 Premier’s Reserve Bank of Australia Economics Scholarship</w:t>
      </w:r>
    </w:p>
    <w:p w14:paraId="0011C0C3" w14:textId="7FBE2619" w:rsidR="00ED3B04" w:rsidRPr="00C509F6" w:rsidRDefault="0054600D" w:rsidP="00C509F6">
      <w:pPr>
        <w:pStyle w:val="Title"/>
      </w:pPr>
      <w:r>
        <w:t>Lending a helping hand</w:t>
      </w:r>
    </w:p>
    <w:p w14:paraId="441CB682" w14:textId="06A50007" w:rsidR="00ED3B04" w:rsidRPr="001450C0" w:rsidRDefault="0054600D" w:rsidP="00ED3B04">
      <w:pPr>
        <w:pStyle w:val="Subtitle"/>
        <w:rPr>
          <w:rFonts w:eastAsia="Tahoma"/>
        </w:rPr>
      </w:pPr>
      <w:r>
        <w:rPr>
          <w:rFonts w:eastAsia="Tahoma"/>
        </w:rPr>
        <w:t>Designing resources that help Commerce teachers more confidently teach economics content</w:t>
      </w:r>
    </w:p>
    <w:p w14:paraId="1C925F83" w14:textId="51157168" w:rsidR="00ED3B04" w:rsidRPr="00943538" w:rsidRDefault="0054600D" w:rsidP="00910707">
      <w:pPr>
        <w:pStyle w:val="Author"/>
        <w:spacing w:before="1320"/>
      </w:pPr>
      <w:r>
        <w:t>Alexander Symonds</w:t>
      </w:r>
    </w:p>
    <w:p w14:paraId="3666F43D" w14:textId="52443813" w:rsidR="00ED3B04" w:rsidRDefault="0054600D" w:rsidP="00910707">
      <w:pPr>
        <w:spacing w:after="0"/>
      </w:pPr>
      <w:r>
        <w:t>High School Economics Teacher (multiple schools)</w:t>
      </w:r>
    </w:p>
    <w:p w14:paraId="26B4A539" w14:textId="22B3D2C8" w:rsidR="00ED3B04" w:rsidRDefault="00ED3B04" w:rsidP="00910707">
      <w:pPr>
        <w:pStyle w:val="Sponsor"/>
        <w:spacing w:before="1320"/>
      </w:pPr>
      <w:r w:rsidRPr="001450C0">
        <w:t>Sponsored by</w:t>
      </w:r>
      <w:r w:rsidR="0033281D">
        <w:t xml:space="preserve"> the Reserve Bank of Australia</w:t>
      </w:r>
    </w:p>
    <w:p w14:paraId="7B33461C" w14:textId="6991D444" w:rsidR="00EC0ED6" w:rsidRDefault="0054600D" w:rsidP="000255B4">
      <w:r>
        <w:rPr>
          <w:noProof/>
          <w:lang w:eastAsia="en-AU"/>
        </w:rPr>
        <w:drawing>
          <wp:inline distT="0" distB="0" distL="0" distR="0" wp14:anchorId="7B19929D" wp14:editId="69A1A6C7">
            <wp:extent cx="3794367" cy="931653"/>
            <wp:effectExtent l="0" t="0" r="0" b="0"/>
            <wp:docPr id="114035105" name="Picture 1" descr="Reserve Bank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5105" name="Picture 1" descr="Reserve Bank of Australia "/>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3025" cy="943600"/>
                    </a:xfrm>
                    <a:prstGeom prst="rect">
                      <a:avLst/>
                    </a:prstGeom>
                  </pic:spPr>
                </pic:pic>
              </a:graphicData>
            </a:graphic>
          </wp:inline>
        </w:drawing>
      </w:r>
    </w:p>
    <w:p w14:paraId="7915882B" w14:textId="1838FB92"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7BBED09D" w14:textId="24270A8E" w:rsidR="0054600D" w:rsidRPr="0054600D" w:rsidRDefault="0054600D" w:rsidP="0054600D">
      <w:r>
        <w:t xml:space="preserve">I was initially awarded the 2020 Premier’s Reserve Bank of Australia Economics Scholarship to investigate how </w:t>
      </w:r>
      <w:r w:rsidR="00C73719">
        <w:t xml:space="preserve">the </w:t>
      </w:r>
      <w:r>
        <w:t xml:space="preserve">use of technology could help increase student participation in, and engagement with, high school Economics. My study tour was set to take in </w:t>
      </w:r>
      <w:r w:rsidRPr="0054600D">
        <w:t>a range of schools, organisations</w:t>
      </w:r>
      <w:r w:rsidR="00C73719">
        <w:t>,</w:t>
      </w:r>
      <w:r w:rsidRPr="0054600D">
        <w:t xml:space="preserve"> and conferences that were at the forefront of this, including Silicon Valley-based schools and Marginal Revolution University in Virginia. My departure date was intended to be March 2020. The COVID-19 pandemic and associated travel restrictions curtailed my original plans and forced a project rethink.</w:t>
      </w:r>
    </w:p>
    <w:p w14:paraId="62561031" w14:textId="2B11D8DF" w:rsidR="0054600D" w:rsidRDefault="0054600D" w:rsidP="0054600D">
      <w:r>
        <w:t>In consultation with the scholarship sponsor – the Reserve Bank of Australia (RBA) – and the NSW Department of Education, I changed tack. Instead of a study tour</w:t>
      </w:r>
      <w:r w:rsidR="00C73719">
        <w:t>,</w:t>
      </w:r>
      <w:r>
        <w:t xml:space="preserve"> I would design economics-related resources for high school Commerce teachers and students. This represented a marked departure from the usual focus of study </w:t>
      </w:r>
      <w:proofErr w:type="gramStart"/>
      <w:r>
        <w:t>tours</w:t>
      </w:r>
      <w:proofErr w:type="gramEnd"/>
      <w:r>
        <w:t xml:space="preserve"> and I was enormously grateful to have the opportunity to change scope.</w:t>
      </w:r>
    </w:p>
    <w:p w14:paraId="5ECC41FF" w14:textId="77777777" w:rsidR="0054600D" w:rsidRDefault="0054600D" w:rsidP="0054600D">
      <w:pPr>
        <w:spacing w:after="120"/>
      </w:pPr>
      <w:r>
        <w:t>The goal of the revised project was two-fold:</w:t>
      </w:r>
    </w:p>
    <w:p w14:paraId="5D0CB8CA" w14:textId="77777777" w:rsidR="0054600D" w:rsidRDefault="0054600D" w:rsidP="0054600D">
      <w:pPr>
        <w:pStyle w:val="ListParagraph"/>
        <w:numPr>
          <w:ilvl w:val="0"/>
          <w:numId w:val="27"/>
        </w:numPr>
        <w:ind w:left="511" w:hanging="284"/>
      </w:pPr>
      <w:r>
        <w:t>to increase the pipeline of students choosing to study economics in their senior years (thereby working to reverse the decline in the number of students choosing the subject)</w:t>
      </w:r>
    </w:p>
    <w:p w14:paraId="4C19FF77" w14:textId="77777777" w:rsidR="0054600D" w:rsidRDefault="0054600D" w:rsidP="0054600D">
      <w:pPr>
        <w:pStyle w:val="ListParagraph"/>
        <w:numPr>
          <w:ilvl w:val="0"/>
          <w:numId w:val="27"/>
        </w:numPr>
        <w:spacing w:after="180"/>
        <w:ind w:left="511" w:hanging="284"/>
      </w:pPr>
      <w:r>
        <w:t>to boost the confidence of non-economics teachers who were required to teach economics content as part of the NSW Commerce elective.</w:t>
      </w:r>
    </w:p>
    <w:p w14:paraId="771927AA" w14:textId="36A87FC4" w:rsidR="0054600D" w:rsidRPr="00ED3B04" w:rsidRDefault="0054600D" w:rsidP="0054600D">
      <w:r w:rsidRPr="0054600D">
        <w:t>Given the pandemic, my project did not unfold like a typical study tour. While I was awarded the scholarship for 2020, I did not commence the new focus until late 2021. I worked on the resources, while employed full-time as a teacher, from September 2021 until October 2022. At this point</w:t>
      </w:r>
      <w:r w:rsidR="00C73719">
        <w:t>,</w:t>
      </w:r>
      <w:r w:rsidRPr="0054600D">
        <w:t xml:space="preserve"> I became an employee at the RBA and continued working on the resources in my role as a Public Education Economist/Economics Teacher. As </w:t>
      </w:r>
      <w:r w:rsidR="00C73719">
        <w:t>of</w:t>
      </w:r>
      <w:r w:rsidRPr="0054600D">
        <w:t xml:space="preserve"> March 2024, the work is ongoing and forms part of the broader body of resource development in the RBA’s public education team. </w:t>
      </w:r>
    </w:p>
    <w:p w14:paraId="7BD98AC6" w14:textId="09F94408" w:rsidR="00ED3B04" w:rsidRPr="00ED3B04" w:rsidRDefault="0054600D" w:rsidP="00ED3B04">
      <w:pPr>
        <w:pStyle w:val="Heading1"/>
      </w:pPr>
      <w:r>
        <w:t xml:space="preserve">The Revised </w:t>
      </w:r>
      <w:r w:rsidR="005935DB">
        <w:t>Focus of Study</w:t>
      </w:r>
    </w:p>
    <w:p w14:paraId="1EFC9818" w14:textId="77777777" w:rsidR="0054600D" w:rsidRDefault="0054600D" w:rsidP="0054600D">
      <w:pPr>
        <w:rPr>
          <w:shd w:val="clear" w:color="auto" w:fill="FFFFFF"/>
        </w:rPr>
      </w:pPr>
      <w:r>
        <w:rPr>
          <w:shd w:val="clear" w:color="auto" w:fill="FFFFFF"/>
        </w:rPr>
        <w:t>I</w:t>
      </w:r>
      <w:r w:rsidRPr="00A01FB4">
        <w:rPr>
          <w:shd w:val="clear" w:color="auto" w:fill="FFFFFF"/>
        </w:rPr>
        <w:t xml:space="preserve">n NSW high schools, students can choose the elective subject of Commerce which is typically offered in Years 9 and 10. In 2019, the NSW Education Standards Authority (NESA) published </w:t>
      </w:r>
      <w:r>
        <w:rPr>
          <w:shd w:val="clear" w:color="auto" w:fill="FFFFFF"/>
        </w:rPr>
        <w:t>a new Commerce syllabus</w:t>
      </w:r>
      <w:r w:rsidRPr="00A01FB4">
        <w:rPr>
          <w:shd w:val="clear" w:color="auto" w:fill="FFFFFF"/>
        </w:rPr>
        <w:t xml:space="preserve"> and made a</w:t>
      </w:r>
      <w:r>
        <w:rPr>
          <w:shd w:val="clear" w:color="auto" w:fill="FFFFFF"/>
        </w:rPr>
        <w:t xml:space="preserve"> previously optional</w:t>
      </w:r>
      <w:r w:rsidRPr="00A01FB4">
        <w:rPr>
          <w:shd w:val="clear" w:color="auto" w:fill="FFFFFF"/>
        </w:rPr>
        <w:t xml:space="preserve"> economics module, The Economic and Business Environment, mandatory.</w:t>
      </w:r>
      <w:r>
        <w:rPr>
          <w:shd w:val="clear" w:color="auto" w:fill="FFFFFF"/>
        </w:rPr>
        <w:t xml:space="preserve"> </w:t>
      </w:r>
    </w:p>
    <w:p w14:paraId="5B638697" w14:textId="3008E05A" w:rsidR="0054600D" w:rsidRDefault="0054600D" w:rsidP="0054600D">
      <w:pPr>
        <w:rPr>
          <w:shd w:val="clear" w:color="auto" w:fill="FFFFFF"/>
        </w:rPr>
      </w:pPr>
      <w:r>
        <w:rPr>
          <w:shd w:val="clear" w:color="auto" w:fill="FFFFFF"/>
        </w:rPr>
        <w:t>On the one hand, t</w:t>
      </w:r>
      <w:r w:rsidRPr="00A01FB4">
        <w:rPr>
          <w:shd w:val="clear" w:color="auto" w:fill="FFFFFF"/>
        </w:rPr>
        <w:t xml:space="preserve">his was a positive development as more students would be exposed to economic concepts and may be motivated to </w:t>
      </w:r>
      <w:r>
        <w:rPr>
          <w:shd w:val="clear" w:color="auto" w:fill="FFFFFF"/>
        </w:rPr>
        <w:t>select</w:t>
      </w:r>
      <w:r w:rsidRPr="00A01FB4">
        <w:rPr>
          <w:shd w:val="clear" w:color="auto" w:fill="FFFFFF"/>
        </w:rPr>
        <w:t xml:space="preserve"> Economics</w:t>
      </w:r>
      <w:r>
        <w:rPr>
          <w:shd w:val="clear" w:color="auto" w:fill="FFFFFF"/>
        </w:rPr>
        <w:t xml:space="preserve"> as </w:t>
      </w:r>
      <w:r w:rsidR="00C73719">
        <w:rPr>
          <w:shd w:val="clear" w:color="auto" w:fill="FFFFFF"/>
        </w:rPr>
        <w:t xml:space="preserve">a </w:t>
      </w:r>
      <w:r>
        <w:rPr>
          <w:shd w:val="clear" w:color="auto" w:fill="FFFFFF"/>
        </w:rPr>
        <w:t>senior subject</w:t>
      </w:r>
      <w:r w:rsidRPr="00A01FB4">
        <w:rPr>
          <w:shd w:val="clear" w:color="auto" w:fill="FFFFFF"/>
        </w:rPr>
        <w:t xml:space="preserve">. </w:t>
      </w:r>
      <w:r>
        <w:rPr>
          <w:shd w:val="clear" w:color="auto" w:fill="FFFFFF"/>
        </w:rPr>
        <w:t xml:space="preserve">On the other hand, there was evidence that some Commerce </w:t>
      </w:r>
      <w:r w:rsidRPr="00A01FB4">
        <w:rPr>
          <w:shd w:val="clear" w:color="auto" w:fill="FFFFFF"/>
        </w:rPr>
        <w:t xml:space="preserve">teachers </w:t>
      </w:r>
      <w:r>
        <w:rPr>
          <w:shd w:val="clear" w:color="auto" w:fill="FFFFFF"/>
        </w:rPr>
        <w:t>were not</w:t>
      </w:r>
      <w:r w:rsidRPr="00A01FB4">
        <w:rPr>
          <w:shd w:val="clear" w:color="auto" w:fill="FFFFFF"/>
        </w:rPr>
        <w:t xml:space="preserve"> comfortable </w:t>
      </w:r>
      <w:r>
        <w:rPr>
          <w:shd w:val="clear" w:color="auto" w:fill="FFFFFF"/>
        </w:rPr>
        <w:t>teaching e</w:t>
      </w:r>
      <w:r w:rsidRPr="00A01FB4">
        <w:rPr>
          <w:shd w:val="clear" w:color="auto" w:fill="FFFFFF"/>
        </w:rPr>
        <w:t xml:space="preserve">conomics content. For example, there </w:t>
      </w:r>
      <w:r>
        <w:rPr>
          <w:shd w:val="clear" w:color="auto" w:fill="FFFFFF"/>
        </w:rPr>
        <w:t>were</w:t>
      </w:r>
      <w:r w:rsidRPr="00A01FB4">
        <w:rPr>
          <w:shd w:val="clear" w:color="auto" w:fill="FFFFFF"/>
        </w:rPr>
        <w:t xml:space="preserve"> frequent posts to online teaching groups seeking clarification and specific resources to address concepts in the </w:t>
      </w:r>
      <w:r>
        <w:rPr>
          <w:shd w:val="clear" w:color="auto" w:fill="FFFFFF"/>
        </w:rPr>
        <w:t xml:space="preserve">compulsory </w:t>
      </w:r>
      <w:r w:rsidRPr="00A01FB4">
        <w:rPr>
          <w:shd w:val="clear" w:color="auto" w:fill="FFFFFF"/>
        </w:rPr>
        <w:t>economics module.</w:t>
      </w:r>
      <w:r>
        <w:rPr>
          <w:shd w:val="clear" w:color="auto" w:fill="FFFFFF"/>
        </w:rPr>
        <w:t xml:space="preserve"> In addition, the RBA’s Education Team received queries from teachers requesting assistance.</w:t>
      </w:r>
    </w:p>
    <w:p w14:paraId="142F3FB3" w14:textId="77777777" w:rsidR="0054600D" w:rsidRDefault="0054600D" w:rsidP="0054600D">
      <w:pPr>
        <w:spacing w:after="120"/>
        <w:rPr>
          <w:shd w:val="clear" w:color="auto" w:fill="FFFFFF"/>
        </w:rPr>
      </w:pPr>
      <w:r>
        <w:rPr>
          <w:shd w:val="clear" w:color="auto" w:fill="FFFFFF"/>
        </w:rPr>
        <w:t>My new scholarship focus was to create</w:t>
      </w:r>
      <w:r w:rsidRPr="003C34D0">
        <w:rPr>
          <w:shd w:val="clear" w:color="auto" w:fill="FFFFFF"/>
        </w:rPr>
        <w:t xml:space="preserve"> high-quality resources </w:t>
      </w:r>
      <w:r>
        <w:rPr>
          <w:shd w:val="clear" w:color="auto" w:fill="FFFFFF"/>
        </w:rPr>
        <w:t>to</w:t>
      </w:r>
      <w:r w:rsidRPr="003C34D0">
        <w:rPr>
          <w:shd w:val="clear" w:color="auto" w:fill="FFFFFF"/>
        </w:rPr>
        <w:t xml:space="preserve"> help teachers and students working through the </w:t>
      </w:r>
      <w:r>
        <w:rPr>
          <w:shd w:val="clear" w:color="auto" w:fill="FFFFFF"/>
        </w:rPr>
        <w:t xml:space="preserve">compulsory </w:t>
      </w:r>
      <w:r w:rsidRPr="003C34D0">
        <w:rPr>
          <w:shd w:val="clear" w:color="auto" w:fill="FFFFFF"/>
        </w:rPr>
        <w:t xml:space="preserve">economics module. </w:t>
      </w:r>
      <w:r>
        <w:rPr>
          <w:shd w:val="clear" w:color="auto" w:fill="FFFFFF"/>
        </w:rPr>
        <w:t>The resources would encompass a comprehensive suite of elements, such as:</w:t>
      </w:r>
    </w:p>
    <w:p w14:paraId="35335F4F" w14:textId="77777777" w:rsidR="0054600D" w:rsidRPr="0054600D" w:rsidRDefault="0054600D" w:rsidP="0054600D">
      <w:pPr>
        <w:pStyle w:val="ListParagraph"/>
        <w:numPr>
          <w:ilvl w:val="0"/>
          <w:numId w:val="27"/>
        </w:numPr>
        <w:ind w:left="511" w:hanging="284"/>
      </w:pPr>
      <w:r w:rsidRPr="0054600D">
        <w:t>lesson plans addressing specific syllabus dot points</w:t>
      </w:r>
    </w:p>
    <w:p w14:paraId="0EDC1951" w14:textId="77777777" w:rsidR="0054600D" w:rsidRPr="0054600D" w:rsidRDefault="0054600D" w:rsidP="0054600D">
      <w:pPr>
        <w:pStyle w:val="ListParagraph"/>
        <w:numPr>
          <w:ilvl w:val="0"/>
          <w:numId w:val="27"/>
        </w:numPr>
        <w:ind w:left="511" w:hanging="284"/>
      </w:pPr>
      <w:r w:rsidRPr="0054600D">
        <w:t xml:space="preserve">lesson slides, videos and worksheets </w:t>
      </w:r>
    </w:p>
    <w:p w14:paraId="2CC3F412" w14:textId="77777777" w:rsidR="0054600D" w:rsidRPr="0054600D" w:rsidRDefault="0054600D" w:rsidP="0054600D">
      <w:pPr>
        <w:pStyle w:val="ListParagraph"/>
        <w:numPr>
          <w:ilvl w:val="0"/>
          <w:numId w:val="27"/>
        </w:numPr>
        <w:ind w:left="511" w:hanging="284"/>
      </w:pPr>
      <w:r w:rsidRPr="0054600D">
        <w:lastRenderedPageBreak/>
        <w:t>potential assessment tasks</w:t>
      </w:r>
    </w:p>
    <w:p w14:paraId="7477207E" w14:textId="77777777" w:rsidR="0054600D" w:rsidRPr="0054600D" w:rsidRDefault="0054600D" w:rsidP="0054600D">
      <w:pPr>
        <w:pStyle w:val="ListParagraph"/>
        <w:numPr>
          <w:ilvl w:val="0"/>
          <w:numId w:val="27"/>
        </w:numPr>
        <w:ind w:left="511" w:hanging="284"/>
      </w:pPr>
      <w:r w:rsidRPr="0054600D">
        <w:t>an overall teacher guide that comprehensively explained the materials, including how they could be deployed in the classroom and the basis for the approach</w:t>
      </w:r>
    </w:p>
    <w:p w14:paraId="19266654" w14:textId="77777777" w:rsidR="0054600D" w:rsidRPr="0054600D" w:rsidRDefault="0054600D" w:rsidP="0054600D">
      <w:pPr>
        <w:pStyle w:val="ListParagraph"/>
        <w:numPr>
          <w:ilvl w:val="0"/>
          <w:numId w:val="27"/>
        </w:numPr>
        <w:spacing w:after="180"/>
        <w:ind w:left="511" w:hanging="284"/>
      </w:pPr>
      <w:r w:rsidRPr="0054600D">
        <w:t>an RBA-supported teacher professional development webinar to explain and promote the materials.</w:t>
      </w:r>
    </w:p>
    <w:p w14:paraId="1E90171A" w14:textId="6A7CBFF0" w:rsidR="00FB15FB" w:rsidRDefault="0054600D" w:rsidP="00FB15FB">
      <w:pPr>
        <w:rPr>
          <w:shd w:val="clear" w:color="auto" w:fill="FFFFFF"/>
        </w:rPr>
      </w:pPr>
      <w:r>
        <w:rPr>
          <w:shd w:val="clear" w:color="auto" w:fill="FFFFFF"/>
        </w:rPr>
        <w:t>I wanted to avoid reinventing the wheel and instead draw on existing high-quality materials that could underpin or supplement the new resources. In this way, I wanted to include the RBA’s existing educational materials which were highly valued by teachers and vetted by a highly respected economic institution. I consistently used these resources as a teacher and found them a valuable tool to use with students.</w:t>
      </w:r>
      <w:r w:rsidR="00B21EEE">
        <w:rPr>
          <w:shd w:val="clear" w:color="auto" w:fill="FFFFFF"/>
        </w:rPr>
        <w:t xml:space="preserve"> </w:t>
      </w:r>
    </w:p>
    <w:p w14:paraId="18D30A07" w14:textId="77777777" w:rsidR="00ED3B04" w:rsidRPr="00ED3B04" w:rsidRDefault="005935DB" w:rsidP="00943538">
      <w:pPr>
        <w:pStyle w:val="Heading1"/>
      </w:pPr>
      <w:r>
        <w:t>Significant Learning</w:t>
      </w:r>
    </w:p>
    <w:p w14:paraId="0FDA4889" w14:textId="1A62F927" w:rsidR="0054600D" w:rsidRDefault="0054600D" w:rsidP="0054600D">
      <w:pPr>
        <w:rPr>
          <w:shd w:val="clear" w:color="auto" w:fill="FFFFFF"/>
        </w:rPr>
      </w:pPr>
      <w:r>
        <w:rPr>
          <w:shd w:val="clear" w:color="auto" w:fill="FFFFFF"/>
        </w:rPr>
        <w:t>For this section</w:t>
      </w:r>
      <w:r w:rsidR="00C73719">
        <w:rPr>
          <w:shd w:val="clear" w:color="auto" w:fill="FFFFFF"/>
        </w:rPr>
        <w:t>,</w:t>
      </w:r>
      <w:r>
        <w:rPr>
          <w:shd w:val="clear" w:color="auto" w:fill="FFFFFF"/>
        </w:rPr>
        <w:t xml:space="preserve"> I have chosen to focus on </w:t>
      </w:r>
      <w:r w:rsidR="00C73719">
        <w:rPr>
          <w:shd w:val="clear" w:color="auto" w:fill="FFFFFF"/>
        </w:rPr>
        <w:t xml:space="preserve">the </w:t>
      </w:r>
      <w:r>
        <w:rPr>
          <w:shd w:val="clear" w:color="auto" w:fill="FFFFFF"/>
        </w:rPr>
        <w:t>key stages of the scholarship project. These demonstrate the decision-making processes behind the resources</w:t>
      </w:r>
      <w:r w:rsidR="00C73719">
        <w:rPr>
          <w:shd w:val="clear" w:color="auto" w:fill="FFFFFF"/>
        </w:rPr>
        <w:t xml:space="preserve"> and </w:t>
      </w:r>
      <w:r>
        <w:rPr>
          <w:shd w:val="clear" w:color="auto" w:fill="FFFFFF"/>
        </w:rPr>
        <w:t>the way best practices and stakeholder input was sought, considered</w:t>
      </w:r>
      <w:r w:rsidR="00C73719">
        <w:rPr>
          <w:shd w:val="clear" w:color="auto" w:fill="FFFFFF"/>
        </w:rPr>
        <w:t>,</w:t>
      </w:r>
      <w:r>
        <w:rPr>
          <w:shd w:val="clear" w:color="auto" w:fill="FFFFFF"/>
        </w:rPr>
        <w:t xml:space="preserve"> and incorporated. When I refer to ’we’ I am talking about the RBA’s Education Team and myself as we worked very closely on the revised focus (and I eventually became part of the Team too).</w:t>
      </w:r>
    </w:p>
    <w:p w14:paraId="148F6D72" w14:textId="04998043" w:rsidR="0054600D" w:rsidRPr="0054600D" w:rsidRDefault="0054600D" w:rsidP="0054600D">
      <w:pPr>
        <w:pStyle w:val="Heading3"/>
      </w:pPr>
      <w:r w:rsidRPr="0054600D">
        <w:t>Syllabus focus versus concepts focus</w:t>
      </w:r>
    </w:p>
    <w:p w14:paraId="60F1BCCD" w14:textId="006212CF" w:rsidR="0054600D" w:rsidRDefault="0054600D" w:rsidP="0054600D">
      <w:pPr>
        <w:rPr>
          <w:shd w:val="clear" w:color="auto" w:fill="FFFFFF"/>
        </w:rPr>
      </w:pPr>
      <w:r>
        <w:rPr>
          <w:shd w:val="clear" w:color="auto" w:fill="FFFFFF"/>
        </w:rPr>
        <w:t xml:space="preserve">At the start, </w:t>
      </w:r>
      <w:r w:rsidR="00C73719">
        <w:rPr>
          <w:shd w:val="clear" w:color="auto" w:fill="FFFFFF"/>
        </w:rPr>
        <w:t>we planned</w:t>
      </w:r>
      <w:r>
        <w:rPr>
          <w:shd w:val="clear" w:color="auto" w:fill="FFFFFF"/>
        </w:rPr>
        <w:t xml:space="preserve"> to develop resources that ticked off each syllabus point (known as ‘dot points’) that teachers were required to cover in the economics module.</w:t>
      </w:r>
      <w:r w:rsidRPr="00E5201B">
        <w:rPr>
          <w:shd w:val="clear" w:color="auto" w:fill="FFFFFF"/>
        </w:rPr>
        <w:t xml:space="preserve"> </w:t>
      </w:r>
      <w:r>
        <w:rPr>
          <w:shd w:val="clear" w:color="auto" w:fill="FFFFFF"/>
        </w:rPr>
        <w:t>This approach made sense in providing resources for NSW teachers and students.</w:t>
      </w:r>
    </w:p>
    <w:p w14:paraId="34E4F95D" w14:textId="65B15053" w:rsidR="0054600D" w:rsidRDefault="0054600D" w:rsidP="0054600D">
      <w:pPr>
        <w:rPr>
          <w:shd w:val="clear" w:color="auto" w:fill="FFFFFF"/>
        </w:rPr>
      </w:pPr>
      <w:r>
        <w:rPr>
          <w:shd w:val="clear" w:color="auto" w:fill="FFFFFF"/>
        </w:rPr>
        <w:t xml:space="preserve">Yet the RBA’s education program has a national focus. </w:t>
      </w:r>
      <w:r w:rsidR="00C73719">
        <w:rPr>
          <w:shd w:val="clear" w:color="auto" w:fill="FFFFFF"/>
        </w:rPr>
        <w:t>In</w:t>
      </w:r>
      <w:r>
        <w:rPr>
          <w:shd w:val="clear" w:color="auto" w:fill="FFFFFF"/>
        </w:rPr>
        <w:t xml:space="preserve"> talking to educators from other states, we found that the NSW syllabus dot points were similar but not identical to content in comparable courses around Australia. For example, </w:t>
      </w:r>
      <w:r w:rsidRPr="004201FD">
        <w:rPr>
          <w:shd w:val="clear" w:color="auto" w:fill="FFFFFF"/>
        </w:rPr>
        <w:t xml:space="preserve">the </w:t>
      </w:r>
      <w:r>
        <w:rPr>
          <w:shd w:val="clear" w:color="auto" w:fill="FFFFFF"/>
        </w:rPr>
        <w:t xml:space="preserve">economics module in the </w:t>
      </w:r>
      <w:r w:rsidRPr="004201FD">
        <w:rPr>
          <w:shd w:val="clear" w:color="auto" w:fill="FFFFFF"/>
        </w:rPr>
        <w:t xml:space="preserve">NSW curriculum requires </w:t>
      </w:r>
      <w:r>
        <w:rPr>
          <w:shd w:val="clear" w:color="auto" w:fill="FFFFFF"/>
        </w:rPr>
        <w:t>students to study</w:t>
      </w:r>
      <w:r w:rsidRPr="004201FD">
        <w:rPr>
          <w:shd w:val="clear" w:color="auto" w:fill="FFFFFF"/>
        </w:rPr>
        <w:t xml:space="preserve"> the five sector and business cycle models</w:t>
      </w:r>
      <w:r>
        <w:rPr>
          <w:shd w:val="clear" w:color="auto" w:fill="FFFFFF"/>
        </w:rPr>
        <w:t>; t</w:t>
      </w:r>
      <w:r w:rsidRPr="004201FD">
        <w:rPr>
          <w:shd w:val="clear" w:color="auto" w:fill="FFFFFF"/>
        </w:rPr>
        <w:t>he Australian Curriculum and Victorian Curriculum do not.</w:t>
      </w:r>
      <w:r>
        <w:rPr>
          <w:shd w:val="clear" w:color="auto" w:fill="FFFFFF"/>
        </w:rPr>
        <w:t xml:space="preserve"> </w:t>
      </w:r>
      <w:r w:rsidRPr="004201FD">
        <w:rPr>
          <w:shd w:val="clear" w:color="auto" w:fill="FFFFFF"/>
        </w:rPr>
        <w:t xml:space="preserve">The latter curricula cover elements of the </w:t>
      </w:r>
      <w:proofErr w:type="gramStart"/>
      <w:r w:rsidRPr="004201FD">
        <w:rPr>
          <w:shd w:val="clear" w:color="auto" w:fill="FFFFFF"/>
        </w:rPr>
        <w:t>model</w:t>
      </w:r>
      <w:proofErr w:type="gramEnd"/>
      <w:r w:rsidRPr="004201FD">
        <w:rPr>
          <w:shd w:val="clear" w:color="auto" w:fill="FFFFFF"/>
        </w:rPr>
        <w:t xml:space="preserve"> but students are not required to engage with the overall model </w:t>
      </w:r>
      <w:r>
        <w:rPr>
          <w:shd w:val="clear" w:color="auto" w:fill="FFFFFF"/>
        </w:rPr>
        <w:t>in the same way as in NSW</w:t>
      </w:r>
      <w:r w:rsidRPr="004201FD">
        <w:rPr>
          <w:shd w:val="clear" w:color="auto" w:fill="FFFFFF"/>
        </w:rPr>
        <w:t>.</w:t>
      </w:r>
    </w:p>
    <w:p w14:paraId="4F3F260C" w14:textId="6EA660FD" w:rsidR="0054600D" w:rsidRPr="003C34D0" w:rsidRDefault="00C73719" w:rsidP="0054600D">
      <w:pPr>
        <w:rPr>
          <w:shd w:val="clear" w:color="auto" w:fill="FFFFFF"/>
        </w:rPr>
      </w:pPr>
      <w:r>
        <w:rPr>
          <w:shd w:val="clear" w:color="auto" w:fill="FFFFFF"/>
        </w:rPr>
        <w:t>I</w:t>
      </w:r>
      <w:r w:rsidR="0054600D">
        <w:rPr>
          <w:shd w:val="clear" w:color="auto" w:fill="FFFFFF"/>
        </w:rPr>
        <w:t xml:space="preserve">n consultation with the RBA’s education stakeholders, including its Educators Advisory Panel (EAP), which is made up of </w:t>
      </w:r>
      <w:r>
        <w:rPr>
          <w:shd w:val="clear" w:color="auto" w:fill="FFFFFF"/>
        </w:rPr>
        <w:t>best-practice</w:t>
      </w:r>
      <w:r w:rsidR="0054600D">
        <w:rPr>
          <w:shd w:val="clear" w:color="auto" w:fill="FFFFFF"/>
        </w:rPr>
        <w:t xml:space="preserve"> economics educators and representatives of peak teaching bodies from around the country, we altered our approach. We went </w:t>
      </w:r>
      <w:r w:rsidR="0054600D" w:rsidRPr="0054600D">
        <w:rPr>
          <w:shd w:val="clear" w:color="auto" w:fill="FFFFFF"/>
        </w:rPr>
        <w:t>from</w:t>
      </w:r>
      <w:r w:rsidR="0054600D">
        <w:rPr>
          <w:shd w:val="clear" w:color="auto" w:fill="FFFFFF"/>
        </w:rPr>
        <w:t xml:space="preserve"> designing resources that addressed dot points </w:t>
      </w:r>
      <w:r w:rsidR="0054600D" w:rsidRPr="0054600D">
        <w:rPr>
          <w:shd w:val="clear" w:color="auto" w:fill="FFFFFF"/>
        </w:rPr>
        <w:t>to</w:t>
      </w:r>
      <w:r w:rsidR="0054600D">
        <w:rPr>
          <w:shd w:val="clear" w:color="auto" w:fill="FFFFFF"/>
        </w:rPr>
        <w:t xml:space="preserve"> designing materials that focused on foundational economic concepts that arose in syllabi nationwide (and that had strong links back to the NSW syllabus). Essentially, we sought to expand the relevance of the resources to a broader range of educators. </w:t>
      </w:r>
      <w:r>
        <w:rPr>
          <w:shd w:val="clear" w:color="auto" w:fill="FFFFFF"/>
        </w:rPr>
        <w:t>W</w:t>
      </w:r>
      <w:r w:rsidR="0054600D" w:rsidRPr="003C34D0">
        <w:rPr>
          <w:shd w:val="clear" w:color="auto" w:fill="FFFFFF"/>
        </w:rPr>
        <w:t>e would support teachers in each state by maintaining a ‘running document’ that would indicate where in the respective state curricula the new PAE resources could be used.</w:t>
      </w:r>
      <w:r w:rsidR="0054600D">
        <w:rPr>
          <w:shd w:val="clear" w:color="auto" w:fill="FFFFFF"/>
        </w:rPr>
        <w:t xml:space="preserve"> Everything would be accessible from the RBA’s website.</w:t>
      </w:r>
    </w:p>
    <w:p w14:paraId="44A37C37" w14:textId="1829295D" w:rsidR="0054600D" w:rsidRDefault="0054600D" w:rsidP="0054600D">
      <w:pPr>
        <w:rPr>
          <w:shd w:val="clear" w:color="auto" w:fill="FFFFFF"/>
        </w:rPr>
      </w:pPr>
      <w:r>
        <w:rPr>
          <w:shd w:val="clear" w:color="auto" w:fill="FFFFFF"/>
        </w:rPr>
        <w:t>This was also a highly pragmatic</w:t>
      </w:r>
      <w:r w:rsidRPr="002F504E">
        <w:rPr>
          <w:shd w:val="clear" w:color="auto" w:fill="FFFFFF"/>
        </w:rPr>
        <w:t xml:space="preserve"> approach. </w:t>
      </w:r>
      <w:r>
        <w:rPr>
          <w:shd w:val="clear" w:color="auto" w:fill="FFFFFF"/>
        </w:rPr>
        <w:t xml:space="preserve">Curricula are subject to regular review; as such, the specific dot points can change </w:t>
      </w:r>
      <w:r w:rsidR="00C73719">
        <w:rPr>
          <w:shd w:val="clear" w:color="auto" w:fill="FFFFFF"/>
        </w:rPr>
        <w:t>regularly</w:t>
      </w:r>
      <w:r>
        <w:rPr>
          <w:shd w:val="clear" w:color="auto" w:fill="FFFFFF"/>
        </w:rPr>
        <w:t xml:space="preserve">. However, the fundamental economic concepts that underpin these curricula have remained consistent for some time. </w:t>
      </w:r>
      <w:proofErr w:type="gramStart"/>
      <w:r>
        <w:rPr>
          <w:shd w:val="clear" w:color="auto" w:fill="FFFFFF"/>
        </w:rPr>
        <w:t>If and when</w:t>
      </w:r>
      <w:proofErr w:type="gramEnd"/>
      <w:r>
        <w:rPr>
          <w:shd w:val="clear" w:color="auto" w:fill="FFFFFF"/>
        </w:rPr>
        <w:t xml:space="preserve"> curricula</w:t>
      </w:r>
      <w:r w:rsidRPr="002F504E">
        <w:rPr>
          <w:shd w:val="clear" w:color="auto" w:fill="FFFFFF"/>
        </w:rPr>
        <w:t xml:space="preserve"> </w:t>
      </w:r>
      <w:r w:rsidR="00C73719">
        <w:rPr>
          <w:shd w:val="clear" w:color="auto" w:fill="FFFFFF"/>
        </w:rPr>
        <w:t>change</w:t>
      </w:r>
      <w:r w:rsidRPr="002F504E">
        <w:rPr>
          <w:shd w:val="clear" w:color="auto" w:fill="FFFFFF"/>
        </w:rPr>
        <w:t xml:space="preserve">, we could adjust </w:t>
      </w:r>
      <w:r>
        <w:rPr>
          <w:shd w:val="clear" w:color="auto" w:fill="FFFFFF"/>
        </w:rPr>
        <w:t xml:space="preserve">our instructions on how teachers should apply the material – </w:t>
      </w:r>
      <w:r w:rsidRPr="002F504E">
        <w:rPr>
          <w:shd w:val="clear" w:color="auto" w:fill="FFFFFF"/>
        </w:rPr>
        <w:t>an easier task than continually revising the underlying resources.</w:t>
      </w:r>
    </w:p>
    <w:p w14:paraId="1E9BB63D" w14:textId="5BFDC88E" w:rsidR="0054600D" w:rsidRPr="0054600D" w:rsidRDefault="0054600D" w:rsidP="0054600D">
      <w:pPr>
        <w:pStyle w:val="Heading3"/>
      </w:pPr>
      <w:r w:rsidRPr="0054600D">
        <w:lastRenderedPageBreak/>
        <w:t>Deciding on the economic concepts</w:t>
      </w:r>
    </w:p>
    <w:p w14:paraId="2F77A83F" w14:textId="77777777" w:rsidR="0054600D" w:rsidRDefault="0054600D" w:rsidP="0054600D">
      <w:pPr>
        <w:rPr>
          <w:shd w:val="clear" w:color="auto" w:fill="FFFFFF"/>
        </w:rPr>
      </w:pPr>
      <w:proofErr w:type="gramStart"/>
      <w:r>
        <w:rPr>
          <w:shd w:val="clear" w:color="auto" w:fill="FFFFFF"/>
        </w:rPr>
        <w:t>So</w:t>
      </w:r>
      <w:proofErr w:type="gramEnd"/>
      <w:r>
        <w:rPr>
          <w:shd w:val="clear" w:color="auto" w:fill="FFFFFF"/>
        </w:rPr>
        <w:t xml:space="preserve"> if we were going to focus on economic concepts, which ones</w:t>
      </w:r>
      <w:r w:rsidRPr="003C34D0">
        <w:rPr>
          <w:shd w:val="clear" w:color="auto" w:fill="FFFFFF"/>
        </w:rPr>
        <w:t xml:space="preserve"> should we include? </w:t>
      </w:r>
    </w:p>
    <w:p w14:paraId="1C7E46E4" w14:textId="77777777" w:rsidR="0054600D" w:rsidRDefault="0054600D" w:rsidP="0054600D">
      <w:pPr>
        <w:rPr>
          <w:shd w:val="clear" w:color="auto" w:fill="FFFFFF"/>
        </w:rPr>
      </w:pPr>
      <w:r>
        <w:rPr>
          <w:shd w:val="clear" w:color="auto" w:fill="FFFFFF"/>
        </w:rPr>
        <w:t xml:space="preserve">This was an open question and the source of much discussion between </w:t>
      </w:r>
      <w:proofErr w:type="gramStart"/>
      <w:r>
        <w:rPr>
          <w:shd w:val="clear" w:color="auto" w:fill="FFFFFF"/>
        </w:rPr>
        <w:t>myself</w:t>
      </w:r>
      <w:proofErr w:type="gramEnd"/>
      <w:r>
        <w:rPr>
          <w:shd w:val="clear" w:color="auto" w:fill="FFFFFF"/>
        </w:rPr>
        <w:t>, the RBA and members of the EAP. We initially reversed-engineered the process and thought about the kind of concepts a student should have been introduced to before commencing senior Economics. But this was a very broad way of pinning the concepts down.</w:t>
      </w:r>
    </w:p>
    <w:p w14:paraId="6F4D66EB" w14:textId="5ADD2607" w:rsidR="0054600D" w:rsidRDefault="0054600D" w:rsidP="0054600D">
      <w:pPr>
        <w:rPr>
          <w:shd w:val="clear" w:color="auto" w:fill="FFFFFF"/>
        </w:rPr>
      </w:pPr>
      <w:r>
        <w:rPr>
          <w:shd w:val="clear" w:color="auto" w:fill="FFFFFF"/>
        </w:rPr>
        <w:t xml:space="preserve">A more fruitful approach was to link the identification of economic concepts to the work being concurrently done by the RBA’s Education team on the concept of economic literacy. This is best explained by the December 2022 Bulletin article by Madeline </w:t>
      </w:r>
      <w:proofErr w:type="spellStart"/>
      <w:r>
        <w:rPr>
          <w:shd w:val="clear" w:color="auto" w:fill="FFFFFF"/>
        </w:rPr>
        <w:t>McCowage</w:t>
      </w:r>
      <w:proofErr w:type="spellEnd"/>
      <w:r>
        <w:rPr>
          <w:shd w:val="clear" w:color="auto" w:fill="FFFFFF"/>
        </w:rPr>
        <w:t xml:space="preserve"> and Jacqui Dwyer,</w:t>
      </w:r>
      <w:r w:rsidR="00C73719">
        <w:rPr>
          <w:shd w:val="clear" w:color="auto" w:fill="FFFFFF"/>
        </w:rPr>
        <w:t xml:space="preserve"> ‘</w:t>
      </w:r>
      <w:hyperlink r:id="rId12" w:tooltip="December 2022 Bulletin artical on Economic Literacy" w:history="1">
        <w:r w:rsidR="00C73719" w:rsidRPr="00C73719">
          <w:rPr>
            <w:rStyle w:val="Hyperlink"/>
            <w:shd w:val="clear" w:color="auto" w:fill="FFFFFF"/>
          </w:rPr>
          <w:t>Economic Literacy: What Is It and Why Is It Important?</w:t>
        </w:r>
      </w:hyperlink>
      <w:r w:rsidR="00C73719">
        <w:rPr>
          <w:shd w:val="clear" w:color="auto" w:fill="FFFFFF"/>
        </w:rPr>
        <w:t>’.</w:t>
      </w:r>
      <w:r>
        <w:rPr>
          <w:shd w:val="clear" w:color="auto" w:fill="FFFFFF"/>
        </w:rPr>
        <w:t xml:space="preserve"> In this paper, the authors created a working definition of economic literacy and the topics and principles that, if understood, would go towards making someone economically literate. </w:t>
      </w:r>
      <w:r w:rsidR="00C73719">
        <w:rPr>
          <w:shd w:val="clear" w:color="auto" w:fill="FFFFFF"/>
        </w:rPr>
        <w:t xml:space="preserve">Below is an excerpt from the RBA article on economic literacy </w:t>
      </w:r>
    </w:p>
    <w:p w14:paraId="4455AF34" w14:textId="77777777" w:rsidR="00C73719" w:rsidRPr="00C73719" w:rsidRDefault="00C73719" w:rsidP="00C73719">
      <w:pPr>
        <w:pStyle w:val="Quote"/>
        <w:rPr>
          <w:b/>
          <w:bCs/>
          <w:shd w:val="clear" w:color="auto" w:fill="FFFFFF"/>
        </w:rPr>
      </w:pPr>
      <w:r w:rsidRPr="00C73719">
        <w:rPr>
          <w:b/>
          <w:bCs/>
          <w:shd w:val="clear" w:color="auto" w:fill="FFFFFF"/>
        </w:rPr>
        <w:t>Proposed working definition of economic literacy</w:t>
      </w:r>
    </w:p>
    <w:p w14:paraId="312A4228" w14:textId="77777777" w:rsidR="00C73719" w:rsidRDefault="00C73719" w:rsidP="00C73719">
      <w:pPr>
        <w:pStyle w:val="Quote"/>
        <w:spacing w:after="120"/>
        <w:contextualSpacing w:val="0"/>
        <w:rPr>
          <w:shd w:val="clear" w:color="auto" w:fill="FFFFFF"/>
        </w:rPr>
      </w:pPr>
      <w:r w:rsidRPr="00316AC7">
        <w:rPr>
          <w:shd w:val="clear" w:color="auto" w:fill="FFFFFF"/>
        </w:rPr>
        <w:t>Someone attains economic literacy if, years after they have been taught, they can apply the four essential principles of economics in situations relevant to their lives and different from those encountered in the classroom. They will use these principles as the basis of economic analysis and decision-making, and they will understand the basic aspects of seven core economic topics that explain the economic system in which they participate.</w:t>
      </w:r>
    </w:p>
    <w:p w14:paraId="7F217A85" w14:textId="29364A58" w:rsidR="00C73719" w:rsidRPr="00C73719" w:rsidRDefault="00C73719" w:rsidP="00C73719">
      <w:pPr>
        <w:pStyle w:val="Quote"/>
        <w:spacing w:after="120"/>
        <w:contextualSpacing w:val="0"/>
      </w:pPr>
      <w:r w:rsidRPr="00316AC7">
        <w:rPr>
          <w:shd w:val="clear" w:color="auto" w:fill="FFFFFF"/>
        </w:rPr>
        <w:t>The four essential principles of economics are: the cost-benefit principle; the opportunity cost principle; the marginal principle; and the interdependence principle.</w:t>
      </w:r>
    </w:p>
    <w:p w14:paraId="3C765ACE" w14:textId="77777777" w:rsidR="00C73719" w:rsidRDefault="00C73719" w:rsidP="00C73719">
      <w:pPr>
        <w:pStyle w:val="Quote"/>
        <w:spacing w:after="120"/>
        <w:contextualSpacing w:val="0"/>
        <w:rPr>
          <w:shd w:val="clear" w:color="auto" w:fill="FFFFFF"/>
        </w:rPr>
      </w:pPr>
      <w:r w:rsidRPr="00316AC7">
        <w:rPr>
          <w:shd w:val="clear" w:color="auto" w:fill="FFFFFF"/>
        </w:rPr>
        <w:t>The seven core topics of economics are: scarcity; economic behaviour; the ways in which goods and services are allocated; the structure and operation of markets; the use of factors of production; core macroeconomic variables and features of a business cycle; and the role of government and economic institutions in influencing economic outcomes.</w:t>
      </w:r>
    </w:p>
    <w:p w14:paraId="6E073D6E" w14:textId="2823E1B3" w:rsidR="0054600D" w:rsidRDefault="00C73719" w:rsidP="00C73719">
      <w:pPr>
        <w:pStyle w:val="Quote"/>
        <w:rPr>
          <w:shd w:val="clear" w:color="auto" w:fill="FFFFFF"/>
        </w:rPr>
      </w:pPr>
      <w:r>
        <w:rPr>
          <w:shd w:val="clear" w:color="auto" w:fill="FFFFFF"/>
        </w:rPr>
        <w:t>(</w:t>
      </w:r>
      <w:proofErr w:type="spellStart"/>
      <w:r>
        <w:rPr>
          <w:shd w:val="clear" w:color="auto" w:fill="FFFFFF"/>
        </w:rPr>
        <w:t>McCowage</w:t>
      </w:r>
      <w:proofErr w:type="spellEnd"/>
      <w:r>
        <w:rPr>
          <w:shd w:val="clear" w:color="auto" w:fill="FFFFFF"/>
        </w:rPr>
        <w:t xml:space="preserve"> and Dwyer, 2022)</w:t>
      </w:r>
    </w:p>
    <w:p w14:paraId="6F4D0FFD" w14:textId="534DBEAF" w:rsidR="00C73719" w:rsidRDefault="00C73719" w:rsidP="00C73719">
      <w:pPr>
        <w:rPr>
          <w:shd w:val="clear" w:color="auto" w:fill="FFFFFF"/>
        </w:rPr>
      </w:pPr>
      <w:r>
        <w:rPr>
          <w:shd w:val="clear" w:color="auto" w:fill="FFFFFF"/>
        </w:rPr>
        <w:t xml:space="preserve">We used these core topics as the key concepts to be addressed. The principles would also be touched on, where relevant, in particular resources. This strategy would also ensure that the new resources would cover </w:t>
      </w:r>
      <w:proofErr w:type="gramStart"/>
      <w:r>
        <w:rPr>
          <w:shd w:val="clear" w:color="auto" w:fill="FFFFFF"/>
        </w:rPr>
        <w:t>the majority of</w:t>
      </w:r>
      <w:proofErr w:type="gramEnd"/>
      <w:r>
        <w:rPr>
          <w:shd w:val="clear" w:color="auto" w:fill="FFFFFF"/>
        </w:rPr>
        <w:t xml:space="preserve"> economics content in the NSW Commerce syllabus. From there, we created topics for an initial set of resources:</w:t>
      </w:r>
    </w:p>
    <w:p w14:paraId="7F50FEB6" w14:textId="0B536329" w:rsidR="00C73719" w:rsidRPr="00C73719" w:rsidRDefault="00C73719" w:rsidP="00C73719">
      <w:pPr>
        <w:pStyle w:val="ListParagraph"/>
        <w:numPr>
          <w:ilvl w:val="0"/>
          <w:numId w:val="27"/>
        </w:numPr>
        <w:ind w:left="511" w:hanging="284"/>
      </w:pPr>
      <w:r w:rsidRPr="00C73719">
        <w:t>The economic problem</w:t>
      </w:r>
      <w:r>
        <w:t xml:space="preserve">: </w:t>
      </w:r>
      <w:r w:rsidRPr="00C73719">
        <w:t>incorporating scarcity and decision making</w:t>
      </w:r>
    </w:p>
    <w:p w14:paraId="39585F39" w14:textId="67A7E6BF" w:rsidR="00C73719" w:rsidRPr="00C73719" w:rsidRDefault="00C73719" w:rsidP="00B42AB2">
      <w:pPr>
        <w:pStyle w:val="ListParagraph"/>
        <w:numPr>
          <w:ilvl w:val="0"/>
          <w:numId w:val="27"/>
        </w:numPr>
        <w:ind w:left="511" w:hanging="284"/>
      </w:pPr>
      <w:r w:rsidRPr="00C73719">
        <w:t>Choices</w:t>
      </w:r>
      <w:r>
        <w:t xml:space="preserve">: </w:t>
      </w:r>
      <w:r w:rsidRPr="00C73719">
        <w:t xml:space="preserve">examining the factors underlying </w:t>
      </w:r>
      <w:r>
        <w:t>decision-making</w:t>
      </w:r>
      <w:r w:rsidRPr="00C73719">
        <w:t xml:space="preserve"> for individuals, firms</w:t>
      </w:r>
      <w:r>
        <w:t>,</w:t>
      </w:r>
      <w:r w:rsidRPr="00C73719">
        <w:t xml:space="preserve"> and governments</w:t>
      </w:r>
    </w:p>
    <w:p w14:paraId="441F5936" w14:textId="184BFB14" w:rsidR="00C73719" w:rsidRPr="00C73719" w:rsidRDefault="00C73719" w:rsidP="003B4CE3">
      <w:pPr>
        <w:pStyle w:val="ListParagraph"/>
        <w:numPr>
          <w:ilvl w:val="0"/>
          <w:numId w:val="27"/>
        </w:numPr>
        <w:ind w:left="511" w:hanging="284"/>
      </w:pPr>
      <w:r w:rsidRPr="00C73719">
        <w:t>Opportunity cost and the production possibilities frontier</w:t>
      </w:r>
      <w:r>
        <w:t xml:space="preserve">: </w:t>
      </w:r>
      <w:r w:rsidRPr="00C73719">
        <w:t>addressing a principle that has a close connection to course content</w:t>
      </w:r>
    </w:p>
    <w:p w14:paraId="18080EB4" w14:textId="2EA6A65F" w:rsidR="00C73719" w:rsidRPr="00C73719" w:rsidRDefault="00C73719" w:rsidP="00C73719">
      <w:pPr>
        <w:pStyle w:val="ListParagraph"/>
        <w:numPr>
          <w:ilvl w:val="0"/>
          <w:numId w:val="27"/>
        </w:numPr>
        <w:ind w:left="511" w:hanging="284"/>
      </w:pPr>
      <w:r w:rsidRPr="00C73719">
        <w:t>The economic questions</w:t>
      </w:r>
      <w:r>
        <w:t xml:space="preserve">: </w:t>
      </w:r>
      <w:r w:rsidRPr="00C73719">
        <w:t>addressing the key questions of</w:t>
      </w:r>
    </w:p>
    <w:p w14:paraId="0828BC34" w14:textId="77777777" w:rsidR="00C73719" w:rsidRPr="00C73719" w:rsidRDefault="00C73719" w:rsidP="00C73719">
      <w:pPr>
        <w:pStyle w:val="ListParagraph"/>
        <w:numPr>
          <w:ilvl w:val="1"/>
          <w:numId w:val="27"/>
        </w:numPr>
      </w:pPr>
      <w:r w:rsidRPr="00C73719">
        <w:t>What to produce</w:t>
      </w:r>
    </w:p>
    <w:p w14:paraId="1DC8D2D6" w14:textId="77777777" w:rsidR="00C73719" w:rsidRPr="00C73719" w:rsidRDefault="00C73719" w:rsidP="00C73719">
      <w:pPr>
        <w:pStyle w:val="ListParagraph"/>
        <w:numPr>
          <w:ilvl w:val="1"/>
          <w:numId w:val="27"/>
        </w:numPr>
      </w:pPr>
      <w:r w:rsidRPr="00C73719">
        <w:t>How to produce</w:t>
      </w:r>
    </w:p>
    <w:p w14:paraId="3C4D1B35" w14:textId="77777777" w:rsidR="00C73719" w:rsidRPr="00C73719" w:rsidRDefault="00C73719" w:rsidP="00C73719">
      <w:pPr>
        <w:pStyle w:val="ListParagraph"/>
        <w:numPr>
          <w:ilvl w:val="1"/>
          <w:numId w:val="27"/>
        </w:numPr>
      </w:pPr>
      <w:r w:rsidRPr="00C73719">
        <w:t>How much to produce</w:t>
      </w:r>
    </w:p>
    <w:p w14:paraId="75199452" w14:textId="77777777" w:rsidR="00C73719" w:rsidRPr="00C73719" w:rsidRDefault="00C73719" w:rsidP="00C73719">
      <w:pPr>
        <w:pStyle w:val="ListParagraph"/>
        <w:numPr>
          <w:ilvl w:val="1"/>
          <w:numId w:val="27"/>
        </w:numPr>
      </w:pPr>
      <w:r w:rsidRPr="00C73719">
        <w:t>How to distribute production</w:t>
      </w:r>
    </w:p>
    <w:p w14:paraId="715C0659" w14:textId="77777777" w:rsidR="00C73719" w:rsidRPr="00C73719" w:rsidRDefault="00C73719" w:rsidP="00C73719">
      <w:pPr>
        <w:pStyle w:val="ListParagraph"/>
        <w:numPr>
          <w:ilvl w:val="0"/>
          <w:numId w:val="27"/>
        </w:numPr>
        <w:ind w:left="511" w:hanging="284"/>
      </w:pPr>
      <w:r w:rsidRPr="00C73719">
        <w:t>Resources/The factors of production</w:t>
      </w:r>
    </w:p>
    <w:p w14:paraId="50E51939" w14:textId="1BED09A2" w:rsidR="0054600D" w:rsidRPr="00C73719" w:rsidRDefault="00C73719" w:rsidP="00C73719">
      <w:pPr>
        <w:pStyle w:val="Heading3"/>
      </w:pPr>
      <w:r w:rsidRPr="00C73719">
        <w:lastRenderedPageBreak/>
        <w:t>Developing high-quality resources</w:t>
      </w:r>
    </w:p>
    <w:p w14:paraId="52500AE2" w14:textId="77777777" w:rsidR="00C73719" w:rsidRDefault="00C73719" w:rsidP="00C73719">
      <w:pPr>
        <w:rPr>
          <w:shd w:val="clear" w:color="auto" w:fill="FFFFFF"/>
        </w:rPr>
      </w:pPr>
      <w:r>
        <w:rPr>
          <w:shd w:val="clear" w:color="auto" w:fill="FFFFFF"/>
        </w:rPr>
        <w:t>Another part of the scholarship project involved conducting research into the elements of high-quality teaching resources. This was a key step to benchmark the finished products, and ensure they were fit for purpose and effective when deployed in the classroom.</w:t>
      </w:r>
    </w:p>
    <w:p w14:paraId="63BE6ADF" w14:textId="77777777" w:rsidR="00C73719" w:rsidRDefault="00C73719" w:rsidP="00C73719">
      <w:pPr>
        <w:rPr>
          <w:shd w:val="clear" w:color="auto" w:fill="FFFFFF"/>
        </w:rPr>
      </w:pPr>
      <w:r>
        <w:rPr>
          <w:shd w:val="clear" w:color="auto" w:fill="FFFFFF"/>
        </w:rPr>
        <w:t xml:space="preserve">I found that there were </w:t>
      </w:r>
      <w:r w:rsidRPr="00447480">
        <w:rPr>
          <w:shd w:val="clear" w:color="auto" w:fill="FFFFFF"/>
        </w:rPr>
        <w:t>no globally accepted standard</w:t>
      </w:r>
      <w:r>
        <w:rPr>
          <w:shd w:val="clear" w:color="auto" w:fill="FFFFFF"/>
        </w:rPr>
        <w:t>s</w:t>
      </w:r>
      <w:r w:rsidRPr="00447480">
        <w:rPr>
          <w:shd w:val="clear" w:color="auto" w:fill="FFFFFF"/>
        </w:rPr>
        <w:t xml:space="preserve"> for </w:t>
      </w:r>
      <w:r>
        <w:rPr>
          <w:shd w:val="clear" w:color="auto" w:fill="FFFFFF"/>
        </w:rPr>
        <w:t>q</w:t>
      </w:r>
      <w:r w:rsidRPr="00447480">
        <w:rPr>
          <w:shd w:val="clear" w:color="auto" w:fill="FFFFFF"/>
        </w:rPr>
        <w:t>uality classroom resource</w:t>
      </w:r>
      <w:r>
        <w:rPr>
          <w:shd w:val="clear" w:color="auto" w:fill="FFFFFF"/>
        </w:rPr>
        <w:t>s</w:t>
      </w:r>
      <w:r w:rsidRPr="00447480">
        <w:rPr>
          <w:shd w:val="clear" w:color="auto" w:fill="FFFFFF"/>
        </w:rPr>
        <w:t xml:space="preserve">. Teachers in the literature </w:t>
      </w:r>
      <w:r>
        <w:rPr>
          <w:shd w:val="clear" w:color="auto" w:fill="FFFFFF"/>
        </w:rPr>
        <w:t>discussed</w:t>
      </w:r>
      <w:r w:rsidRPr="00447480">
        <w:rPr>
          <w:shd w:val="clear" w:color="auto" w:fill="FFFFFF"/>
        </w:rPr>
        <w:t xml:space="preserve"> the lack of common standard</w:t>
      </w:r>
      <w:r>
        <w:rPr>
          <w:shd w:val="clear" w:color="auto" w:fill="FFFFFF"/>
        </w:rPr>
        <w:t>s</w:t>
      </w:r>
      <w:r w:rsidRPr="00447480">
        <w:rPr>
          <w:shd w:val="clear" w:color="auto" w:fill="FFFFFF"/>
        </w:rPr>
        <w:t xml:space="preserve"> to evaluate resource quality. As a result, individual teachers and organisations </w:t>
      </w:r>
      <w:r>
        <w:rPr>
          <w:shd w:val="clear" w:color="auto" w:fill="FFFFFF"/>
        </w:rPr>
        <w:t xml:space="preserve">tended to </w:t>
      </w:r>
      <w:r w:rsidRPr="00447480">
        <w:rPr>
          <w:shd w:val="clear" w:color="auto" w:fill="FFFFFF"/>
        </w:rPr>
        <w:t xml:space="preserve">develop their own heuristics, and while these may have commonalties, they </w:t>
      </w:r>
      <w:r>
        <w:rPr>
          <w:shd w:val="clear" w:color="auto" w:fill="FFFFFF"/>
        </w:rPr>
        <w:t>we</w:t>
      </w:r>
      <w:r w:rsidRPr="00447480">
        <w:rPr>
          <w:shd w:val="clear" w:color="auto" w:fill="FFFFFF"/>
        </w:rPr>
        <w:t>re not applied consistently across the education sector (Bugler et al 2017).</w:t>
      </w:r>
    </w:p>
    <w:p w14:paraId="1B16E6FF" w14:textId="77777777" w:rsidR="00C73719" w:rsidRPr="00F82CE9" w:rsidRDefault="00C73719" w:rsidP="00C73719">
      <w:pPr>
        <w:rPr>
          <w:shd w:val="clear" w:color="auto" w:fill="FFFFFF"/>
        </w:rPr>
      </w:pPr>
      <w:r w:rsidRPr="00C73719">
        <w:rPr>
          <w:shd w:val="clear" w:color="auto" w:fill="FFFFFF"/>
        </w:rPr>
        <w:t xml:space="preserve">As part of my </w:t>
      </w:r>
      <w:proofErr w:type="gramStart"/>
      <w:r w:rsidRPr="00C73719">
        <w:rPr>
          <w:shd w:val="clear" w:color="auto" w:fill="FFFFFF"/>
        </w:rPr>
        <w:t>research</w:t>
      </w:r>
      <w:proofErr w:type="gramEnd"/>
      <w:r w:rsidRPr="00C73719">
        <w:rPr>
          <w:shd w:val="clear" w:color="auto" w:fill="FFFFFF"/>
        </w:rPr>
        <w:t xml:space="preserve"> I identified common elements of classroom resources valued by teachers. From there, I reflected on my practice of creating resources and drew out the elements that helped improve student outcomes. This was a not definitive nor objective process; however, it provided a basis to establish a framework for ‘quality’ based on research and practice (see Table 1). </w:t>
      </w:r>
      <w:r>
        <w:rPr>
          <w:shd w:val="clear" w:color="auto" w:fill="FFFFFF"/>
        </w:rPr>
        <w:t>These features would be incorporated into the resources and could be pointed to as part of a ‘quality assurance’ step for teachers.</w:t>
      </w:r>
    </w:p>
    <w:p w14:paraId="2C2424E6" w14:textId="70FEB836" w:rsidR="00C73719" w:rsidRPr="00447480" w:rsidRDefault="00C73719" w:rsidP="0033281D">
      <w:pPr>
        <w:pStyle w:val="Caption"/>
      </w:pPr>
      <w:r w:rsidRPr="0033281D">
        <w:t>Table 1: Consolidated key features of ‘quality’ classroom resources</w:t>
      </w:r>
      <w:r w:rsidR="001E233A">
        <w:t xml:space="preserve"> </w:t>
      </w:r>
      <w:r w:rsidR="001E233A" w:rsidRPr="0033281D">
        <w:t>(need a different font etc and references from below?)</w:t>
      </w:r>
    </w:p>
    <w:tbl>
      <w:tblPr>
        <w:tblStyle w:val="ListTable2-Accent5"/>
        <w:tblW w:w="9493" w:type="dxa"/>
        <w:tblLook w:val="04A0" w:firstRow="1" w:lastRow="0" w:firstColumn="1" w:lastColumn="0" w:noHBand="0" w:noVBand="1"/>
      </w:tblPr>
      <w:tblGrid>
        <w:gridCol w:w="2259"/>
        <w:gridCol w:w="7234"/>
      </w:tblGrid>
      <w:tr w:rsidR="00C73719" w:rsidRPr="00C73719" w14:paraId="4B494840" w14:textId="77777777" w:rsidTr="001E2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tcPr>
          <w:p w14:paraId="01A84315" w14:textId="77777777" w:rsidR="00C73719" w:rsidRPr="00C73719" w:rsidRDefault="00C73719" w:rsidP="00C73719">
            <w:pPr>
              <w:pBdr>
                <w:top w:val="none" w:sz="0" w:space="0" w:color="auto"/>
                <w:left w:val="none" w:sz="0" w:space="0" w:color="auto"/>
                <w:bottom w:val="none" w:sz="0" w:space="0" w:color="auto"/>
                <w:right w:val="none" w:sz="0" w:space="0" w:color="auto"/>
                <w:between w:val="none" w:sz="0" w:space="0" w:color="auto"/>
              </w:pBdr>
              <w:spacing w:before="120" w:after="120"/>
              <w:rPr>
                <w:rFonts w:cs="Arial"/>
                <w:szCs w:val="22"/>
                <w:shd w:val="clear" w:color="auto" w:fill="FFFFFF"/>
              </w:rPr>
            </w:pPr>
            <w:r w:rsidRPr="00C73719">
              <w:rPr>
                <w:rFonts w:cs="Arial"/>
                <w:szCs w:val="22"/>
                <w:shd w:val="clear" w:color="auto" w:fill="FFFFFF"/>
              </w:rPr>
              <w:t>Key features</w:t>
            </w:r>
          </w:p>
        </w:tc>
        <w:tc>
          <w:tcPr>
            <w:tcW w:w="7310" w:type="dxa"/>
          </w:tcPr>
          <w:p w14:paraId="2F222099" w14:textId="77777777" w:rsidR="00C73719" w:rsidRPr="00C73719" w:rsidRDefault="00C73719" w:rsidP="00C73719">
            <w:pPr>
              <w:pBdr>
                <w:top w:val="none" w:sz="0" w:space="0" w:color="auto"/>
                <w:left w:val="none" w:sz="0" w:space="0" w:color="auto"/>
                <w:bottom w:val="none" w:sz="0" w:space="0" w:color="auto"/>
                <w:right w:val="none" w:sz="0" w:space="0" w:color="auto"/>
                <w:between w:val="none" w:sz="0" w:space="0" w:color="auto"/>
              </w:pBdr>
              <w:spacing w:before="120" w:after="120"/>
              <w:cnfStyle w:val="100000000000" w:firstRow="1" w:lastRow="0" w:firstColumn="0" w:lastColumn="0" w:oddVBand="0" w:evenVBand="0" w:oddHBand="0" w:evenHBand="0" w:firstRowFirstColumn="0" w:firstRowLastColumn="0" w:lastRowFirstColumn="0" w:lastRowLastColumn="0"/>
              <w:rPr>
                <w:rFonts w:cs="Arial"/>
                <w:szCs w:val="22"/>
                <w:shd w:val="clear" w:color="auto" w:fill="FFFFFF"/>
              </w:rPr>
            </w:pPr>
            <w:r w:rsidRPr="00C73719">
              <w:rPr>
                <w:rFonts w:cs="Arial"/>
                <w:szCs w:val="22"/>
                <w:shd w:val="clear" w:color="auto" w:fill="FFFFFF"/>
              </w:rPr>
              <w:t>Summary</w:t>
            </w:r>
          </w:p>
        </w:tc>
      </w:tr>
      <w:tr w:rsidR="00C73719" w:rsidRPr="00C73719" w14:paraId="211F1A8D" w14:textId="77777777" w:rsidTr="001E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tcPr>
          <w:p w14:paraId="5565AD35" w14:textId="77777777" w:rsidR="00C73719" w:rsidRPr="001E233A" w:rsidRDefault="00C73719" w:rsidP="00384FE0">
            <w:pPr>
              <w:pStyle w:val="BodyText"/>
              <w:jc w:val="left"/>
              <w:rPr>
                <w:rFonts w:ascii="Arial" w:hAnsi="Arial" w:cs="Arial"/>
                <w:b w:val="0"/>
                <w:bCs w:val="0"/>
              </w:rPr>
            </w:pPr>
            <w:r w:rsidRPr="001E233A">
              <w:rPr>
                <w:rFonts w:ascii="Arial" w:hAnsi="Arial" w:cs="Arial"/>
                <w:b w:val="0"/>
                <w:bCs w:val="0"/>
              </w:rPr>
              <w:t>1. Aligns to standards</w:t>
            </w:r>
          </w:p>
        </w:tc>
        <w:tc>
          <w:tcPr>
            <w:tcW w:w="7310" w:type="dxa"/>
          </w:tcPr>
          <w:p w14:paraId="38B2A644" w14:textId="77777777" w:rsidR="00C73719" w:rsidRPr="00C73719" w:rsidRDefault="00C73719" w:rsidP="00384FE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C73719">
              <w:rPr>
                <w:rFonts w:ascii="Arial" w:hAnsi="Arial" w:cs="Arial"/>
              </w:rPr>
              <w:t>Resources with clear links to standards or curriculum points can help teachers understand where the resource fits in their curriculum planning/units of work (and increase their take-up of the material).</w:t>
            </w:r>
          </w:p>
          <w:p w14:paraId="38A15AA4" w14:textId="77777777" w:rsidR="00C73719" w:rsidRPr="00C73719" w:rsidRDefault="00C73719" w:rsidP="00384FE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C73719">
              <w:rPr>
                <w:rFonts w:ascii="Arial" w:hAnsi="Arial" w:cs="Arial"/>
              </w:rPr>
              <w:t>Teachers may need to demonstrate to school/education authorities how their resources and activities align to standards such as the Australian Curriculum.</w:t>
            </w:r>
          </w:p>
        </w:tc>
      </w:tr>
      <w:tr w:rsidR="00C73719" w:rsidRPr="00C73719" w14:paraId="75B4DE2E" w14:textId="77777777" w:rsidTr="001E233A">
        <w:tc>
          <w:tcPr>
            <w:cnfStyle w:val="001000000000" w:firstRow="0" w:lastRow="0" w:firstColumn="1" w:lastColumn="0" w:oddVBand="0" w:evenVBand="0" w:oddHBand="0" w:evenHBand="0" w:firstRowFirstColumn="0" w:firstRowLastColumn="0" w:lastRowFirstColumn="0" w:lastRowLastColumn="0"/>
            <w:tcW w:w="2183" w:type="dxa"/>
          </w:tcPr>
          <w:p w14:paraId="414A45F3" w14:textId="77777777" w:rsidR="00C73719" w:rsidRPr="001E233A" w:rsidRDefault="00C73719" w:rsidP="00384FE0">
            <w:pPr>
              <w:pStyle w:val="BodyText"/>
              <w:jc w:val="left"/>
              <w:rPr>
                <w:rFonts w:ascii="Arial" w:hAnsi="Arial" w:cs="Arial"/>
                <w:b w:val="0"/>
                <w:bCs w:val="0"/>
              </w:rPr>
            </w:pPr>
            <w:r w:rsidRPr="001E233A">
              <w:rPr>
                <w:rFonts w:ascii="Arial" w:hAnsi="Arial" w:cs="Arial"/>
                <w:b w:val="0"/>
                <w:bCs w:val="0"/>
              </w:rPr>
              <w:t>2. Comprehensive</w:t>
            </w:r>
          </w:p>
        </w:tc>
        <w:tc>
          <w:tcPr>
            <w:tcW w:w="7310" w:type="dxa"/>
          </w:tcPr>
          <w:p w14:paraId="596A53FE" w14:textId="30911CDB" w:rsidR="00C73719" w:rsidRPr="00C73719" w:rsidRDefault="00C73719" w:rsidP="00384FE0">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C73719">
              <w:rPr>
                <w:rFonts w:ascii="Arial" w:hAnsi="Arial" w:cs="Arial"/>
              </w:rPr>
              <w:t xml:space="preserve">Teachers want resources that are </w:t>
            </w:r>
            <w:r>
              <w:rPr>
                <w:rFonts w:ascii="Arial" w:hAnsi="Arial" w:cs="Arial"/>
              </w:rPr>
              <w:t>all-inclusive</w:t>
            </w:r>
            <w:r w:rsidRPr="00C73719">
              <w:rPr>
                <w:rFonts w:ascii="Arial" w:hAnsi="Arial" w:cs="Arial"/>
              </w:rPr>
              <w:t xml:space="preserve"> and do not require extra searching to flesh out lessons or units.</w:t>
            </w:r>
          </w:p>
          <w:p w14:paraId="5F251382" w14:textId="77777777" w:rsidR="00C73719" w:rsidRPr="00C73719" w:rsidRDefault="00C73719" w:rsidP="00384FE0">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C73719">
              <w:rPr>
                <w:rFonts w:ascii="Arial" w:hAnsi="Arial" w:cs="Arial"/>
              </w:rPr>
              <w:t>‘Comprehensive’ materials:</w:t>
            </w:r>
          </w:p>
          <w:p w14:paraId="2C6A5312" w14:textId="77777777" w:rsidR="00C73719" w:rsidRPr="00C73719" w:rsidRDefault="00C73719" w:rsidP="00C73719">
            <w:pPr>
              <w:pStyle w:val="BodyText"/>
              <w:numPr>
                <w:ilvl w:val="0"/>
                <w:numId w:val="46"/>
              </w:numPr>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C73719">
              <w:rPr>
                <w:rFonts w:ascii="Arial" w:hAnsi="Arial" w:cs="Arial"/>
              </w:rPr>
              <w:t>have all activities listed in detail</w:t>
            </w:r>
          </w:p>
          <w:p w14:paraId="0601A226" w14:textId="77777777" w:rsidR="00C73719" w:rsidRPr="00C73719" w:rsidRDefault="00C73719" w:rsidP="00C73719">
            <w:pPr>
              <w:pStyle w:val="BodyText"/>
              <w:numPr>
                <w:ilvl w:val="0"/>
                <w:numId w:val="46"/>
              </w:numPr>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C73719">
              <w:rPr>
                <w:rFonts w:ascii="Arial" w:hAnsi="Arial" w:cs="Arial"/>
              </w:rPr>
              <w:t>include relevant supporting materials (particularly for teachers)</w:t>
            </w:r>
          </w:p>
          <w:p w14:paraId="07B63FA9" w14:textId="77777777" w:rsidR="00C73719" w:rsidRPr="00C73719" w:rsidRDefault="00C73719" w:rsidP="00C73719">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3719">
              <w:rPr>
                <w:rFonts w:ascii="Arial" w:hAnsi="Arial" w:cs="Arial"/>
              </w:rPr>
              <w:t>have detailed answers to included questions (e.g. beyond advice that “students answers may vary”)</w:t>
            </w:r>
          </w:p>
        </w:tc>
      </w:tr>
      <w:tr w:rsidR="00C73719" w:rsidRPr="00C73719" w14:paraId="69098D1F" w14:textId="77777777" w:rsidTr="001E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tcPr>
          <w:p w14:paraId="36BC75DC" w14:textId="77777777" w:rsidR="00C73719" w:rsidRPr="001E233A" w:rsidRDefault="00C73719" w:rsidP="00384FE0">
            <w:pPr>
              <w:pStyle w:val="BodyText"/>
              <w:jc w:val="left"/>
              <w:rPr>
                <w:rFonts w:ascii="Arial" w:hAnsi="Arial" w:cs="Arial"/>
                <w:b w:val="0"/>
                <w:bCs w:val="0"/>
              </w:rPr>
            </w:pPr>
            <w:r w:rsidRPr="001E233A">
              <w:rPr>
                <w:rFonts w:ascii="Arial" w:hAnsi="Arial" w:cs="Arial"/>
                <w:b w:val="0"/>
                <w:bCs w:val="0"/>
              </w:rPr>
              <w:t>3. Engaging and accessible</w:t>
            </w:r>
          </w:p>
        </w:tc>
        <w:tc>
          <w:tcPr>
            <w:tcW w:w="7310" w:type="dxa"/>
          </w:tcPr>
          <w:p w14:paraId="7702492B" w14:textId="77777777" w:rsidR="00C73719" w:rsidRPr="00C73719" w:rsidRDefault="00C73719" w:rsidP="00384FE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C73719">
              <w:rPr>
                <w:rFonts w:ascii="Arial" w:hAnsi="Arial" w:cs="Arial"/>
              </w:rPr>
              <w:t>Useful resources are clear for teachers and students. They also require an appropriate level of effort for the relevant year group, with paths for differentiation. For example, resources may offer complex, intermediate and basic questions or activities.</w:t>
            </w:r>
          </w:p>
          <w:p w14:paraId="2DBDE511" w14:textId="77777777" w:rsidR="00C73719" w:rsidRPr="00C73719" w:rsidRDefault="00C73719" w:rsidP="00384FE0">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C73719">
              <w:rPr>
                <w:rFonts w:ascii="Arial" w:hAnsi="Arial" w:cs="Arial"/>
              </w:rPr>
              <w:t xml:space="preserve">Such resources also offer a ‘hook’ for students, for instance by containing multiple links to students’ own lives. </w:t>
            </w:r>
          </w:p>
        </w:tc>
      </w:tr>
      <w:tr w:rsidR="00C73719" w:rsidRPr="00C73719" w14:paraId="564AF3E9" w14:textId="77777777" w:rsidTr="001E233A">
        <w:tc>
          <w:tcPr>
            <w:cnfStyle w:val="001000000000" w:firstRow="0" w:lastRow="0" w:firstColumn="1" w:lastColumn="0" w:oddVBand="0" w:evenVBand="0" w:oddHBand="0" w:evenHBand="0" w:firstRowFirstColumn="0" w:firstRowLastColumn="0" w:lastRowFirstColumn="0" w:lastRowLastColumn="0"/>
            <w:tcW w:w="2183" w:type="dxa"/>
          </w:tcPr>
          <w:p w14:paraId="2E77D733" w14:textId="77777777" w:rsidR="00C73719" w:rsidRPr="001E233A" w:rsidRDefault="00C73719" w:rsidP="00384FE0">
            <w:pPr>
              <w:pStyle w:val="BodyText"/>
              <w:jc w:val="left"/>
              <w:rPr>
                <w:rFonts w:ascii="Arial" w:hAnsi="Arial" w:cs="Arial"/>
                <w:b w:val="0"/>
                <w:bCs w:val="0"/>
              </w:rPr>
            </w:pPr>
            <w:r w:rsidRPr="001E233A">
              <w:rPr>
                <w:rFonts w:ascii="Arial" w:hAnsi="Arial" w:cs="Arial"/>
                <w:b w:val="0"/>
                <w:bCs w:val="0"/>
              </w:rPr>
              <w:t>4. Vetted by teachers/contribution from teachers</w:t>
            </w:r>
          </w:p>
        </w:tc>
        <w:tc>
          <w:tcPr>
            <w:tcW w:w="7310" w:type="dxa"/>
          </w:tcPr>
          <w:p w14:paraId="46877972" w14:textId="77777777" w:rsidR="00C73719" w:rsidRPr="00C73719" w:rsidRDefault="00C73719" w:rsidP="00384FE0">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C73719">
              <w:rPr>
                <w:rFonts w:ascii="Arial" w:hAnsi="Arial" w:cs="Arial"/>
              </w:rPr>
              <w:t>Instructional materials are viewed as more trustworthy when they have been made by and for teachers. In practice this includes teacher comments and opinions, as well as ratings based on actual teacher use.</w:t>
            </w:r>
          </w:p>
        </w:tc>
      </w:tr>
    </w:tbl>
    <w:p w14:paraId="147C2842" w14:textId="77777777" w:rsidR="00C73719" w:rsidRPr="0033281D" w:rsidRDefault="00C73719" w:rsidP="0033281D">
      <w:pPr>
        <w:pStyle w:val="Caption"/>
      </w:pPr>
      <w:r w:rsidRPr="0033281D">
        <w:t xml:space="preserve">(Sources: Bugler et al 2017; </w:t>
      </w:r>
      <w:proofErr w:type="spellStart"/>
      <w:r w:rsidRPr="0033281D">
        <w:t>Chingos</w:t>
      </w:r>
      <w:proofErr w:type="spellEnd"/>
      <w:r w:rsidRPr="0033281D">
        <w:t xml:space="preserve"> and Whitehurst 2012; Grattan 2022; Jackson and </w:t>
      </w:r>
      <w:proofErr w:type="spellStart"/>
      <w:r w:rsidRPr="0033281D">
        <w:t>Makarin</w:t>
      </w:r>
      <w:proofErr w:type="spellEnd"/>
      <w:r w:rsidRPr="0033281D">
        <w:t xml:space="preserve"> 2018).</w:t>
      </w:r>
    </w:p>
    <w:p w14:paraId="6BF8F218" w14:textId="77777777" w:rsidR="0054600D" w:rsidRDefault="0054600D" w:rsidP="00FB15FB">
      <w:pPr>
        <w:rPr>
          <w:shd w:val="clear" w:color="auto" w:fill="FFFFFF"/>
        </w:rPr>
      </w:pPr>
    </w:p>
    <w:p w14:paraId="3F06250A" w14:textId="77777777" w:rsidR="00ED3B04" w:rsidRPr="00ED3B04" w:rsidRDefault="00ED3B04" w:rsidP="001B4C3C">
      <w:pPr>
        <w:pStyle w:val="Heading1"/>
        <w:rPr>
          <w:highlight w:val="white"/>
        </w:rPr>
      </w:pPr>
      <w:r w:rsidRPr="00ED3B04">
        <w:rPr>
          <w:highlight w:val="white"/>
        </w:rPr>
        <w:lastRenderedPageBreak/>
        <w:t>Conclusion</w:t>
      </w:r>
    </w:p>
    <w:p w14:paraId="4EFF4D58" w14:textId="4CB45094" w:rsidR="00C73719" w:rsidRPr="00C73719" w:rsidRDefault="00C73719" w:rsidP="00C7371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C73719">
        <w:rPr>
          <w:highlight w:val="white"/>
        </w:rPr>
        <w:t xml:space="preserve">My scholarship project was not a typical experience. The global pandemic and associated travel restrictions upended my original plans but forced a fruitful rethink. Through the revised project we commenced a process of high-quality resource creation that remains in train as </w:t>
      </w:r>
      <w:r>
        <w:rPr>
          <w:highlight w:val="white"/>
        </w:rPr>
        <w:t>of</w:t>
      </w:r>
      <w:r w:rsidRPr="00C73719">
        <w:rPr>
          <w:highlight w:val="white"/>
        </w:rPr>
        <w:t xml:space="preserve"> March 2024. </w:t>
      </w:r>
    </w:p>
    <w:p w14:paraId="33471B63" w14:textId="77777777" w:rsidR="00C73719" w:rsidRPr="00C73719" w:rsidRDefault="00C73719" w:rsidP="00C7371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C73719">
        <w:rPr>
          <w:highlight w:val="white"/>
        </w:rPr>
        <w:t>At the time of writing this report, we are finalising the text and graphic design of the first set of resources, readying them for publication and distribution to teachers to deploy in classrooms. This has not been a linear or seamless process, but rather one of iteration and adaptation. We have also presented the outline of these resources to teachers at the RBA’s Teacher Immersion Event, the leading professional development event for economics teachers, and received overwhelmingly positive feedback. “We need these yesterday,” was one comment.</w:t>
      </w:r>
    </w:p>
    <w:p w14:paraId="6FF7FD5D" w14:textId="3964709C" w:rsidR="00C73719" w:rsidRDefault="00C73719"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C73719">
        <w:rPr>
          <w:highlight w:val="white"/>
        </w:rPr>
        <w:t>As I have embarked on a process, there is no easy conclusion to provide here that neatly wraps up the project. But, with the assistance of the RBA</w:t>
      </w:r>
      <w:r w:rsidR="00D53F02">
        <w:rPr>
          <w:highlight w:val="white"/>
        </w:rPr>
        <w:t xml:space="preserve"> and the Premier’s Teacher Scholarships team</w:t>
      </w:r>
      <w:r w:rsidRPr="00C73719">
        <w:rPr>
          <w:highlight w:val="white"/>
        </w:rPr>
        <w:t xml:space="preserve">, we created an alternate focus that will, in time, deliver </w:t>
      </w:r>
      <w:r>
        <w:rPr>
          <w:highlight w:val="white"/>
        </w:rPr>
        <w:t>benefits</w:t>
      </w:r>
      <w:r w:rsidRPr="00C73719">
        <w:rPr>
          <w:highlight w:val="white"/>
        </w:rPr>
        <w:t xml:space="preserve"> to teachers and students. Once published, the resources will be freely available on the RBA’s website and distributed as widely as possible. </w:t>
      </w:r>
    </w:p>
    <w:p w14:paraId="2EDACAB6" w14:textId="272FF271" w:rsidR="00ED3B04" w:rsidRPr="00ED3B04" w:rsidRDefault="00AC1780" w:rsidP="00ED3B04">
      <w:pPr>
        <w:pStyle w:val="Heading1"/>
      </w:pPr>
      <w:r>
        <w:t>Acknowledgments</w:t>
      </w:r>
    </w:p>
    <w:p w14:paraId="1C70426C" w14:textId="77777777" w:rsidR="00C73719" w:rsidRDefault="00C73719" w:rsidP="00C7371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highlight w:val="white"/>
        </w:rPr>
        <w:t>Many thanks for the support and assistance of the following people:</w:t>
      </w:r>
    </w:p>
    <w:p w14:paraId="19B0FCEF" w14:textId="77777777" w:rsidR="00C73719" w:rsidRPr="00C73719" w:rsidRDefault="00C73719" w:rsidP="00C73719">
      <w:pPr>
        <w:pStyle w:val="ListParagraph"/>
        <w:numPr>
          <w:ilvl w:val="0"/>
          <w:numId w:val="27"/>
        </w:numPr>
        <w:ind w:left="511" w:hanging="284"/>
      </w:pPr>
      <w:r w:rsidRPr="00C73719">
        <w:t>Jacqui Dwyer, Head of Information at the Reserve Bank of Australia and founder of the RBA’s Public Education program, for her support for the change of scope, considered approach to resource design and passion for economics education</w:t>
      </w:r>
    </w:p>
    <w:p w14:paraId="35E40C2E" w14:textId="77777777" w:rsidR="00C73719" w:rsidRPr="00C73719" w:rsidRDefault="00C73719" w:rsidP="00C73719">
      <w:pPr>
        <w:pStyle w:val="ListParagraph"/>
        <w:numPr>
          <w:ilvl w:val="0"/>
          <w:numId w:val="27"/>
        </w:numPr>
        <w:ind w:left="511" w:hanging="284"/>
      </w:pPr>
      <w:r w:rsidRPr="00C73719">
        <w:t>The RBA’s Public Education Team for their support of my project</w:t>
      </w:r>
    </w:p>
    <w:p w14:paraId="08B412C3" w14:textId="2F4D786C" w:rsidR="00C73719" w:rsidRPr="00C73719" w:rsidRDefault="00C73719" w:rsidP="00C73719">
      <w:pPr>
        <w:pStyle w:val="ListParagraph"/>
        <w:numPr>
          <w:ilvl w:val="0"/>
          <w:numId w:val="27"/>
        </w:numPr>
        <w:ind w:left="511" w:hanging="284"/>
      </w:pPr>
      <w:r w:rsidRPr="00C73719">
        <w:t xml:space="preserve">The Premier’s </w:t>
      </w:r>
      <w:r w:rsidR="00D53F02">
        <w:t xml:space="preserve">Teacher </w:t>
      </w:r>
      <w:r w:rsidRPr="00C73719">
        <w:t>Scholarships team for considering and approving a significant change in focus for the scholarship project</w:t>
      </w:r>
    </w:p>
    <w:p w14:paraId="7166A6E9" w14:textId="77777777" w:rsidR="004D3AEE" w:rsidRPr="00ED3B04" w:rsidRDefault="004D3AEE" w:rsidP="004D3AEE">
      <w:pPr>
        <w:pStyle w:val="Heading1"/>
      </w:pPr>
      <w:r>
        <w:t xml:space="preserve">References </w:t>
      </w:r>
    </w:p>
    <w:p w14:paraId="3F14A39B" w14:textId="77777777" w:rsidR="00C73719" w:rsidRDefault="00C73719" w:rsidP="00C73719">
      <w:pPr>
        <w:rPr>
          <w:highlight w:val="white"/>
        </w:rPr>
      </w:pPr>
      <w:r>
        <w:rPr>
          <w:highlight w:val="white"/>
        </w:rPr>
        <w:t xml:space="preserve">Bulger, Dan; Marple, Stacy; Burr, Elizabeth; Chen-Gaddini, Min; and Finkelstein, Neal (2017) ‘How Teachers Judge the Quality of Instructional Materials’, </w:t>
      </w:r>
      <w:r w:rsidRPr="00B12685">
        <w:rPr>
          <w:i/>
          <w:iCs/>
          <w:highlight w:val="white"/>
        </w:rPr>
        <w:t>WestEd</w:t>
      </w:r>
      <w:r>
        <w:rPr>
          <w:highlight w:val="white"/>
        </w:rPr>
        <w:t>, March.</w:t>
      </w:r>
    </w:p>
    <w:p w14:paraId="15D55019" w14:textId="77777777" w:rsidR="00C73719" w:rsidRPr="004D3AEE" w:rsidRDefault="00C73719" w:rsidP="00C73719">
      <w:pPr>
        <w:rPr>
          <w:highlight w:val="white"/>
        </w:rPr>
      </w:pPr>
      <w:proofErr w:type="spellStart"/>
      <w:r>
        <w:rPr>
          <w:highlight w:val="white"/>
        </w:rPr>
        <w:t>Chingos</w:t>
      </w:r>
      <w:proofErr w:type="spellEnd"/>
      <w:r>
        <w:rPr>
          <w:highlight w:val="white"/>
        </w:rPr>
        <w:t xml:space="preserve">, Matthew M. and Whitehurst, Grover J. (2012) ‘Choosing Blindly: Instructional Materials, Teacher Effectiveness and the Common Core’, </w:t>
      </w:r>
      <w:r w:rsidRPr="00B12685">
        <w:rPr>
          <w:i/>
          <w:iCs/>
          <w:highlight w:val="white"/>
        </w:rPr>
        <w:t xml:space="preserve">Brown </w:t>
      </w:r>
      <w:proofErr w:type="spellStart"/>
      <w:r w:rsidRPr="00B12685">
        <w:rPr>
          <w:i/>
          <w:iCs/>
          <w:highlight w:val="white"/>
        </w:rPr>
        <w:t>Center</w:t>
      </w:r>
      <w:proofErr w:type="spellEnd"/>
      <w:r w:rsidRPr="00B12685">
        <w:rPr>
          <w:i/>
          <w:iCs/>
          <w:highlight w:val="white"/>
        </w:rPr>
        <w:t xml:space="preserve"> on Education Policy at Brookings</w:t>
      </w:r>
      <w:r>
        <w:rPr>
          <w:highlight w:val="white"/>
        </w:rPr>
        <w:t>, The Brookings Institution, April.</w:t>
      </w:r>
    </w:p>
    <w:p w14:paraId="336E79F1" w14:textId="77777777" w:rsidR="00C73719" w:rsidRDefault="00C73719" w:rsidP="00C73719">
      <w:pPr>
        <w:rPr>
          <w:highlight w:val="white"/>
        </w:rPr>
      </w:pPr>
      <w:r>
        <w:rPr>
          <w:highlight w:val="white"/>
        </w:rPr>
        <w:t xml:space="preserve">Hunter, Jordana; Haywood, Amy; and Parkinson, Nick (2022) ‘Ending the lesson lottery: How to improve curriculum planning in schools’, </w:t>
      </w:r>
      <w:r w:rsidRPr="00C81DDB">
        <w:rPr>
          <w:i/>
          <w:iCs/>
          <w:highlight w:val="white"/>
        </w:rPr>
        <w:t>The Grattan Institute</w:t>
      </w:r>
      <w:r>
        <w:rPr>
          <w:highlight w:val="white"/>
        </w:rPr>
        <w:t>, October.</w:t>
      </w:r>
    </w:p>
    <w:p w14:paraId="3048E87F" w14:textId="77777777" w:rsidR="00C73719" w:rsidRDefault="00C73719" w:rsidP="00C73719">
      <w:pPr>
        <w:tabs>
          <w:tab w:val="left" w:pos="2366"/>
        </w:tabs>
      </w:pPr>
      <w:r w:rsidRPr="001A512D">
        <w:t xml:space="preserve">Jackson, Kirabo, and </w:t>
      </w:r>
      <w:proofErr w:type="spellStart"/>
      <w:r w:rsidRPr="001A512D">
        <w:t>Makarin</w:t>
      </w:r>
      <w:proofErr w:type="spellEnd"/>
      <w:r>
        <w:t>, Alexey</w:t>
      </w:r>
      <w:r w:rsidRPr="001A512D">
        <w:t xml:space="preserve"> </w:t>
      </w:r>
      <w:r>
        <w:t>(</w:t>
      </w:r>
      <w:r w:rsidRPr="001A512D">
        <w:t>201</w:t>
      </w:r>
      <w:r>
        <w:t xml:space="preserve">6) </w:t>
      </w:r>
      <w:r w:rsidRPr="001A512D">
        <w:t>Can Online Off-the-Shelf Lessons Improve Student Outcomes? Evidence from a Field Experiment</w:t>
      </w:r>
      <w:r>
        <w:t>,</w:t>
      </w:r>
      <w:r w:rsidRPr="001A512D">
        <w:t xml:space="preserve"> </w:t>
      </w:r>
      <w:r w:rsidRPr="00C81DDB">
        <w:rPr>
          <w:i/>
          <w:iCs/>
        </w:rPr>
        <w:t>American Economic Journal: Economic Policy</w:t>
      </w:r>
      <w:r w:rsidRPr="001A512D">
        <w:t>, 10 (3): 226-54.</w:t>
      </w:r>
    </w:p>
    <w:p w14:paraId="25EC90F8" w14:textId="64426645" w:rsidR="004D3AEE" w:rsidRPr="004D3AEE" w:rsidRDefault="00C73719" w:rsidP="004D3AEE">
      <w:pPr>
        <w:tabs>
          <w:tab w:val="left" w:pos="2366"/>
        </w:tabs>
        <w:rPr>
          <w:highlight w:val="white"/>
        </w:rPr>
      </w:pPr>
      <w:proofErr w:type="spellStart"/>
      <w:r w:rsidRPr="00BB1C55">
        <w:t>McCowage</w:t>
      </w:r>
      <w:proofErr w:type="spellEnd"/>
      <w:r>
        <w:t>,</w:t>
      </w:r>
      <w:r w:rsidRPr="00BB1C55">
        <w:t xml:space="preserve"> M</w:t>
      </w:r>
      <w:r>
        <w:t>adeleine</w:t>
      </w:r>
      <w:r w:rsidRPr="00BB1C55">
        <w:t xml:space="preserve"> and Dwyer</w:t>
      </w:r>
      <w:r>
        <w:t>, Jacqui</w:t>
      </w:r>
      <w:r w:rsidRPr="00BB1C55">
        <w:t xml:space="preserve"> (2022), 'Economic Literacy: What Is It and Why Is It Important?', RBA </w:t>
      </w:r>
      <w:r w:rsidRPr="00F16913">
        <w:rPr>
          <w:i/>
          <w:iCs/>
        </w:rPr>
        <w:t>Bulletin</w:t>
      </w:r>
      <w:r>
        <w:t xml:space="preserve">, </w:t>
      </w:r>
      <w:r w:rsidRPr="00BB1C55">
        <w:t>December.</w:t>
      </w:r>
      <w:r w:rsidR="004D3AEE">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7AAC391E" w:rsidR="000255B4" w:rsidRDefault="00C73719" w:rsidP="000255B4">
    <w:pPr>
      <w:pStyle w:val="Footer"/>
      <w:tabs>
        <w:tab w:val="clear" w:pos="4513"/>
        <w:tab w:val="clear" w:pos="9026"/>
        <w:tab w:val="right" w:pos="9498"/>
      </w:tabs>
    </w:pPr>
    <w:r>
      <w:t>Lending a helping hand</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33281D">
      <w:fldChar w:fldCharType="begin"/>
    </w:r>
    <w:r w:rsidR="0033281D">
      <w:instrText xml:space="preserve"> SECTIONPAGES   \* MERGEFORMAT </w:instrText>
    </w:r>
    <w:r w:rsidR="0033281D">
      <w:fldChar w:fldCharType="separate"/>
    </w:r>
    <w:r w:rsidR="0033281D">
      <w:rPr>
        <w:noProof/>
      </w:rPr>
      <w:t>5</w:t>
    </w:r>
    <w:r w:rsidR="0033281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31BE0072"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7737E4B"/>
    <w:multiLevelType w:val="hybridMultilevel"/>
    <w:tmpl w:val="BED0B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CD91CCB"/>
    <w:multiLevelType w:val="hybridMultilevel"/>
    <w:tmpl w:val="B5C0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136DB9"/>
    <w:multiLevelType w:val="multilevel"/>
    <w:tmpl w:val="DCE4B9E0"/>
    <w:numStyleLink w:val="PTSOrderedListStyle"/>
  </w:abstractNum>
  <w:abstractNum w:abstractNumId="18" w15:restartNumberingAfterBreak="0">
    <w:nsid w:val="103C0DC7"/>
    <w:multiLevelType w:val="multilevel"/>
    <w:tmpl w:val="3C2CCE98"/>
    <w:numStyleLink w:val="PTSUnorderedListStyle"/>
  </w:abstractNum>
  <w:abstractNum w:abstractNumId="19"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A20DBF"/>
    <w:multiLevelType w:val="hybridMultilevel"/>
    <w:tmpl w:val="A4E434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9D2CF6"/>
    <w:multiLevelType w:val="hybridMultilevel"/>
    <w:tmpl w:val="4F12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346957"/>
    <w:multiLevelType w:val="hybridMultilevel"/>
    <w:tmpl w:val="EFF63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D03032"/>
    <w:multiLevelType w:val="multilevel"/>
    <w:tmpl w:val="3C2CCE98"/>
    <w:numStyleLink w:val="PTSUnorderedListStyle"/>
  </w:abstractNum>
  <w:abstractNum w:abstractNumId="32"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82A3C"/>
    <w:multiLevelType w:val="multilevel"/>
    <w:tmpl w:val="DCE4B9E0"/>
    <w:numStyleLink w:val="PTSOrderedListStyle"/>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CC4E16"/>
    <w:multiLevelType w:val="hybridMultilevel"/>
    <w:tmpl w:val="55982A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5767C01"/>
    <w:multiLevelType w:val="multilevel"/>
    <w:tmpl w:val="DCE4B9E0"/>
    <w:numStyleLink w:val="PTSOrderedListStyle"/>
  </w:abstractNum>
  <w:num w:numId="1" w16cid:durableId="522282926">
    <w:abstractNumId w:val="22"/>
  </w:num>
  <w:num w:numId="2" w16cid:durableId="963927439">
    <w:abstractNumId w:val="36"/>
  </w:num>
  <w:num w:numId="3" w16cid:durableId="1038435900">
    <w:abstractNumId w:val="41"/>
  </w:num>
  <w:num w:numId="4" w16cid:durableId="1874801615">
    <w:abstractNumId w:val="40"/>
  </w:num>
  <w:num w:numId="5" w16cid:durableId="465700344">
    <w:abstractNumId w:val="24"/>
  </w:num>
  <w:num w:numId="6" w16cid:durableId="352653544">
    <w:abstractNumId w:val="32"/>
  </w:num>
  <w:num w:numId="7" w16cid:durableId="1264805997">
    <w:abstractNumId w:val="28"/>
  </w:num>
  <w:num w:numId="8" w16cid:durableId="1043939693">
    <w:abstractNumId w:val="33"/>
  </w:num>
  <w:num w:numId="9" w16cid:durableId="832447887">
    <w:abstractNumId w:val="10"/>
  </w:num>
  <w:num w:numId="10" w16cid:durableId="441344456">
    <w:abstractNumId w:val="12"/>
  </w:num>
  <w:num w:numId="11" w16cid:durableId="1694375457">
    <w:abstractNumId w:val="19"/>
  </w:num>
  <w:num w:numId="12" w16cid:durableId="1354378654">
    <w:abstractNumId w:val="14"/>
  </w:num>
  <w:num w:numId="13" w16cid:durableId="923805672">
    <w:abstractNumId w:val="34"/>
  </w:num>
  <w:num w:numId="14" w16cid:durableId="701981400">
    <w:abstractNumId w:val="43"/>
  </w:num>
  <w:num w:numId="15" w16cid:durableId="1703938253">
    <w:abstractNumId w:val="26"/>
  </w:num>
  <w:num w:numId="16" w16cid:durableId="1539930045">
    <w:abstractNumId w:val="21"/>
  </w:num>
  <w:num w:numId="17" w16cid:durableId="1421099837">
    <w:abstractNumId w:val="44"/>
  </w:num>
  <w:num w:numId="18" w16cid:durableId="2096895664">
    <w:abstractNumId w:val="39"/>
  </w:num>
  <w:num w:numId="19" w16cid:durableId="236212348">
    <w:abstractNumId w:val="37"/>
  </w:num>
  <w:num w:numId="20" w16cid:durableId="932274738">
    <w:abstractNumId w:val="29"/>
  </w:num>
  <w:num w:numId="21" w16cid:durableId="1180661850">
    <w:abstractNumId w:val="35"/>
  </w:num>
  <w:num w:numId="22" w16cid:durableId="688408783">
    <w:abstractNumId w:val="15"/>
  </w:num>
  <w:num w:numId="23" w16cid:durableId="461575964">
    <w:abstractNumId w:val="46"/>
  </w:num>
  <w:num w:numId="24" w16cid:durableId="637803994">
    <w:abstractNumId w:val="17"/>
  </w:num>
  <w:num w:numId="25" w16cid:durableId="2136360820">
    <w:abstractNumId w:val="11"/>
  </w:num>
  <w:num w:numId="26" w16cid:durableId="798256476">
    <w:abstractNumId w:val="18"/>
  </w:num>
  <w:num w:numId="27" w16cid:durableId="708532385">
    <w:abstractNumId w:val="31"/>
  </w:num>
  <w:num w:numId="28" w16cid:durableId="1200123690">
    <w:abstractNumId w:val="23"/>
  </w:num>
  <w:num w:numId="29" w16cid:durableId="27680529">
    <w:abstractNumId w:val="38"/>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2"/>
  </w:num>
  <w:num w:numId="41" w16cid:durableId="1634939162">
    <w:abstractNumId w:val="25"/>
  </w:num>
  <w:num w:numId="42" w16cid:durableId="1203203274">
    <w:abstractNumId w:val="30"/>
  </w:num>
  <w:num w:numId="43" w16cid:durableId="745997495">
    <w:abstractNumId w:val="16"/>
  </w:num>
  <w:num w:numId="44" w16cid:durableId="1289387133">
    <w:abstractNumId w:val="45"/>
  </w:num>
  <w:num w:numId="45" w16cid:durableId="1686320498">
    <w:abstractNumId w:val="20"/>
  </w:num>
  <w:num w:numId="46" w16cid:durableId="868762421">
    <w:abstractNumId w:val="13"/>
  </w:num>
  <w:num w:numId="47" w16cid:durableId="18559244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963CD"/>
    <w:rsid w:val="000C11CD"/>
    <w:rsid w:val="000C18ED"/>
    <w:rsid w:val="000D7F55"/>
    <w:rsid w:val="000F61C8"/>
    <w:rsid w:val="00117296"/>
    <w:rsid w:val="00152E9A"/>
    <w:rsid w:val="00155404"/>
    <w:rsid w:val="001B4C3C"/>
    <w:rsid w:val="001C0A56"/>
    <w:rsid w:val="001C1A56"/>
    <w:rsid w:val="001D3FF0"/>
    <w:rsid w:val="001E233A"/>
    <w:rsid w:val="00275489"/>
    <w:rsid w:val="00294239"/>
    <w:rsid w:val="002B3433"/>
    <w:rsid w:val="00327960"/>
    <w:rsid w:val="0033281D"/>
    <w:rsid w:val="0038006C"/>
    <w:rsid w:val="003D1828"/>
    <w:rsid w:val="0040108E"/>
    <w:rsid w:val="0043189E"/>
    <w:rsid w:val="00477517"/>
    <w:rsid w:val="00494F83"/>
    <w:rsid w:val="004D3AEE"/>
    <w:rsid w:val="004E735C"/>
    <w:rsid w:val="00507B74"/>
    <w:rsid w:val="005162C5"/>
    <w:rsid w:val="0054600D"/>
    <w:rsid w:val="005935DB"/>
    <w:rsid w:val="005D4364"/>
    <w:rsid w:val="006B4571"/>
    <w:rsid w:val="006E2817"/>
    <w:rsid w:val="00720CAA"/>
    <w:rsid w:val="007279F1"/>
    <w:rsid w:val="00747760"/>
    <w:rsid w:val="00794760"/>
    <w:rsid w:val="007D4B9D"/>
    <w:rsid w:val="008619E2"/>
    <w:rsid w:val="008F5148"/>
    <w:rsid w:val="0090533A"/>
    <w:rsid w:val="00910707"/>
    <w:rsid w:val="00921561"/>
    <w:rsid w:val="00930037"/>
    <w:rsid w:val="00943538"/>
    <w:rsid w:val="009539A5"/>
    <w:rsid w:val="009F3C9D"/>
    <w:rsid w:val="00A32200"/>
    <w:rsid w:val="00A573A5"/>
    <w:rsid w:val="00AB7750"/>
    <w:rsid w:val="00AC1780"/>
    <w:rsid w:val="00B02AE5"/>
    <w:rsid w:val="00B12F43"/>
    <w:rsid w:val="00B21EEE"/>
    <w:rsid w:val="00B5310E"/>
    <w:rsid w:val="00BB0675"/>
    <w:rsid w:val="00C509F6"/>
    <w:rsid w:val="00C7010F"/>
    <w:rsid w:val="00C73719"/>
    <w:rsid w:val="00C76B6E"/>
    <w:rsid w:val="00C902DF"/>
    <w:rsid w:val="00C92191"/>
    <w:rsid w:val="00D06FE8"/>
    <w:rsid w:val="00D17681"/>
    <w:rsid w:val="00D44442"/>
    <w:rsid w:val="00D53F02"/>
    <w:rsid w:val="00D63C18"/>
    <w:rsid w:val="00D65435"/>
    <w:rsid w:val="00DB7A94"/>
    <w:rsid w:val="00DC4AF3"/>
    <w:rsid w:val="00E14DC7"/>
    <w:rsid w:val="00E568E6"/>
    <w:rsid w:val="00E96AC6"/>
    <w:rsid w:val="00EC0ED6"/>
    <w:rsid w:val="00EC26CD"/>
    <w:rsid w:val="00ED3B04"/>
    <w:rsid w:val="00F1653C"/>
    <w:rsid w:val="00F36095"/>
    <w:rsid w:val="00F37270"/>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3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C73719"/>
    <w:rPr>
      <w:color w:val="605E5C"/>
      <w:shd w:val="clear" w:color="auto" w:fill="E1DFDD"/>
    </w:rPr>
  </w:style>
  <w:style w:type="paragraph" w:styleId="BodyText">
    <w:name w:val="Body Text"/>
    <w:link w:val="BodyTextChar"/>
    <w:qFormat/>
    <w:rsid w:val="00C73719"/>
    <w:pPr>
      <w:spacing w:before="120" w:after="120"/>
      <w:jc w:val="both"/>
    </w:pPr>
    <w:rPr>
      <w:rFonts w:ascii="Calibri" w:eastAsiaTheme="minorEastAsia" w:hAnsi="Calibri" w:cstheme="minorBidi"/>
      <w:sz w:val="22"/>
      <w:szCs w:val="22"/>
    </w:rPr>
  </w:style>
  <w:style w:type="character" w:customStyle="1" w:styleId="BodyTextChar">
    <w:name w:val="Body Text Char"/>
    <w:basedOn w:val="DefaultParagraphFont"/>
    <w:link w:val="BodyText"/>
    <w:rsid w:val="00C73719"/>
    <w:rPr>
      <w:rFonts w:ascii="Calibri" w:eastAsiaTheme="minorEastAsia" w:hAnsi="Calibri" w:cstheme="minorBidi"/>
      <w:sz w:val="22"/>
      <w:szCs w:val="22"/>
    </w:rPr>
  </w:style>
  <w:style w:type="paragraph" w:styleId="Revision">
    <w:name w:val="Revision"/>
    <w:hidden/>
    <w:uiPriority w:val="99"/>
    <w:semiHidden/>
    <w:rsid w:val="00C73719"/>
    <w:rPr>
      <w:rFonts w:eastAsia="Calibri" w:cs="Calibri"/>
      <w:color w:val="000000"/>
      <w:sz w:val="22"/>
      <w:szCs w:val="24"/>
      <w:lang w:eastAsia="en-US"/>
    </w:rPr>
  </w:style>
  <w:style w:type="table" w:styleId="GridTable1Light">
    <w:name w:val="Grid Table 1 Light"/>
    <w:basedOn w:val="TableNormal"/>
    <w:uiPriority w:val="46"/>
    <w:rsid w:val="001E23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E233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1E233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a.gov.au/publications/bulletin/2022/dec/economic-literacy-what-is-it-and-why-is-it-importan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2277</Words>
  <Characters>12837</Characters>
  <Application>Microsoft Office Word</Application>
  <DocSecurity>0</DocSecurity>
  <Lines>225</Lines>
  <Paragraphs>102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4</cp:revision>
  <cp:lastPrinted>2018-04-13T01:20:00Z</cp:lastPrinted>
  <dcterms:created xsi:type="dcterms:W3CDTF">2024-07-24T07:01:00Z</dcterms:created>
  <dcterms:modified xsi:type="dcterms:W3CDTF">2024-07-29T02:19:00Z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