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D140E0" w14:textId="77777777" w:rsidR="00B36563" w:rsidRPr="00CE18D4" w:rsidRDefault="00B36563" w:rsidP="00F57FC9">
      <w:pPr>
        <w:pStyle w:val="ScolName"/>
        <w:spacing w:after="4000" w:line="276" w:lineRule="auto"/>
        <w:ind w:right="-426"/>
        <w:rPr>
          <w:rFonts w:asciiTheme="majorHAnsi" w:hAnsiTheme="majorHAnsi"/>
        </w:rPr>
      </w:pPr>
      <w:r w:rsidRPr="00CE18D4">
        <w:rPr>
          <w:rFonts w:asciiTheme="majorHAnsi" w:hAnsiTheme="majorHAnsi"/>
        </w:rPr>
        <w:t xml:space="preserve">Premier’s </w:t>
      </w:r>
      <w:r w:rsidR="00634088">
        <w:rPr>
          <w:rFonts w:asciiTheme="majorHAnsi" w:hAnsiTheme="majorHAnsi"/>
        </w:rPr>
        <w:t>First State Super</w:t>
      </w:r>
      <w:r w:rsidRPr="00CE18D4">
        <w:rPr>
          <w:rFonts w:asciiTheme="majorHAnsi" w:hAnsiTheme="majorHAnsi"/>
        </w:rPr>
        <w:t xml:space="preserve"> </w:t>
      </w:r>
      <w:r w:rsidR="00634088">
        <w:rPr>
          <w:rFonts w:asciiTheme="majorHAnsi" w:hAnsiTheme="majorHAnsi"/>
        </w:rPr>
        <w:t>Financial Literacy</w:t>
      </w:r>
      <w:r w:rsidRPr="00CE18D4">
        <w:rPr>
          <w:rFonts w:asciiTheme="majorHAnsi" w:hAnsiTheme="majorHAnsi"/>
        </w:rPr>
        <w:t xml:space="preserve"> Scholarship</w:t>
      </w:r>
    </w:p>
    <w:p w14:paraId="05382003" w14:textId="77777777" w:rsidR="00B36563" w:rsidRPr="00CE18D4" w:rsidRDefault="00CE18D4" w:rsidP="00F57FC9">
      <w:pPr>
        <w:pStyle w:val="Title"/>
        <w:spacing w:after="480" w:line="276" w:lineRule="auto"/>
        <w:rPr>
          <w:rFonts w:asciiTheme="majorHAnsi" w:hAnsiTheme="majorHAnsi"/>
        </w:rPr>
      </w:pPr>
      <w:r>
        <w:rPr>
          <w:rFonts w:asciiTheme="majorHAnsi" w:hAnsiTheme="majorHAnsi"/>
        </w:rPr>
        <w:t>Financial Literacy</w:t>
      </w:r>
      <w:bookmarkStart w:id="0" w:name="_GoBack"/>
      <w:bookmarkEnd w:id="0"/>
    </w:p>
    <w:p w14:paraId="4980EE65" w14:textId="77777777" w:rsidR="00B36563" w:rsidRPr="00CE18D4" w:rsidRDefault="00B36563" w:rsidP="00F57FC9">
      <w:pPr>
        <w:pStyle w:val="Author"/>
        <w:spacing w:line="276" w:lineRule="auto"/>
        <w:rPr>
          <w:rFonts w:asciiTheme="majorHAnsi" w:hAnsiTheme="majorHAnsi"/>
        </w:rPr>
      </w:pPr>
      <w:r w:rsidRPr="00CE18D4">
        <w:rPr>
          <w:rFonts w:asciiTheme="majorHAnsi" w:hAnsiTheme="majorHAnsi"/>
        </w:rPr>
        <w:t>Elena Gray</w:t>
      </w:r>
    </w:p>
    <w:p w14:paraId="724664AA" w14:textId="77777777" w:rsidR="00B36563" w:rsidRPr="00CE18D4" w:rsidRDefault="00B36563" w:rsidP="00F57FC9">
      <w:pPr>
        <w:pStyle w:val="School"/>
        <w:spacing w:line="276" w:lineRule="auto"/>
        <w:rPr>
          <w:rFonts w:asciiTheme="majorHAnsi" w:hAnsiTheme="majorHAnsi"/>
        </w:rPr>
      </w:pPr>
      <w:r w:rsidRPr="00CE18D4">
        <w:rPr>
          <w:rFonts w:asciiTheme="majorHAnsi" w:hAnsiTheme="majorHAnsi"/>
        </w:rPr>
        <w:t>St Patrick’s Marist College, Dundas</w:t>
      </w:r>
    </w:p>
    <w:p w14:paraId="69884B74" w14:textId="6CFCFFE6" w:rsidR="00B36563" w:rsidRPr="00CE18D4" w:rsidRDefault="00B36563" w:rsidP="00F57FC9">
      <w:pPr>
        <w:pStyle w:val="BodyText"/>
        <w:spacing w:before="4000" w:line="276" w:lineRule="auto"/>
        <w:rPr>
          <w:rFonts w:asciiTheme="majorHAnsi" w:hAnsiTheme="majorHAnsi"/>
        </w:rPr>
      </w:pPr>
      <w:r w:rsidRPr="00CE18D4">
        <w:rPr>
          <w:rFonts w:asciiTheme="majorHAnsi" w:hAnsiTheme="majorHAnsi"/>
        </w:rPr>
        <w:t>Sponsored by</w:t>
      </w:r>
    </w:p>
    <w:p w14:paraId="7AA2EB37" w14:textId="40F2130A" w:rsidR="00F57FC9" w:rsidRDefault="00F57FC9" w:rsidP="00F57FC9">
      <w:pPr>
        <w:spacing w:line="276" w:lineRule="auto"/>
        <w:rPr>
          <w:rFonts w:ascii="Garamond" w:hAnsi="Garamond"/>
          <w:b/>
          <w:sz w:val="28"/>
          <w:szCs w:val="24"/>
          <w:lang w:val="en-US"/>
        </w:rPr>
      </w:pPr>
      <w:r w:rsidRPr="00CE18D4">
        <w:rPr>
          <w:rFonts w:asciiTheme="majorHAnsi" w:hAnsiTheme="majorHAnsi"/>
          <w:noProof/>
          <w:lang w:eastAsia="en-AU"/>
        </w:rPr>
        <w:drawing>
          <wp:anchor distT="0" distB="0" distL="114300" distR="114300" simplePos="0" relativeHeight="251658240" behindDoc="0" locked="0" layoutInCell="1" allowOverlap="1" wp14:anchorId="369E964F" wp14:editId="361B98BD">
            <wp:simplePos x="0" y="0"/>
            <wp:positionH relativeFrom="column">
              <wp:posOffset>-3810</wp:posOffset>
            </wp:positionH>
            <wp:positionV relativeFrom="paragraph">
              <wp:posOffset>18803</wp:posOffset>
            </wp:positionV>
            <wp:extent cx="2256790" cy="1388745"/>
            <wp:effectExtent l="0" t="0" r="0" b="1905"/>
            <wp:wrapNone/>
            <wp:docPr id="2" name="Picture 2" title="First State Sup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egray:Desktop:Screen Shot 2013-11-19 at 8.31.36 P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6790" cy="1388745"/>
                    </a:xfrm>
                    <a:prstGeom prst="rect">
                      <a:avLst/>
                    </a:prstGeom>
                    <a:noFill/>
                    <a:ln>
                      <a:noFill/>
                    </a:ln>
                  </pic:spPr>
                </pic:pic>
              </a:graphicData>
            </a:graphic>
          </wp:anchor>
        </w:drawing>
      </w:r>
    </w:p>
    <w:p w14:paraId="7F186970" w14:textId="77777777" w:rsidR="00F57FC9" w:rsidRDefault="00F57FC9" w:rsidP="00F57FC9">
      <w:pPr>
        <w:spacing w:line="276" w:lineRule="auto"/>
        <w:rPr>
          <w:rFonts w:ascii="Garamond" w:hAnsi="Garamond"/>
          <w:b/>
          <w:sz w:val="28"/>
          <w:szCs w:val="24"/>
          <w:lang w:val="en-US"/>
        </w:rPr>
      </w:pPr>
    </w:p>
    <w:p w14:paraId="0865A9E3" w14:textId="77777777" w:rsidR="00F57FC9" w:rsidRDefault="00F57FC9" w:rsidP="00F57FC9">
      <w:pPr>
        <w:spacing w:line="276" w:lineRule="auto"/>
        <w:rPr>
          <w:rFonts w:ascii="Garamond" w:hAnsi="Garamond"/>
          <w:b/>
          <w:sz w:val="28"/>
          <w:szCs w:val="24"/>
          <w:lang w:val="en-US"/>
        </w:rPr>
      </w:pPr>
    </w:p>
    <w:p w14:paraId="247A574A" w14:textId="77777777" w:rsidR="00F57FC9" w:rsidRDefault="00F57FC9" w:rsidP="00F57FC9">
      <w:pPr>
        <w:spacing w:line="276" w:lineRule="auto"/>
        <w:rPr>
          <w:rFonts w:ascii="Garamond" w:hAnsi="Garamond"/>
          <w:b/>
          <w:sz w:val="28"/>
          <w:szCs w:val="24"/>
          <w:lang w:val="en-US"/>
        </w:rPr>
      </w:pPr>
    </w:p>
    <w:p w14:paraId="5BBC184E" w14:textId="77777777" w:rsidR="00F57FC9" w:rsidRDefault="00F57FC9" w:rsidP="00F57FC9">
      <w:pPr>
        <w:spacing w:line="276" w:lineRule="auto"/>
        <w:rPr>
          <w:rFonts w:ascii="Garamond" w:hAnsi="Garamond"/>
          <w:b/>
          <w:sz w:val="28"/>
          <w:szCs w:val="24"/>
          <w:lang w:val="en-US"/>
        </w:rPr>
      </w:pPr>
    </w:p>
    <w:p w14:paraId="670E056B" w14:textId="77777777" w:rsidR="00F57FC9" w:rsidRDefault="00F57FC9" w:rsidP="00F57FC9">
      <w:pPr>
        <w:spacing w:line="276" w:lineRule="auto"/>
        <w:rPr>
          <w:rFonts w:ascii="Garamond" w:hAnsi="Garamond"/>
          <w:b/>
          <w:sz w:val="28"/>
          <w:szCs w:val="24"/>
          <w:lang w:val="en-US"/>
        </w:rPr>
      </w:pPr>
    </w:p>
    <w:p w14:paraId="404657DD" w14:textId="65A585DC" w:rsidR="00F57FC9" w:rsidRDefault="00F57FC9">
      <w:pPr>
        <w:rPr>
          <w:rFonts w:ascii="Garamond" w:hAnsi="Garamond"/>
          <w:b/>
          <w:sz w:val="28"/>
          <w:szCs w:val="24"/>
          <w:lang w:val="en-US"/>
        </w:rPr>
      </w:pPr>
      <w:r>
        <w:rPr>
          <w:rFonts w:ascii="Garamond" w:hAnsi="Garamond"/>
          <w:b/>
          <w:sz w:val="28"/>
          <w:szCs w:val="24"/>
          <w:lang w:val="en-US"/>
        </w:rPr>
        <w:br w:type="page"/>
      </w:r>
    </w:p>
    <w:p w14:paraId="66459355" w14:textId="1FF2CA44" w:rsidR="002A72DD" w:rsidRPr="00A53689" w:rsidRDefault="002A72DD" w:rsidP="00F57FC9">
      <w:pPr>
        <w:spacing w:line="276" w:lineRule="auto"/>
        <w:rPr>
          <w:rFonts w:ascii="Garamond" w:hAnsi="Garamond"/>
          <w:b/>
          <w:sz w:val="28"/>
          <w:szCs w:val="24"/>
          <w:lang w:val="en-US"/>
        </w:rPr>
      </w:pPr>
      <w:r w:rsidRPr="00A53689">
        <w:rPr>
          <w:rFonts w:ascii="Garamond" w:hAnsi="Garamond"/>
          <w:b/>
          <w:sz w:val="28"/>
          <w:szCs w:val="24"/>
          <w:lang w:val="en-US"/>
        </w:rPr>
        <w:lastRenderedPageBreak/>
        <w:t>Overview</w:t>
      </w:r>
    </w:p>
    <w:p w14:paraId="16320477" w14:textId="77777777" w:rsidR="002A72DD" w:rsidRPr="00A53689" w:rsidRDefault="002A72DD" w:rsidP="00F57FC9">
      <w:pPr>
        <w:spacing w:after="200" w:line="276" w:lineRule="auto"/>
        <w:rPr>
          <w:rFonts w:ascii="Garamond" w:hAnsi="Garamond"/>
          <w:sz w:val="24"/>
          <w:szCs w:val="24"/>
        </w:rPr>
      </w:pPr>
      <w:r w:rsidRPr="00A53689">
        <w:rPr>
          <w:rFonts w:ascii="Garamond" w:hAnsi="Garamond"/>
          <w:sz w:val="24"/>
          <w:szCs w:val="24"/>
        </w:rPr>
        <w:t xml:space="preserve">As simple to complex financial decisions are made on a daily basis at an increasingly younger age, sound financial </w:t>
      </w:r>
      <w:r w:rsidR="00305C8F" w:rsidRPr="00A53689">
        <w:rPr>
          <w:rFonts w:ascii="Garamond" w:hAnsi="Garamond"/>
          <w:sz w:val="24"/>
          <w:szCs w:val="24"/>
        </w:rPr>
        <w:t>capability</w:t>
      </w:r>
      <w:r w:rsidRPr="00A53689">
        <w:rPr>
          <w:rFonts w:ascii="Garamond" w:hAnsi="Garamond"/>
          <w:sz w:val="24"/>
          <w:szCs w:val="24"/>
        </w:rPr>
        <w:t xml:space="preserve"> is critical for </w:t>
      </w:r>
      <w:r w:rsidR="00305C8F" w:rsidRPr="00A53689">
        <w:rPr>
          <w:rFonts w:ascii="Garamond" w:hAnsi="Garamond"/>
          <w:sz w:val="24"/>
          <w:szCs w:val="24"/>
        </w:rPr>
        <w:t>a student’s</w:t>
      </w:r>
      <w:r w:rsidRPr="00A53689">
        <w:rPr>
          <w:rFonts w:ascii="Garamond" w:hAnsi="Garamond"/>
          <w:sz w:val="24"/>
          <w:szCs w:val="24"/>
        </w:rPr>
        <w:t xml:space="preserve"> quality of life, financial security and independence. </w:t>
      </w:r>
    </w:p>
    <w:p w14:paraId="17E201E1" w14:textId="77777777" w:rsidR="002A72DD" w:rsidRPr="00A53689" w:rsidRDefault="002A72DD" w:rsidP="00F57FC9">
      <w:pPr>
        <w:spacing w:after="200" w:line="276" w:lineRule="auto"/>
        <w:rPr>
          <w:rFonts w:ascii="Garamond" w:hAnsi="Garamond"/>
          <w:sz w:val="24"/>
          <w:szCs w:val="24"/>
        </w:rPr>
      </w:pPr>
      <w:r w:rsidRPr="00A53689">
        <w:rPr>
          <w:rFonts w:ascii="Garamond" w:hAnsi="Garamond"/>
          <w:sz w:val="24"/>
          <w:szCs w:val="24"/>
        </w:rPr>
        <w:t xml:space="preserve">Teachers play a pivotal role in financial </w:t>
      </w:r>
      <w:r w:rsidR="00F4433D" w:rsidRPr="00A53689">
        <w:rPr>
          <w:rFonts w:ascii="Garamond" w:hAnsi="Garamond"/>
          <w:sz w:val="24"/>
          <w:szCs w:val="24"/>
        </w:rPr>
        <w:t>capability</w:t>
      </w:r>
      <w:r w:rsidRPr="00A53689">
        <w:rPr>
          <w:rFonts w:ascii="Garamond" w:hAnsi="Garamond"/>
          <w:sz w:val="24"/>
          <w:szCs w:val="24"/>
        </w:rPr>
        <w:t xml:space="preserve"> education at school, especially in the development of values, critical thinking capabilities and the confidence to apply knowledge and skills in a range of situations. Teachers in secondary schools have long recognised that the school curriculum needs to make better connections with the intellectual and social needs of students in adolescence. </w:t>
      </w:r>
      <w:r w:rsidR="00641289" w:rsidRPr="00A53689">
        <w:rPr>
          <w:rFonts w:ascii="Garamond" w:hAnsi="Garamond"/>
          <w:sz w:val="24"/>
          <w:szCs w:val="24"/>
        </w:rPr>
        <w:t>Financial capabilities are</w:t>
      </w:r>
      <w:r w:rsidRPr="00A53689">
        <w:rPr>
          <w:rFonts w:ascii="Garamond" w:hAnsi="Garamond"/>
          <w:sz w:val="24"/>
          <w:szCs w:val="24"/>
        </w:rPr>
        <w:t xml:space="preserve"> one such connection as developing sound financial skills is one marker </w:t>
      </w:r>
      <w:r w:rsidR="0014670E" w:rsidRPr="00A53689">
        <w:rPr>
          <w:rFonts w:ascii="Garamond" w:hAnsi="Garamond"/>
          <w:sz w:val="24"/>
          <w:szCs w:val="24"/>
        </w:rPr>
        <w:t xml:space="preserve">of </w:t>
      </w:r>
      <w:r w:rsidRPr="00A53689">
        <w:rPr>
          <w:rFonts w:ascii="Garamond" w:hAnsi="Garamond"/>
          <w:sz w:val="24"/>
          <w:szCs w:val="24"/>
        </w:rPr>
        <w:t xml:space="preserve">the successful passage from adolescence to young adulthood.  </w:t>
      </w:r>
    </w:p>
    <w:p w14:paraId="3ADB2272" w14:textId="77777777" w:rsidR="002A72DD" w:rsidRPr="00A53689" w:rsidRDefault="002A72DD" w:rsidP="00F57FC9">
      <w:pPr>
        <w:spacing w:after="200" w:line="276" w:lineRule="auto"/>
        <w:rPr>
          <w:rFonts w:ascii="Garamond" w:hAnsi="Garamond"/>
          <w:sz w:val="24"/>
          <w:szCs w:val="24"/>
        </w:rPr>
      </w:pPr>
      <w:r w:rsidRPr="00A53689">
        <w:rPr>
          <w:rFonts w:ascii="Garamond" w:hAnsi="Garamond"/>
          <w:sz w:val="24"/>
          <w:szCs w:val="24"/>
        </w:rPr>
        <w:t>Consumer and financial literacy can be used to teach curriculum content in real-life contexts within the learning areas, making the teaching and learning more engaging and relevant to students. This approach requires planned integration of financial literacy across the school curriculum rather than provided as one off programs. (</w:t>
      </w:r>
      <w:r w:rsidRPr="00A53689">
        <w:rPr>
          <w:rFonts w:ascii="Garamond" w:hAnsi="Garamond"/>
          <w:bCs/>
          <w:sz w:val="24"/>
          <w:szCs w:val="24"/>
        </w:rPr>
        <w:t>Review of the National Financial Literacy Strategy Background report</w:t>
      </w:r>
      <w:r w:rsidRPr="00A53689">
        <w:rPr>
          <w:rFonts w:ascii="Garamond" w:hAnsi="Garamond"/>
          <w:b/>
          <w:bCs/>
          <w:sz w:val="24"/>
          <w:szCs w:val="24"/>
        </w:rPr>
        <w:t xml:space="preserve"> </w:t>
      </w:r>
      <w:r w:rsidRPr="00A53689">
        <w:rPr>
          <w:rFonts w:ascii="Garamond" w:hAnsi="Garamond"/>
          <w:sz w:val="24"/>
          <w:szCs w:val="24"/>
        </w:rPr>
        <w:t>April 2013). This is the focus of my investigation.</w:t>
      </w:r>
    </w:p>
    <w:p w14:paraId="3EFA7DEE" w14:textId="77777777" w:rsidR="002A72DD" w:rsidRPr="00A53689" w:rsidRDefault="002A72DD" w:rsidP="00F57FC9">
      <w:pPr>
        <w:spacing w:after="200" w:line="276" w:lineRule="auto"/>
        <w:rPr>
          <w:rFonts w:ascii="Garamond" w:hAnsi="Garamond"/>
          <w:sz w:val="24"/>
          <w:szCs w:val="24"/>
        </w:rPr>
      </w:pPr>
      <w:r w:rsidRPr="00A53689">
        <w:rPr>
          <w:rFonts w:ascii="Garamond" w:hAnsi="Garamond"/>
          <w:sz w:val="24"/>
          <w:szCs w:val="24"/>
        </w:rPr>
        <w:t xml:space="preserve">Research suggests that there is a link between a student’s family economic and educational background and their financial </w:t>
      </w:r>
      <w:r w:rsidR="0097623B" w:rsidRPr="00A53689">
        <w:rPr>
          <w:rFonts w:ascii="Garamond" w:hAnsi="Garamond"/>
          <w:sz w:val="24"/>
          <w:szCs w:val="24"/>
        </w:rPr>
        <w:t>capability</w:t>
      </w:r>
      <w:r w:rsidRPr="00A53689">
        <w:rPr>
          <w:rFonts w:ascii="Garamond" w:hAnsi="Garamond"/>
          <w:sz w:val="24"/>
          <w:szCs w:val="24"/>
        </w:rPr>
        <w:t>.</w:t>
      </w:r>
      <w:r w:rsidRPr="00A53689">
        <w:rPr>
          <w:rFonts w:ascii="Garamond" w:hAnsi="Garamond"/>
          <w:color w:val="262626"/>
          <w:sz w:val="24"/>
          <w:szCs w:val="24"/>
        </w:rPr>
        <w:t xml:space="preserve"> Sound teaching can redress </w:t>
      </w:r>
      <w:r w:rsidR="0014670E" w:rsidRPr="00A53689">
        <w:rPr>
          <w:rFonts w:ascii="Garamond" w:hAnsi="Garamond"/>
          <w:color w:val="262626"/>
          <w:sz w:val="24"/>
          <w:szCs w:val="24"/>
        </w:rPr>
        <w:t xml:space="preserve">any </w:t>
      </w:r>
      <w:r w:rsidRPr="00A53689">
        <w:rPr>
          <w:rFonts w:ascii="Garamond" w:hAnsi="Garamond"/>
          <w:color w:val="262626"/>
          <w:sz w:val="24"/>
          <w:szCs w:val="24"/>
        </w:rPr>
        <w:t xml:space="preserve">gap in financial </w:t>
      </w:r>
      <w:r w:rsidR="004A2F74" w:rsidRPr="00A53689">
        <w:rPr>
          <w:rFonts w:ascii="Garamond" w:hAnsi="Garamond"/>
          <w:color w:val="262626"/>
          <w:sz w:val="24"/>
          <w:szCs w:val="24"/>
        </w:rPr>
        <w:t>capability</w:t>
      </w:r>
      <w:r w:rsidRPr="00A53689">
        <w:rPr>
          <w:rFonts w:ascii="Garamond" w:hAnsi="Garamond"/>
          <w:color w:val="262626"/>
          <w:sz w:val="24"/>
          <w:szCs w:val="24"/>
        </w:rPr>
        <w:t>.</w:t>
      </w:r>
      <w:r w:rsidRPr="00A53689">
        <w:rPr>
          <w:rFonts w:ascii="Garamond" w:hAnsi="Garamond"/>
          <w:sz w:val="24"/>
          <w:szCs w:val="24"/>
        </w:rPr>
        <w:t xml:space="preserve"> </w:t>
      </w:r>
    </w:p>
    <w:p w14:paraId="50D89094" w14:textId="77777777" w:rsidR="00AC318F" w:rsidRPr="00A53689" w:rsidRDefault="00AC318F" w:rsidP="00F57FC9">
      <w:pPr>
        <w:spacing w:line="276" w:lineRule="auto"/>
        <w:rPr>
          <w:rFonts w:ascii="Garamond" w:hAnsi="Garamond"/>
          <w:b/>
          <w:sz w:val="28"/>
          <w:szCs w:val="24"/>
          <w:lang w:val="en-US"/>
        </w:rPr>
      </w:pPr>
      <w:r w:rsidRPr="00A53689">
        <w:rPr>
          <w:rFonts w:ascii="Garamond" w:hAnsi="Garamond"/>
          <w:b/>
          <w:sz w:val="28"/>
          <w:szCs w:val="24"/>
          <w:lang w:val="en-US"/>
        </w:rPr>
        <w:t xml:space="preserve">National </w:t>
      </w:r>
      <w:r w:rsidR="00024A12" w:rsidRPr="00A53689">
        <w:rPr>
          <w:rFonts w:ascii="Garamond" w:hAnsi="Garamond"/>
          <w:b/>
          <w:sz w:val="28"/>
          <w:szCs w:val="24"/>
          <w:lang w:val="en-US"/>
        </w:rPr>
        <w:t>imperatives</w:t>
      </w:r>
    </w:p>
    <w:p w14:paraId="1F2F5EF3" w14:textId="77777777" w:rsidR="002926A4" w:rsidRPr="00A53689" w:rsidRDefault="00586A4F" w:rsidP="00F57FC9">
      <w:pPr>
        <w:spacing w:after="200" w:line="276" w:lineRule="auto"/>
        <w:rPr>
          <w:rFonts w:ascii="Garamond" w:hAnsi="Garamond"/>
          <w:sz w:val="24"/>
          <w:szCs w:val="24"/>
          <w:lang w:val="en-US"/>
        </w:rPr>
      </w:pPr>
      <w:r w:rsidRPr="00A53689">
        <w:rPr>
          <w:rFonts w:ascii="Garamond" w:hAnsi="Garamond"/>
          <w:sz w:val="24"/>
          <w:szCs w:val="24"/>
          <w:lang w:val="en-US"/>
        </w:rPr>
        <w:t xml:space="preserve">The </w:t>
      </w:r>
      <w:r w:rsidR="00C67015" w:rsidRPr="00A53689">
        <w:rPr>
          <w:rFonts w:ascii="Garamond" w:hAnsi="Garamond"/>
          <w:sz w:val="24"/>
          <w:szCs w:val="24"/>
          <w:lang w:val="en-US"/>
        </w:rPr>
        <w:t xml:space="preserve">broad aim </w:t>
      </w:r>
      <w:r w:rsidRPr="00A53689">
        <w:rPr>
          <w:rFonts w:ascii="Garamond" w:hAnsi="Garamond"/>
          <w:sz w:val="24"/>
          <w:szCs w:val="24"/>
          <w:lang w:val="en-US"/>
        </w:rPr>
        <w:t xml:space="preserve">of government in Australia is to </w:t>
      </w:r>
      <w:r w:rsidR="00C67015" w:rsidRPr="00A53689">
        <w:rPr>
          <w:rFonts w:ascii="Garamond" w:hAnsi="Garamond"/>
          <w:sz w:val="24"/>
          <w:szCs w:val="24"/>
          <w:lang w:val="en-US"/>
        </w:rPr>
        <w:t>work towards the betterment of its citizens so that they can live</w:t>
      </w:r>
      <w:r w:rsidR="002926A4" w:rsidRPr="00A53689">
        <w:rPr>
          <w:rFonts w:ascii="Garamond" w:hAnsi="Garamond"/>
          <w:sz w:val="24"/>
          <w:szCs w:val="24"/>
          <w:lang w:val="en-US"/>
        </w:rPr>
        <w:t xml:space="preserve"> longer</w:t>
      </w:r>
      <w:r w:rsidR="00C67015" w:rsidRPr="00A53689">
        <w:rPr>
          <w:rFonts w:ascii="Garamond" w:hAnsi="Garamond"/>
          <w:sz w:val="24"/>
          <w:szCs w:val="24"/>
          <w:lang w:val="en-US"/>
        </w:rPr>
        <w:t xml:space="preserve"> and healthier lives, to tackle</w:t>
      </w:r>
      <w:r w:rsidR="002926A4" w:rsidRPr="00A53689">
        <w:rPr>
          <w:rFonts w:ascii="Garamond" w:hAnsi="Garamond"/>
          <w:sz w:val="24"/>
          <w:szCs w:val="24"/>
          <w:lang w:val="en-US"/>
        </w:rPr>
        <w:t xml:space="preserve"> significant inequalities in </w:t>
      </w:r>
      <w:r w:rsidR="00C67015" w:rsidRPr="00A53689">
        <w:rPr>
          <w:rFonts w:ascii="Garamond" w:hAnsi="Garamond"/>
          <w:sz w:val="24"/>
          <w:szCs w:val="24"/>
          <w:lang w:val="en-US"/>
        </w:rPr>
        <w:t>society, improve</w:t>
      </w:r>
      <w:r w:rsidR="002926A4" w:rsidRPr="00A53689">
        <w:rPr>
          <w:rFonts w:ascii="Garamond" w:hAnsi="Garamond"/>
          <w:sz w:val="24"/>
          <w:szCs w:val="24"/>
          <w:lang w:val="en-US"/>
        </w:rPr>
        <w:t xml:space="preserve"> life chances for children, young people and families who are at risk, </w:t>
      </w:r>
      <w:r w:rsidR="00C67015" w:rsidRPr="00A53689">
        <w:rPr>
          <w:rFonts w:ascii="Garamond" w:hAnsi="Garamond"/>
          <w:sz w:val="24"/>
          <w:szCs w:val="24"/>
          <w:lang w:val="en-US"/>
        </w:rPr>
        <w:t xml:space="preserve">and to </w:t>
      </w:r>
      <w:r w:rsidR="002926A4" w:rsidRPr="00A53689">
        <w:rPr>
          <w:rFonts w:ascii="Garamond" w:hAnsi="Garamond"/>
          <w:sz w:val="24"/>
          <w:szCs w:val="24"/>
          <w:lang w:val="en-US"/>
        </w:rPr>
        <w:t xml:space="preserve">build strong and resilient </w:t>
      </w:r>
      <w:r w:rsidR="00C67015" w:rsidRPr="00A53689">
        <w:rPr>
          <w:rFonts w:ascii="Garamond" w:hAnsi="Garamond"/>
          <w:sz w:val="24"/>
          <w:szCs w:val="24"/>
          <w:lang w:val="en-US"/>
        </w:rPr>
        <w:t>communities</w:t>
      </w:r>
      <w:r w:rsidR="002926A4" w:rsidRPr="00A53689">
        <w:rPr>
          <w:rFonts w:ascii="Garamond" w:hAnsi="Garamond"/>
          <w:sz w:val="24"/>
          <w:szCs w:val="24"/>
          <w:lang w:val="en-US"/>
        </w:rPr>
        <w:t>.</w:t>
      </w:r>
    </w:p>
    <w:p w14:paraId="60474DDB" w14:textId="15CBF638" w:rsidR="00E15E96" w:rsidRPr="00A53689" w:rsidRDefault="0083076E" w:rsidP="00F57FC9">
      <w:pPr>
        <w:spacing w:after="200" w:line="276" w:lineRule="auto"/>
        <w:rPr>
          <w:rFonts w:ascii="Garamond" w:hAnsi="Garamond"/>
          <w:sz w:val="24"/>
          <w:szCs w:val="24"/>
          <w:lang w:val="en-US"/>
        </w:rPr>
      </w:pPr>
      <w:r w:rsidRPr="00A53689">
        <w:rPr>
          <w:rFonts w:ascii="Garamond" w:hAnsi="Garamond"/>
          <w:sz w:val="24"/>
          <w:szCs w:val="24"/>
          <w:lang w:val="en-US"/>
        </w:rPr>
        <w:t xml:space="preserve">The Melbourne Declaration on Educational Goals for Young Australians outlines how education is central in </w:t>
      </w:r>
      <w:r w:rsidR="00E15E96" w:rsidRPr="00A53689">
        <w:rPr>
          <w:rFonts w:ascii="Garamond" w:hAnsi="Garamond"/>
          <w:sz w:val="24"/>
          <w:szCs w:val="24"/>
          <w:lang w:val="en-US"/>
        </w:rPr>
        <w:t>achieving</w:t>
      </w:r>
      <w:r w:rsidR="0037455F" w:rsidRPr="00A53689">
        <w:rPr>
          <w:rFonts w:ascii="Garamond" w:hAnsi="Garamond"/>
          <w:sz w:val="24"/>
          <w:szCs w:val="24"/>
          <w:lang w:val="en-US"/>
        </w:rPr>
        <w:t xml:space="preserve"> these goals. It outlines </w:t>
      </w:r>
      <w:r w:rsidRPr="00A53689">
        <w:rPr>
          <w:rFonts w:ascii="Garamond" w:hAnsi="Garamond"/>
          <w:sz w:val="24"/>
          <w:szCs w:val="24"/>
          <w:lang w:val="en-US"/>
        </w:rPr>
        <w:t>the role of</w:t>
      </w:r>
      <w:r w:rsidR="0037455F" w:rsidRPr="00A53689">
        <w:rPr>
          <w:rFonts w:ascii="Garamond" w:hAnsi="Garamond"/>
          <w:sz w:val="24"/>
          <w:szCs w:val="24"/>
          <w:lang w:val="en-US"/>
        </w:rPr>
        <w:t xml:space="preserve"> education in</w:t>
      </w:r>
      <w:r w:rsidRPr="00A53689">
        <w:rPr>
          <w:rFonts w:ascii="Garamond" w:hAnsi="Garamond"/>
          <w:sz w:val="24"/>
          <w:szCs w:val="24"/>
          <w:lang w:val="en-US"/>
        </w:rPr>
        <w:t xml:space="preserve"> building a democratic, equitable and prosperous society (M</w:t>
      </w:r>
      <w:r w:rsidR="00D912A0" w:rsidRPr="00A53689">
        <w:rPr>
          <w:rFonts w:ascii="Garamond" w:hAnsi="Garamond"/>
          <w:sz w:val="24"/>
          <w:szCs w:val="24"/>
          <w:lang w:val="en-US"/>
        </w:rPr>
        <w:t>CEECD</w:t>
      </w:r>
      <w:r w:rsidRPr="00A53689">
        <w:rPr>
          <w:rFonts w:ascii="Garamond" w:hAnsi="Garamond"/>
          <w:sz w:val="24"/>
          <w:szCs w:val="24"/>
          <w:lang w:val="en-US"/>
        </w:rPr>
        <w:t>YA, 2008).</w:t>
      </w:r>
      <w:r w:rsidR="00D912A0" w:rsidRPr="00A53689">
        <w:rPr>
          <w:rFonts w:ascii="Garamond" w:hAnsi="Garamond"/>
          <w:sz w:val="24"/>
          <w:szCs w:val="24"/>
          <w:lang w:val="en-US"/>
        </w:rPr>
        <w:t xml:space="preserve"> </w:t>
      </w:r>
      <w:r w:rsidR="00750CFA" w:rsidRPr="00A53689">
        <w:rPr>
          <w:rFonts w:ascii="Garamond" w:hAnsi="Garamond"/>
          <w:sz w:val="24"/>
          <w:szCs w:val="24"/>
          <w:lang w:val="en-US"/>
        </w:rPr>
        <w:t>The MCEECDYA focuses on the education of young Australians with the goal of producing successful learners who are confident and creative, and become active and informed citizens. The effective integration of financial capabilities education into the new Australian Curriculum will support</w:t>
      </w:r>
      <w:r w:rsidR="00D75499" w:rsidRPr="00A53689">
        <w:rPr>
          <w:rFonts w:ascii="Garamond" w:hAnsi="Garamond"/>
          <w:sz w:val="24"/>
          <w:szCs w:val="24"/>
          <w:lang w:val="en-US"/>
        </w:rPr>
        <w:t xml:space="preserve"> the achievement of these goals and improve the economic wellbeing of young Australians.</w:t>
      </w:r>
      <w:r w:rsidR="00E15E96" w:rsidRPr="00A53689">
        <w:rPr>
          <w:rFonts w:ascii="Garamond" w:hAnsi="Garamond"/>
          <w:sz w:val="24"/>
          <w:szCs w:val="24"/>
          <w:lang w:val="en-US"/>
        </w:rPr>
        <w:t xml:space="preserve"> </w:t>
      </w:r>
    </w:p>
    <w:p w14:paraId="74AF8345" w14:textId="77777777" w:rsidR="00E15E96" w:rsidRPr="00A53689" w:rsidRDefault="00E15E96" w:rsidP="00F57FC9">
      <w:pPr>
        <w:spacing w:after="200" w:line="276" w:lineRule="auto"/>
        <w:rPr>
          <w:rFonts w:ascii="Garamond" w:hAnsi="Garamond"/>
          <w:sz w:val="24"/>
          <w:szCs w:val="24"/>
          <w:lang w:val="en-US"/>
        </w:rPr>
      </w:pPr>
      <w:r w:rsidRPr="00A53689">
        <w:rPr>
          <w:rFonts w:ascii="Garamond" w:hAnsi="Garamond"/>
          <w:sz w:val="24"/>
          <w:szCs w:val="24"/>
          <w:lang w:val="en-US"/>
        </w:rPr>
        <w:t>Improving financial capabilities is</w:t>
      </w:r>
      <w:r w:rsidR="00EA1FB5" w:rsidRPr="00A53689">
        <w:rPr>
          <w:rFonts w:ascii="Garamond" w:hAnsi="Garamond"/>
          <w:sz w:val="24"/>
          <w:szCs w:val="24"/>
          <w:lang w:val="en-US"/>
        </w:rPr>
        <w:t xml:space="preserve"> </w:t>
      </w:r>
      <w:r w:rsidRPr="00A53689">
        <w:rPr>
          <w:rFonts w:ascii="Garamond" w:hAnsi="Garamond"/>
          <w:sz w:val="24"/>
          <w:szCs w:val="24"/>
          <w:lang w:val="en-US"/>
        </w:rPr>
        <w:t>essential to our nation’s economic health.</w:t>
      </w:r>
    </w:p>
    <w:p w14:paraId="576565CC" w14:textId="77777777" w:rsidR="00266C78" w:rsidRPr="00A53689" w:rsidRDefault="00AC318F" w:rsidP="00F57FC9">
      <w:pPr>
        <w:spacing w:line="276" w:lineRule="auto"/>
        <w:rPr>
          <w:rFonts w:ascii="Garamond" w:hAnsi="Garamond"/>
          <w:b/>
          <w:sz w:val="28"/>
          <w:szCs w:val="24"/>
          <w:lang w:val="en-US"/>
        </w:rPr>
      </w:pPr>
      <w:r w:rsidRPr="00A53689">
        <w:rPr>
          <w:rFonts w:ascii="Garamond" w:hAnsi="Garamond"/>
          <w:b/>
          <w:sz w:val="28"/>
          <w:szCs w:val="24"/>
          <w:lang w:val="en-US"/>
        </w:rPr>
        <w:t xml:space="preserve">Political </w:t>
      </w:r>
      <w:r w:rsidR="00CD6A6D" w:rsidRPr="00A53689">
        <w:rPr>
          <w:rFonts w:ascii="Garamond" w:hAnsi="Garamond"/>
          <w:b/>
          <w:sz w:val="28"/>
          <w:szCs w:val="24"/>
          <w:lang w:val="en-US"/>
        </w:rPr>
        <w:t>focus</w:t>
      </w:r>
    </w:p>
    <w:p w14:paraId="67FF1BD3" w14:textId="77777777" w:rsidR="00266C78" w:rsidRPr="00BE4C3D" w:rsidRDefault="00266C78" w:rsidP="00F57FC9">
      <w:pPr>
        <w:spacing w:after="60" w:line="276" w:lineRule="auto"/>
        <w:rPr>
          <w:rFonts w:ascii="Garamond" w:hAnsi="Garamond"/>
          <w:sz w:val="24"/>
          <w:szCs w:val="24"/>
          <w:u w:val="single"/>
        </w:rPr>
      </w:pPr>
      <w:r w:rsidRPr="00BE4C3D">
        <w:rPr>
          <w:rFonts w:ascii="Garamond" w:hAnsi="Garamond"/>
          <w:sz w:val="24"/>
          <w:szCs w:val="24"/>
          <w:u w:val="single"/>
        </w:rPr>
        <w:t>Youth unemployment</w:t>
      </w:r>
    </w:p>
    <w:p w14:paraId="40DB49E4" w14:textId="1A9EDF0D" w:rsidR="00502472" w:rsidRPr="00A53689" w:rsidRDefault="00CD6A6D" w:rsidP="00F57FC9">
      <w:pPr>
        <w:spacing w:after="200" w:line="276" w:lineRule="auto"/>
        <w:rPr>
          <w:rFonts w:ascii="Garamond" w:hAnsi="Garamond"/>
          <w:sz w:val="24"/>
          <w:szCs w:val="24"/>
          <w:lang w:val="en-US"/>
        </w:rPr>
      </w:pPr>
      <w:r w:rsidRPr="00A53689">
        <w:rPr>
          <w:rFonts w:ascii="Garamond" w:hAnsi="Garamond"/>
          <w:sz w:val="24"/>
          <w:szCs w:val="24"/>
          <w:lang w:val="en-US"/>
        </w:rPr>
        <w:t>M</w:t>
      </w:r>
      <w:r w:rsidR="007A2A5A" w:rsidRPr="00A53689">
        <w:rPr>
          <w:rFonts w:ascii="Garamond" w:hAnsi="Garamond"/>
          <w:sz w:val="24"/>
          <w:szCs w:val="24"/>
          <w:lang w:val="en-US"/>
        </w:rPr>
        <w:t xml:space="preserve">ore than 27 per cent of Australians aged 17-24 were not in full-time study or work in 2011. </w:t>
      </w:r>
      <w:r w:rsidR="00CF30E3" w:rsidRPr="00A53689">
        <w:rPr>
          <w:rFonts w:ascii="Garamond" w:hAnsi="Garamond"/>
          <w:sz w:val="24"/>
          <w:szCs w:val="24"/>
          <w:lang w:val="en-US"/>
        </w:rPr>
        <w:t>Professor Craven</w:t>
      </w:r>
      <w:r w:rsidR="004F52BF" w:rsidRPr="00A53689">
        <w:rPr>
          <w:rFonts w:ascii="Garamond" w:hAnsi="Garamond"/>
          <w:sz w:val="24"/>
          <w:szCs w:val="24"/>
          <w:lang w:val="en-US"/>
        </w:rPr>
        <w:t>, Vice-Chancellor</w:t>
      </w:r>
      <w:r w:rsidR="00CF30E3" w:rsidRPr="00A53689">
        <w:rPr>
          <w:rFonts w:ascii="Garamond" w:hAnsi="Garamond"/>
          <w:sz w:val="24"/>
          <w:szCs w:val="24"/>
          <w:lang w:val="en-US"/>
        </w:rPr>
        <w:t xml:space="preserve"> </w:t>
      </w:r>
      <w:r w:rsidR="008F25D1" w:rsidRPr="00A53689">
        <w:rPr>
          <w:rFonts w:ascii="Garamond" w:hAnsi="Garamond"/>
          <w:sz w:val="24"/>
          <w:szCs w:val="24"/>
          <w:lang w:val="en-US"/>
        </w:rPr>
        <w:t>of</w:t>
      </w:r>
      <w:r w:rsidR="004F52BF" w:rsidRPr="00A53689">
        <w:rPr>
          <w:rFonts w:ascii="Garamond" w:hAnsi="Garamond"/>
          <w:sz w:val="24"/>
          <w:szCs w:val="24"/>
          <w:lang w:val="en-US"/>
        </w:rPr>
        <w:t xml:space="preserve"> the Australian Catholic University, </w:t>
      </w:r>
      <w:r w:rsidR="00CF30E3" w:rsidRPr="00A53689">
        <w:rPr>
          <w:rFonts w:ascii="Garamond" w:hAnsi="Garamond"/>
          <w:sz w:val="24"/>
          <w:szCs w:val="24"/>
          <w:lang w:val="en-US"/>
        </w:rPr>
        <w:t>said "w</w:t>
      </w:r>
      <w:r w:rsidR="007A2A5A" w:rsidRPr="00A53689">
        <w:rPr>
          <w:rFonts w:ascii="Garamond" w:hAnsi="Garamond"/>
          <w:sz w:val="24"/>
          <w:szCs w:val="24"/>
          <w:lang w:val="en-US"/>
        </w:rPr>
        <w:t xml:space="preserve">e've found that more than a quarter of young people are still not fully engaged in work or study after they leave school". </w:t>
      </w:r>
      <w:r w:rsidR="00CF30E3" w:rsidRPr="00A53689">
        <w:rPr>
          <w:rFonts w:ascii="Garamond" w:hAnsi="Garamond"/>
          <w:sz w:val="24"/>
          <w:szCs w:val="24"/>
          <w:lang w:val="en-US"/>
        </w:rPr>
        <w:t>For those from disadvantaged communities t</w:t>
      </w:r>
      <w:r w:rsidR="007A2A5A" w:rsidRPr="00A53689">
        <w:rPr>
          <w:rFonts w:ascii="Garamond" w:hAnsi="Garamond"/>
          <w:sz w:val="24"/>
          <w:szCs w:val="24"/>
          <w:lang w:val="en-US"/>
        </w:rPr>
        <w:t>he outcomes are worse</w:t>
      </w:r>
      <w:r w:rsidR="00CF30E3" w:rsidRPr="00A53689">
        <w:rPr>
          <w:rFonts w:ascii="Garamond" w:hAnsi="Garamond"/>
          <w:sz w:val="24"/>
          <w:szCs w:val="24"/>
          <w:lang w:val="en-US"/>
        </w:rPr>
        <w:t>. M</w:t>
      </w:r>
      <w:r w:rsidR="007A2A5A" w:rsidRPr="00A53689">
        <w:rPr>
          <w:rFonts w:ascii="Garamond" w:hAnsi="Garamond"/>
          <w:sz w:val="24"/>
          <w:szCs w:val="24"/>
          <w:lang w:val="en-US"/>
        </w:rPr>
        <w:t>ore than 40 per cent of young people are not earning or</w:t>
      </w:r>
      <w:r w:rsidRPr="00A53689">
        <w:rPr>
          <w:rFonts w:ascii="Garamond" w:hAnsi="Garamond"/>
          <w:sz w:val="24"/>
          <w:szCs w:val="24"/>
          <w:lang w:val="en-US"/>
        </w:rPr>
        <w:t xml:space="preserve"> learning</w:t>
      </w:r>
      <w:r w:rsidR="001E1ADE" w:rsidRPr="00A53689">
        <w:rPr>
          <w:rFonts w:ascii="Garamond" w:hAnsi="Garamond"/>
          <w:sz w:val="24"/>
          <w:szCs w:val="24"/>
          <w:lang w:val="en-US"/>
        </w:rPr>
        <w:t xml:space="preserve">. </w:t>
      </w:r>
      <w:r w:rsidR="00920957" w:rsidRPr="00A53689">
        <w:rPr>
          <w:rFonts w:ascii="Garamond" w:hAnsi="Garamond"/>
          <w:sz w:val="24"/>
          <w:szCs w:val="24"/>
          <w:lang w:val="en-US"/>
        </w:rPr>
        <w:t>Megan Lilly, b</w:t>
      </w:r>
      <w:r w:rsidR="001E1ADE" w:rsidRPr="00A53689">
        <w:rPr>
          <w:rFonts w:ascii="Garamond" w:hAnsi="Garamond"/>
          <w:sz w:val="24"/>
          <w:szCs w:val="24"/>
          <w:lang w:val="en-US"/>
        </w:rPr>
        <w:t xml:space="preserve">usiness leader and member of the Australian Industry Group, argues that many young people do not have the required skills and capabilities for work. She said, "a lot of young people really don't have sufficient skills” and that "we really need the system to support these young people." </w:t>
      </w:r>
      <w:r w:rsidRPr="00A53689">
        <w:rPr>
          <w:rFonts w:ascii="Garamond" w:hAnsi="Garamond"/>
          <w:sz w:val="24"/>
          <w:szCs w:val="24"/>
          <w:lang w:val="en-US"/>
        </w:rPr>
        <w:t>(</w:t>
      </w:r>
      <w:hyperlink r:id="rId9" w:history="1">
        <w:r w:rsidR="005A0E92" w:rsidRPr="00A53689">
          <w:rPr>
            <w:rStyle w:val="Hyperlink"/>
            <w:rFonts w:ascii="Garamond" w:hAnsi="Garamond"/>
            <w:sz w:val="24"/>
            <w:szCs w:val="24"/>
            <w:lang w:val="en-US"/>
          </w:rPr>
          <w:t>McDonald,</w:t>
        </w:r>
        <w:r w:rsidR="009C2497" w:rsidRPr="00A53689">
          <w:rPr>
            <w:rStyle w:val="Hyperlink"/>
            <w:rFonts w:ascii="Garamond" w:hAnsi="Garamond"/>
            <w:sz w:val="24"/>
            <w:szCs w:val="24"/>
            <w:lang w:val="en-US"/>
          </w:rPr>
          <w:t xml:space="preserve"> </w:t>
        </w:r>
        <w:r w:rsidR="005A0E92" w:rsidRPr="00A53689">
          <w:rPr>
            <w:rStyle w:val="Hyperlink"/>
            <w:rFonts w:ascii="Garamond" w:hAnsi="Garamond"/>
            <w:sz w:val="24"/>
            <w:szCs w:val="24"/>
            <w:lang w:val="en-US"/>
          </w:rPr>
          <w:t>S. 2013</w:t>
        </w:r>
      </w:hyperlink>
      <w:r w:rsidR="00A53689">
        <w:rPr>
          <w:rFonts w:ascii="Garamond" w:hAnsi="Garamond"/>
          <w:sz w:val="24"/>
          <w:szCs w:val="24"/>
          <w:lang w:val="en-US"/>
        </w:rPr>
        <w:t>)</w:t>
      </w:r>
      <w:r w:rsidRPr="00A53689">
        <w:rPr>
          <w:rFonts w:ascii="Garamond" w:hAnsi="Garamond"/>
          <w:sz w:val="24"/>
          <w:szCs w:val="24"/>
          <w:lang w:val="en-US"/>
        </w:rPr>
        <w:t>.</w:t>
      </w:r>
      <w:r w:rsidR="001441F1" w:rsidRPr="00A53689">
        <w:rPr>
          <w:rFonts w:ascii="Garamond" w:hAnsi="Garamond"/>
          <w:sz w:val="24"/>
          <w:szCs w:val="24"/>
          <w:lang w:val="en-US"/>
        </w:rPr>
        <w:t xml:space="preserve"> </w:t>
      </w:r>
      <w:r w:rsidR="000C3288" w:rsidRPr="00A53689">
        <w:rPr>
          <w:rFonts w:ascii="Garamond" w:hAnsi="Garamond"/>
          <w:sz w:val="24"/>
          <w:szCs w:val="24"/>
          <w:lang w:val="en-US"/>
        </w:rPr>
        <w:t>Whilst the youth of Australia are not engaged in work or study, they are not contributing to the Australian economy.</w:t>
      </w:r>
    </w:p>
    <w:p w14:paraId="74162E74" w14:textId="77777777" w:rsidR="00F57FC9" w:rsidRDefault="00F57FC9">
      <w:pPr>
        <w:rPr>
          <w:rFonts w:ascii="Garamond" w:hAnsi="Garamond"/>
          <w:sz w:val="24"/>
          <w:szCs w:val="24"/>
          <w:u w:val="single"/>
        </w:rPr>
      </w:pPr>
      <w:r>
        <w:rPr>
          <w:rFonts w:ascii="Garamond" w:hAnsi="Garamond"/>
          <w:sz w:val="24"/>
          <w:szCs w:val="24"/>
          <w:u w:val="single"/>
        </w:rPr>
        <w:br w:type="page"/>
      </w:r>
    </w:p>
    <w:p w14:paraId="3B96F14E" w14:textId="21D14379" w:rsidR="00266C78" w:rsidRPr="00A53689" w:rsidRDefault="00266C78" w:rsidP="00F57FC9">
      <w:pPr>
        <w:spacing w:after="60" w:line="276" w:lineRule="auto"/>
        <w:rPr>
          <w:rFonts w:ascii="Garamond" w:hAnsi="Garamond"/>
          <w:sz w:val="24"/>
          <w:szCs w:val="24"/>
          <w:u w:val="single"/>
        </w:rPr>
      </w:pPr>
      <w:r w:rsidRPr="00A53689">
        <w:rPr>
          <w:rFonts w:ascii="Garamond" w:hAnsi="Garamond"/>
          <w:sz w:val="24"/>
          <w:szCs w:val="24"/>
          <w:u w:val="single"/>
        </w:rPr>
        <w:lastRenderedPageBreak/>
        <w:t>Financial Exclusion</w:t>
      </w:r>
    </w:p>
    <w:p w14:paraId="28B4178D" w14:textId="1C5F9291" w:rsidR="000A21C1" w:rsidRPr="00A53689" w:rsidRDefault="000A21C1" w:rsidP="00F57FC9">
      <w:pPr>
        <w:spacing w:after="200" w:line="276" w:lineRule="auto"/>
        <w:rPr>
          <w:rFonts w:ascii="Garamond" w:hAnsi="Garamond"/>
          <w:sz w:val="24"/>
          <w:szCs w:val="24"/>
        </w:rPr>
      </w:pPr>
      <w:r w:rsidRPr="00A53689">
        <w:rPr>
          <w:rFonts w:ascii="Garamond" w:hAnsi="Garamond"/>
          <w:sz w:val="24"/>
          <w:szCs w:val="24"/>
        </w:rPr>
        <w:t>F</w:t>
      </w:r>
      <w:r w:rsidR="00502472" w:rsidRPr="00A53689">
        <w:rPr>
          <w:rFonts w:ascii="Garamond" w:hAnsi="Garamond"/>
          <w:sz w:val="24"/>
          <w:szCs w:val="24"/>
        </w:rPr>
        <w:t xml:space="preserve">inancial exclusion </w:t>
      </w:r>
      <w:r w:rsidRPr="00A53689">
        <w:rPr>
          <w:rFonts w:ascii="Garamond" w:hAnsi="Garamond"/>
          <w:sz w:val="24"/>
          <w:szCs w:val="24"/>
        </w:rPr>
        <w:t>is closely intertwined with the interaction between</w:t>
      </w:r>
      <w:r w:rsidR="00502472" w:rsidRPr="00A53689">
        <w:rPr>
          <w:rFonts w:ascii="Garamond" w:hAnsi="Garamond"/>
          <w:sz w:val="24"/>
          <w:szCs w:val="24"/>
        </w:rPr>
        <w:t xml:space="preserve"> social and economic disadvantage in Australia</w:t>
      </w:r>
      <w:r w:rsidRPr="00A53689">
        <w:rPr>
          <w:rFonts w:ascii="Garamond" w:hAnsi="Garamond"/>
          <w:sz w:val="24"/>
          <w:szCs w:val="24"/>
        </w:rPr>
        <w:t xml:space="preserve">. It exists where individuals do not have access to financial services and products. These include services such as having a transaction account, obtaining insurance and access to credit. </w:t>
      </w:r>
    </w:p>
    <w:p w14:paraId="1FF84A60" w14:textId="77777777" w:rsidR="00884FAA" w:rsidRPr="00A53689" w:rsidRDefault="000A21C1" w:rsidP="00F57FC9">
      <w:pPr>
        <w:spacing w:after="200" w:line="276" w:lineRule="auto"/>
        <w:rPr>
          <w:rFonts w:ascii="Garamond" w:hAnsi="Garamond"/>
          <w:sz w:val="24"/>
          <w:szCs w:val="24"/>
        </w:rPr>
      </w:pPr>
      <w:r w:rsidRPr="00A53689">
        <w:rPr>
          <w:rFonts w:ascii="Garamond" w:hAnsi="Garamond"/>
          <w:sz w:val="24"/>
          <w:szCs w:val="24"/>
        </w:rPr>
        <w:t>In 2013</w:t>
      </w:r>
      <w:r w:rsidR="00025582" w:rsidRPr="00A53689">
        <w:rPr>
          <w:rFonts w:ascii="Garamond" w:hAnsi="Garamond"/>
          <w:sz w:val="24"/>
          <w:szCs w:val="24"/>
        </w:rPr>
        <w:t>,</w:t>
      </w:r>
      <w:r w:rsidRPr="00A53689">
        <w:rPr>
          <w:rFonts w:ascii="Garamond" w:hAnsi="Garamond"/>
          <w:sz w:val="24"/>
          <w:szCs w:val="24"/>
        </w:rPr>
        <w:t xml:space="preserve"> around 17.7% of Australian adults were classified as being fully excluded or severely excluded from financial services. In real terms, 194,117 adults are fully excluded and 2,929,402 are severely excluded, providing a combined total of 3,123,519.</w:t>
      </w:r>
      <w:r w:rsidR="00355176" w:rsidRPr="00A53689">
        <w:rPr>
          <w:rFonts w:ascii="Garamond" w:hAnsi="Garamond"/>
          <w:sz w:val="24"/>
          <w:szCs w:val="24"/>
        </w:rPr>
        <w:t xml:space="preserve"> </w:t>
      </w:r>
      <w:r w:rsidR="008912B4" w:rsidRPr="00A53689">
        <w:rPr>
          <w:rFonts w:ascii="Garamond" w:hAnsi="Garamond"/>
          <w:sz w:val="24"/>
          <w:szCs w:val="24"/>
        </w:rPr>
        <w:t>Citizens who are financial</w:t>
      </w:r>
      <w:r w:rsidR="00C72ADA" w:rsidRPr="00A53689">
        <w:rPr>
          <w:rFonts w:ascii="Garamond" w:hAnsi="Garamond"/>
          <w:sz w:val="24"/>
          <w:szCs w:val="24"/>
        </w:rPr>
        <w:t>ly</w:t>
      </w:r>
      <w:r w:rsidR="008912B4" w:rsidRPr="00A53689">
        <w:rPr>
          <w:rFonts w:ascii="Garamond" w:hAnsi="Garamond"/>
          <w:sz w:val="24"/>
          <w:szCs w:val="24"/>
        </w:rPr>
        <w:t xml:space="preserve"> excluded cannot contribute nor participate fully in Australian society.</w:t>
      </w:r>
      <w:r w:rsidR="00F72CE4" w:rsidRPr="00A53689">
        <w:rPr>
          <w:rFonts w:ascii="Garamond" w:hAnsi="Garamond"/>
          <w:sz w:val="24"/>
          <w:szCs w:val="24"/>
        </w:rPr>
        <w:t xml:space="preserve"> </w:t>
      </w:r>
      <w:r w:rsidR="00884FAA" w:rsidRPr="00A53689">
        <w:rPr>
          <w:rFonts w:ascii="Garamond" w:hAnsi="Garamond"/>
          <w:sz w:val="24"/>
          <w:szCs w:val="24"/>
        </w:rPr>
        <w:t>There is a direct link between age</w:t>
      </w:r>
      <w:r w:rsidR="00983CCE" w:rsidRPr="00A53689">
        <w:rPr>
          <w:rFonts w:ascii="Garamond" w:hAnsi="Garamond"/>
          <w:sz w:val="24"/>
          <w:szCs w:val="24"/>
        </w:rPr>
        <w:t xml:space="preserve">, </w:t>
      </w:r>
      <w:r w:rsidR="00884FAA" w:rsidRPr="00A53689">
        <w:rPr>
          <w:rFonts w:ascii="Garamond" w:hAnsi="Garamond"/>
          <w:sz w:val="24"/>
          <w:szCs w:val="24"/>
        </w:rPr>
        <w:t>level of education</w:t>
      </w:r>
      <w:r w:rsidR="00983CCE" w:rsidRPr="00A53689">
        <w:rPr>
          <w:rFonts w:ascii="Garamond" w:hAnsi="Garamond"/>
          <w:sz w:val="24"/>
          <w:szCs w:val="24"/>
        </w:rPr>
        <w:t xml:space="preserve"> and financial exclusion</w:t>
      </w:r>
      <w:r w:rsidR="00884FAA" w:rsidRPr="00A53689">
        <w:rPr>
          <w:rFonts w:ascii="Garamond" w:hAnsi="Garamond"/>
          <w:sz w:val="24"/>
          <w:szCs w:val="24"/>
        </w:rPr>
        <w:t xml:space="preserve">. The Centre for Social Impact found that most of the </w:t>
      </w:r>
      <w:r w:rsidR="000F6524" w:rsidRPr="00A53689">
        <w:rPr>
          <w:rFonts w:ascii="Garamond" w:hAnsi="Garamond"/>
          <w:sz w:val="24"/>
          <w:szCs w:val="24"/>
        </w:rPr>
        <w:t>severely</w:t>
      </w:r>
      <w:r w:rsidR="00884FAA" w:rsidRPr="00A53689">
        <w:rPr>
          <w:rFonts w:ascii="Garamond" w:hAnsi="Garamond"/>
          <w:sz w:val="24"/>
          <w:szCs w:val="24"/>
        </w:rPr>
        <w:t xml:space="preserve"> excluded adults had not completed secondary education and were less than 35 years of age.</w:t>
      </w:r>
    </w:p>
    <w:p w14:paraId="25F28A48" w14:textId="597F6813" w:rsidR="00297D7C" w:rsidRPr="00A53689" w:rsidRDefault="00884FAA" w:rsidP="00F57FC9">
      <w:pPr>
        <w:spacing w:after="200" w:line="276" w:lineRule="auto"/>
        <w:rPr>
          <w:rFonts w:ascii="Garamond" w:hAnsi="Garamond"/>
          <w:sz w:val="24"/>
          <w:szCs w:val="24"/>
        </w:rPr>
      </w:pPr>
      <w:r w:rsidRPr="00A53689">
        <w:rPr>
          <w:rFonts w:ascii="Garamond" w:hAnsi="Garamond"/>
          <w:sz w:val="24"/>
          <w:szCs w:val="24"/>
        </w:rPr>
        <w:t>The Centre for Social Impact</w:t>
      </w:r>
      <w:r w:rsidR="00D717F5" w:rsidRPr="00A53689">
        <w:rPr>
          <w:rFonts w:ascii="Garamond" w:hAnsi="Garamond"/>
          <w:sz w:val="24"/>
          <w:szCs w:val="24"/>
        </w:rPr>
        <w:t xml:space="preserve"> also</w:t>
      </w:r>
      <w:r w:rsidRPr="00A53689">
        <w:rPr>
          <w:rFonts w:ascii="Garamond" w:hAnsi="Garamond"/>
          <w:sz w:val="24"/>
          <w:szCs w:val="24"/>
        </w:rPr>
        <w:t xml:space="preserve"> outlined measures </w:t>
      </w:r>
      <w:r w:rsidR="00C51513" w:rsidRPr="00A53689">
        <w:rPr>
          <w:rFonts w:ascii="Garamond" w:hAnsi="Garamond"/>
          <w:sz w:val="24"/>
          <w:szCs w:val="24"/>
        </w:rPr>
        <w:t xml:space="preserve">to improve financial inclusion including access to basic banking. They </w:t>
      </w:r>
      <w:r w:rsidR="00D717F5" w:rsidRPr="00A53689">
        <w:rPr>
          <w:rFonts w:ascii="Garamond" w:hAnsi="Garamond"/>
          <w:sz w:val="24"/>
          <w:szCs w:val="24"/>
        </w:rPr>
        <w:t>stated,</w:t>
      </w:r>
      <w:r w:rsidR="00C51513" w:rsidRPr="00A53689">
        <w:rPr>
          <w:rFonts w:ascii="Garamond" w:hAnsi="Garamond"/>
          <w:sz w:val="24"/>
          <w:szCs w:val="24"/>
        </w:rPr>
        <w:t xml:space="preserve"> </w:t>
      </w:r>
      <w:r w:rsidR="000B2B9B" w:rsidRPr="00A53689">
        <w:rPr>
          <w:rFonts w:ascii="Garamond" w:hAnsi="Garamond"/>
          <w:sz w:val="24"/>
          <w:szCs w:val="24"/>
        </w:rPr>
        <w:t>“</w:t>
      </w:r>
      <w:proofErr w:type="gramStart"/>
      <w:r w:rsidR="00C51513" w:rsidRPr="00A53689">
        <w:rPr>
          <w:rFonts w:ascii="Garamond" w:hAnsi="Garamond"/>
          <w:sz w:val="24"/>
          <w:szCs w:val="24"/>
        </w:rPr>
        <w:t>banks</w:t>
      </w:r>
      <w:proofErr w:type="gramEnd"/>
      <w:r w:rsidR="00C51513" w:rsidRPr="00A53689">
        <w:rPr>
          <w:rFonts w:ascii="Garamond" w:hAnsi="Garamond"/>
          <w:sz w:val="24"/>
          <w:szCs w:val="24"/>
        </w:rPr>
        <w:t xml:space="preserve"> and</w:t>
      </w:r>
      <w:r w:rsidR="000B2B9B" w:rsidRPr="00A53689">
        <w:rPr>
          <w:rFonts w:ascii="Garamond" w:hAnsi="Garamond"/>
          <w:sz w:val="24"/>
          <w:szCs w:val="24"/>
        </w:rPr>
        <w:t xml:space="preserve"> other mainstream financial service providers such as credit unions and building societies have, over time, recognised that some low income and vulnerable consumers require assistance in accessing (and maintaining) affordable and appropriate transaction accounts”. </w:t>
      </w:r>
      <w:r w:rsidR="00D40CB0" w:rsidRPr="00A53689">
        <w:rPr>
          <w:rFonts w:ascii="Garamond" w:hAnsi="Garamond"/>
          <w:sz w:val="24"/>
          <w:szCs w:val="24"/>
        </w:rPr>
        <w:t>T</w:t>
      </w:r>
      <w:r w:rsidR="00494E60" w:rsidRPr="00A53689">
        <w:rPr>
          <w:rFonts w:ascii="Garamond" w:hAnsi="Garamond"/>
          <w:sz w:val="24"/>
          <w:szCs w:val="24"/>
        </w:rPr>
        <w:t>hese</w:t>
      </w:r>
      <w:r w:rsidR="00082792" w:rsidRPr="00A53689">
        <w:rPr>
          <w:rFonts w:ascii="Garamond" w:hAnsi="Garamond"/>
          <w:sz w:val="24"/>
          <w:szCs w:val="24"/>
        </w:rPr>
        <w:t xml:space="preserve"> life</w:t>
      </w:r>
      <w:r w:rsidR="000B2B9B" w:rsidRPr="00A53689">
        <w:rPr>
          <w:rFonts w:ascii="Garamond" w:hAnsi="Garamond"/>
          <w:sz w:val="24"/>
          <w:szCs w:val="24"/>
        </w:rPr>
        <w:t xml:space="preserve"> skills and financial capabilities</w:t>
      </w:r>
      <w:r w:rsidR="00217A14" w:rsidRPr="00A53689">
        <w:rPr>
          <w:rFonts w:ascii="Garamond" w:hAnsi="Garamond"/>
          <w:sz w:val="24"/>
          <w:szCs w:val="24"/>
        </w:rPr>
        <w:t xml:space="preserve"> </w:t>
      </w:r>
      <w:r w:rsidR="00082792" w:rsidRPr="00A53689">
        <w:rPr>
          <w:rFonts w:ascii="Garamond" w:hAnsi="Garamond"/>
          <w:sz w:val="24"/>
          <w:szCs w:val="24"/>
        </w:rPr>
        <w:t>should be</w:t>
      </w:r>
      <w:r w:rsidR="00217A14" w:rsidRPr="00A53689">
        <w:rPr>
          <w:rFonts w:ascii="Garamond" w:hAnsi="Garamond"/>
          <w:sz w:val="24"/>
          <w:szCs w:val="24"/>
        </w:rPr>
        <w:t xml:space="preserve"> integral to teaching and learning</w:t>
      </w:r>
      <w:r w:rsidR="00494E60" w:rsidRPr="00A53689">
        <w:rPr>
          <w:rFonts w:ascii="Garamond" w:hAnsi="Garamond"/>
          <w:sz w:val="24"/>
          <w:szCs w:val="24"/>
        </w:rPr>
        <w:t xml:space="preserve"> to ensure that financial exclusion is </w:t>
      </w:r>
      <w:r w:rsidR="00217A14" w:rsidRPr="00A53689">
        <w:rPr>
          <w:rFonts w:ascii="Garamond" w:hAnsi="Garamond"/>
          <w:sz w:val="24"/>
          <w:szCs w:val="24"/>
        </w:rPr>
        <w:t>addressed in Australia</w:t>
      </w:r>
      <w:r w:rsidR="00494E60" w:rsidRPr="00A53689">
        <w:rPr>
          <w:rFonts w:ascii="Garamond" w:hAnsi="Garamond"/>
          <w:sz w:val="24"/>
          <w:szCs w:val="24"/>
        </w:rPr>
        <w:t>.</w:t>
      </w:r>
      <w:r w:rsidRPr="00A53689">
        <w:rPr>
          <w:rFonts w:ascii="Garamond" w:hAnsi="Garamond"/>
          <w:sz w:val="24"/>
          <w:szCs w:val="24"/>
        </w:rPr>
        <w:t xml:space="preserve"> </w:t>
      </w:r>
      <w:r w:rsidR="00C1388A" w:rsidRPr="00A53689">
        <w:rPr>
          <w:rFonts w:ascii="Garamond" w:hAnsi="Garamond"/>
          <w:sz w:val="24"/>
          <w:szCs w:val="24"/>
        </w:rPr>
        <w:t xml:space="preserve">(Centre for Social Impact commissioned by the </w:t>
      </w:r>
      <w:r w:rsidR="00854A5A" w:rsidRPr="00A53689">
        <w:rPr>
          <w:rFonts w:ascii="Garamond" w:hAnsi="Garamond"/>
          <w:sz w:val="24"/>
          <w:szCs w:val="24"/>
        </w:rPr>
        <w:t>NAB</w:t>
      </w:r>
      <w:r w:rsidR="00C1388A" w:rsidRPr="00A53689">
        <w:rPr>
          <w:rFonts w:ascii="Garamond" w:hAnsi="Garamond"/>
          <w:sz w:val="24"/>
          <w:szCs w:val="24"/>
        </w:rPr>
        <w:t>, ‘</w:t>
      </w:r>
      <w:hyperlink r:id="rId10" w:history="1">
        <w:r w:rsidR="00C1388A" w:rsidRPr="00A53689">
          <w:rPr>
            <w:rStyle w:val="Hyperlink"/>
            <w:rFonts w:ascii="Garamond" w:hAnsi="Garamond"/>
            <w:sz w:val="24"/>
            <w:szCs w:val="24"/>
          </w:rPr>
          <w:t>Measuring Financial Exclusion</w:t>
        </w:r>
      </w:hyperlink>
      <w:r w:rsidR="00A53689">
        <w:rPr>
          <w:rFonts w:ascii="Garamond" w:hAnsi="Garamond"/>
          <w:sz w:val="24"/>
          <w:szCs w:val="24"/>
        </w:rPr>
        <w:t>’)</w:t>
      </w:r>
    </w:p>
    <w:p w14:paraId="64AFC432" w14:textId="77777777" w:rsidR="00113B57" w:rsidRPr="00A53689" w:rsidRDefault="006720E3" w:rsidP="00F57FC9">
      <w:pPr>
        <w:spacing w:after="60" w:line="276" w:lineRule="auto"/>
        <w:rPr>
          <w:rFonts w:ascii="Garamond" w:hAnsi="Garamond"/>
          <w:sz w:val="24"/>
          <w:szCs w:val="24"/>
          <w:u w:val="single"/>
        </w:rPr>
      </w:pPr>
      <w:r w:rsidRPr="00A53689">
        <w:rPr>
          <w:rFonts w:ascii="Garamond" w:hAnsi="Garamond"/>
          <w:sz w:val="24"/>
          <w:szCs w:val="24"/>
          <w:u w:val="single"/>
        </w:rPr>
        <w:t>Predatory Brokers and Credit Providers</w:t>
      </w:r>
    </w:p>
    <w:p w14:paraId="6816E9DF" w14:textId="77777777" w:rsidR="00A53689" w:rsidRDefault="00B05ED2" w:rsidP="00F57FC9">
      <w:pPr>
        <w:spacing w:after="200" w:line="276" w:lineRule="auto"/>
        <w:rPr>
          <w:rFonts w:ascii="Garamond" w:hAnsi="Garamond"/>
          <w:sz w:val="24"/>
          <w:szCs w:val="24"/>
        </w:rPr>
      </w:pPr>
      <w:r w:rsidRPr="00A53689">
        <w:rPr>
          <w:rFonts w:ascii="Garamond" w:hAnsi="Garamond"/>
          <w:sz w:val="24"/>
          <w:szCs w:val="24"/>
        </w:rPr>
        <w:t xml:space="preserve">The </w:t>
      </w:r>
      <w:r w:rsidR="00F51948" w:rsidRPr="00A53689">
        <w:rPr>
          <w:rFonts w:ascii="Garamond" w:hAnsi="Garamond"/>
          <w:sz w:val="24"/>
          <w:szCs w:val="24"/>
        </w:rPr>
        <w:t>Australian Securi</w:t>
      </w:r>
      <w:r w:rsidR="001A0995" w:rsidRPr="00A53689">
        <w:rPr>
          <w:rFonts w:ascii="Garamond" w:hAnsi="Garamond"/>
          <w:sz w:val="24"/>
          <w:szCs w:val="24"/>
        </w:rPr>
        <w:t>ties and Investments Commission</w:t>
      </w:r>
      <w:r w:rsidR="00F51948" w:rsidRPr="00A53689">
        <w:rPr>
          <w:rFonts w:ascii="Garamond" w:hAnsi="Garamond"/>
          <w:sz w:val="24"/>
          <w:szCs w:val="24"/>
        </w:rPr>
        <w:t xml:space="preserve"> calculates that</w:t>
      </w:r>
      <w:r w:rsidR="00113B57" w:rsidRPr="00A53689">
        <w:rPr>
          <w:rFonts w:ascii="Garamond" w:hAnsi="Garamond"/>
          <w:sz w:val="24"/>
          <w:szCs w:val="24"/>
        </w:rPr>
        <w:t> Australians owe</w:t>
      </w:r>
      <w:r w:rsidR="00F51948" w:rsidRPr="00A53689">
        <w:rPr>
          <w:rFonts w:ascii="Garamond" w:hAnsi="Garamond"/>
          <w:sz w:val="24"/>
          <w:szCs w:val="24"/>
        </w:rPr>
        <w:t xml:space="preserve"> around $34 billion on credit cards – an </w:t>
      </w:r>
      <w:r w:rsidR="00113B57" w:rsidRPr="00A53689">
        <w:rPr>
          <w:rFonts w:ascii="Garamond" w:hAnsi="Garamond"/>
          <w:sz w:val="24"/>
          <w:szCs w:val="24"/>
        </w:rPr>
        <w:t>average of around $4,400 per card holder.</w:t>
      </w:r>
      <w:r w:rsidR="00546C8D" w:rsidRPr="00A53689">
        <w:rPr>
          <w:rFonts w:ascii="Garamond" w:hAnsi="Garamond"/>
          <w:sz w:val="24"/>
          <w:szCs w:val="24"/>
        </w:rPr>
        <w:t xml:space="preserve"> </w:t>
      </w:r>
      <w:r w:rsidR="00113B57" w:rsidRPr="00A53689">
        <w:rPr>
          <w:rFonts w:ascii="Garamond" w:hAnsi="Garamond"/>
          <w:sz w:val="24"/>
          <w:szCs w:val="24"/>
        </w:rPr>
        <w:t xml:space="preserve"> (</w:t>
      </w:r>
      <w:hyperlink r:id="rId11" w:history="1">
        <w:r w:rsidR="00113B57" w:rsidRPr="00A53689">
          <w:rPr>
            <w:rStyle w:val="Hyperlink"/>
            <w:rFonts w:ascii="Garamond" w:hAnsi="Garamond"/>
            <w:sz w:val="24"/>
            <w:szCs w:val="24"/>
          </w:rPr>
          <w:t>Credit Card Debt Clock</w:t>
        </w:r>
      </w:hyperlink>
      <w:r w:rsidR="00113B57" w:rsidRPr="00A53689">
        <w:rPr>
          <w:rFonts w:ascii="Garamond" w:hAnsi="Garamond"/>
          <w:sz w:val="24"/>
          <w:szCs w:val="24"/>
        </w:rPr>
        <w:t>,</w:t>
      </w:r>
      <w:r w:rsidR="00F51948" w:rsidRPr="00A53689">
        <w:rPr>
          <w:rFonts w:ascii="Garamond" w:hAnsi="Garamond"/>
          <w:sz w:val="24"/>
          <w:szCs w:val="24"/>
        </w:rPr>
        <w:t xml:space="preserve"> </w:t>
      </w:r>
      <w:r w:rsidR="00113B57" w:rsidRPr="00A53689">
        <w:rPr>
          <w:rFonts w:ascii="Garamond" w:hAnsi="Garamond"/>
          <w:sz w:val="24"/>
          <w:szCs w:val="24"/>
        </w:rPr>
        <w:t>Australian Securities and Investments Commissions</w:t>
      </w:r>
      <w:r w:rsidR="00A53689">
        <w:rPr>
          <w:rFonts w:ascii="Garamond" w:hAnsi="Garamond"/>
          <w:sz w:val="24"/>
          <w:szCs w:val="24"/>
        </w:rPr>
        <w:t>)</w:t>
      </w:r>
      <w:r w:rsidR="00113B57" w:rsidRPr="00A53689">
        <w:rPr>
          <w:rFonts w:ascii="Garamond" w:hAnsi="Garamond"/>
          <w:sz w:val="24"/>
          <w:szCs w:val="24"/>
        </w:rPr>
        <w:t>.</w:t>
      </w:r>
      <w:r w:rsidR="00AC48F9" w:rsidRPr="00A53689">
        <w:rPr>
          <w:rFonts w:ascii="Garamond" w:hAnsi="Garamond"/>
          <w:sz w:val="24"/>
          <w:szCs w:val="24"/>
        </w:rPr>
        <w:t xml:space="preserve"> Consumer advocacy group </w:t>
      </w:r>
      <w:r w:rsidR="007A62AE" w:rsidRPr="00A53689">
        <w:rPr>
          <w:rFonts w:ascii="Garamond" w:hAnsi="Garamond"/>
          <w:i/>
          <w:sz w:val="24"/>
          <w:szCs w:val="24"/>
        </w:rPr>
        <w:t>Choice</w:t>
      </w:r>
      <w:r w:rsidR="00AC48F9" w:rsidRPr="00A53689">
        <w:rPr>
          <w:rFonts w:ascii="Garamond" w:hAnsi="Garamond"/>
          <w:sz w:val="24"/>
          <w:szCs w:val="24"/>
        </w:rPr>
        <w:t xml:space="preserve"> estimates banks collect about $6.2 billion a year in interest on credit card debt. </w:t>
      </w:r>
      <w:r w:rsidR="00791EF9" w:rsidRPr="00A53689">
        <w:rPr>
          <w:rFonts w:ascii="Garamond" w:hAnsi="Garamond"/>
          <w:sz w:val="24"/>
          <w:szCs w:val="24"/>
        </w:rPr>
        <w:t xml:space="preserve">The interest rates on some cards are 20 percentage points higher than the </w:t>
      </w:r>
      <w:r w:rsidR="00FC7AC5" w:rsidRPr="00A53689">
        <w:rPr>
          <w:rFonts w:ascii="Garamond" w:hAnsi="Garamond"/>
          <w:sz w:val="24"/>
          <w:szCs w:val="24"/>
        </w:rPr>
        <w:t xml:space="preserve">Federal </w:t>
      </w:r>
      <w:r w:rsidR="00791EF9" w:rsidRPr="00A53689">
        <w:rPr>
          <w:rFonts w:ascii="Garamond" w:hAnsi="Garamond"/>
          <w:sz w:val="24"/>
          <w:szCs w:val="24"/>
        </w:rPr>
        <w:t>Reserve</w:t>
      </w:r>
      <w:r w:rsidR="00FC7AC5" w:rsidRPr="00A53689">
        <w:rPr>
          <w:rFonts w:ascii="Garamond" w:hAnsi="Garamond"/>
          <w:sz w:val="24"/>
          <w:szCs w:val="24"/>
        </w:rPr>
        <w:t xml:space="preserve"> Banks's cash rate, which is currently set at</w:t>
      </w:r>
      <w:r w:rsidR="00791EF9" w:rsidRPr="00A53689">
        <w:rPr>
          <w:rFonts w:ascii="Garamond" w:hAnsi="Garamond"/>
          <w:sz w:val="24"/>
          <w:szCs w:val="24"/>
        </w:rPr>
        <w:t xml:space="preserve"> 2.5</w:t>
      </w:r>
      <w:r w:rsidR="006D22F3" w:rsidRPr="00A53689">
        <w:rPr>
          <w:rFonts w:ascii="Garamond" w:hAnsi="Garamond"/>
          <w:sz w:val="24"/>
          <w:szCs w:val="24"/>
        </w:rPr>
        <w:t>0%</w:t>
      </w:r>
      <w:r w:rsidR="00791EF9" w:rsidRPr="00A53689">
        <w:rPr>
          <w:rFonts w:ascii="Garamond" w:hAnsi="Garamond"/>
          <w:sz w:val="24"/>
          <w:szCs w:val="24"/>
        </w:rPr>
        <w:t>.</w:t>
      </w:r>
      <w:r w:rsidR="00B70132" w:rsidRPr="00A53689">
        <w:rPr>
          <w:rFonts w:ascii="Garamond" w:hAnsi="Garamond"/>
          <w:sz w:val="24"/>
          <w:szCs w:val="24"/>
        </w:rPr>
        <w:t xml:space="preserve"> Research by financial comparison website </w:t>
      </w:r>
      <w:proofErr w:type="spellStart"/>
      <w:r w:rsidR="007A62AE" w:rsidRPr="00A53689">
        <w:rPr>
          <w:rFonts w:ascii="Garamond" w:hAnsi="Garamond"/>
          <w:i/>
          <w:sz w:val="24"/>
          <w:szCs w:val="24"/>
        </w:rPr>
        <w:t>RateCity</w:t>
      </w:r>
      <w:proofErr w:type="spellEnd"/>
      <w:r w:rsidR="00B70132" w:rsidRPr="00A53689">
        <w:rPr>
          <w:rFonts w:ascii="Garamond" w:hAnsi="Garamond"/>
          <w:sz w:val="24"/>
          <w:szCs w:val="24"/>
        </w:rPr>
        <w:t xml:space="preserve"> found that a consumer with $5000 in credit card debt with an average interest rate, making the standard minimum repayments of 2 per cent, would pay nearly $15,000 and take almost 29 years to clear the debt. Credit card contract</w:t>
      </w:r>
      <w:r w:rsidR="00CB6116" w:rsidRPr="00A53689">
        <w:rPr>
          <w:rFonts w:ascii="Garamond" w:hAnsi="Garamond"/>
          <w:sz w:val="24"/>
          <w:szCs w:val="24"/>
        </w:rPr>
        <w:t>s</w:t>
      </w:r>
      <w:r w:rsidR="00B70132" w:rsidRPr="00A53689">
        <w:rPr>
          <w:rFonts w:ascii="Garamond" w:hAnsi="Garamond"/>
          <w:sz w:val="24"/>
          <w:szCs w:val="24"/>
        </w:rPr>
        <w:t xml:space="preserve"> are complex and confusing, often distracting customers wit</w:t>
      </w:r>
      <w:r w:rsidR="004303C0" w:rsidRPr="00A53689">
        <w:rPr>
          <w:rFonts w:ascii="Garamond" w:hAnsi="Garamond"/>
          <w:sz w:val="24"/>
          <w:szCs w:val="24"/>
        </w:rPr>
        <w:t>h special features and rewards. In today</w:t>
      </w:r>
      <w:r w:rsidR="00BD0F58" w:rsidRPr="00A53689">
        <w:rPr>
          <w:rFonts w:ascii="Garamond" w:hAnsi="Garamond"/>
          <w:sz w:val="24"/>
          <w:szCs w:val="24"/>
        </w:rPr>
        <w:t>’</w:t>
      </w:r>
      <w:r w:rsidR="004303C0" w:rsidRPr="00A53689">
        <w:rPr>
          <w:rFonts w:ascii="Garamond" w:hAnsi="Garamond"/>
          <w:sz w:val="24"/>
          <w:szCs w:val="24"/>
        </w:rPr>
        <w:t>s market consumers must be financial competent and skilled</w:t>
      </w:r>
      <w:r w:rsidR="00CB6116" w:rsidRPr="00A53689">
        <w:rPr>
          <w:rFonts w:ascii="Garamond" w:hAnsi="Garamond"/>
          <w:sz w:val="24"/>
          <w:szCs w:val="24"/>
        </w:rPr>
        <w:t xml:space="preserve"> to navigate the complex</w:t>
      </w:r>
      <w:r w:rsidR="00BD0F58" w:rsidRPr="00A53689">
        <w:rPr>
          <w:rFonts w:ascii="Garamond" w:hAnsi="Garamond"/>
          <w:sz w:val="24"/>
          <w:szCs w:val="24"/>
        </w:rPr>
        <w:t>ities</w:t>
      </w:r>
      <w:r w:rsidR="004303C0" w:rsidRPr="00A53689">
        <w:rPr>
          <w:rFonts w:ascii="Garamond" w:hAnsi="Garamond"/>
          <w:sz w:val="24"/>
          <w:szCs w:val="24"/>
        </w:rPr>
        <w:t>.</w:t>
      </w:r>
      <w:r w:rsidR="00B70132" w:rsidRPr="00A53689">
        <w:rPr>
          <w:rFonts w:ascii="Garamond" w:hAnsi="Garamond"/>
          <w:sz w:val="24"/>
          <w:szCs w:val="24"/>
        </w:rPr>
        <w:t xml:space="preserve"> </w:t>
      </w:r>
      <w:r w:rsidR="00DD1E1C" w:rsidRPr="00A53689">
        <w:rPr>
          <w:rFonts w:ascii="Garamond" w:hAnsi="Garamond"/>
          <w:sz w:val="24"/>
          <w:szCs w:val="24"/>
        </w:rPr>
        <w:t>(Wade, M.</w:t>
      </w:r>
      <w:r w:rsidR="00AC48F9" w:rsidRPr="00A53689">
        <w:rPr>
          <w:rFonts w:ascii="Garamond" w:hAnsi="Garamond"/>
          <w:sz w:val="24"/>
          <w:szCs w:val="24"/>
        </w:rPr>
        <w:t xml:space="preserve"> </w:t>
      </w:r>
      <w:r w:rsidR="00AC48F9" w:rsidRPr="00A53689">
        <w:rPr>
          <w:rFonts w:ascii="Garamond" w:hAnsi="Garamond"/>
          <w:i/>
          <w:sz w:val="24"/>
          <w:szCs w:val="24"/>
        </w:rPr>
        <w:t xml:space="preserve">Credit cards: a case of too much interest but too little attention, </w:t>
      </w:r>
      <w:hyperlink r:id="rId12" w:anchor="ixzz2rYqCuMxY" w:history="1">
        <w:r w:rsidR="00AC48F9" w:rsidRPr="00A53689">
          <w:rPr>
            <w:rStyle w:val="Hyperlink"/>
            <w:rFonts w:ascii="Garamond" w:hAnsi="Garamond"/>
            <w:sz w:val="24"/>
            <w:szCs w:val="24"/>
          </w:rPr>
          <w:t>Canberra Times</w:t>
        </w:r>
      </w:hyperlink>
      <w:r w:rsidR="00A53689">
        <w:rPr>
          <w:rFonts w:ascii="Garamond" w:hAnsi="Garamond"/>
          <w:sz w:val="24"/>
          <w:szCs w:val="24"/>
        </w:rPr>
        <w:t>)</w:t>
      </w:r>
      <w:r w:rsidR="00AC48F9" w:rsidRPr="00A53689">
        <w:rPr>
          <w:rFonts w:ascii="Garamond" w:hAnsi="Garamond"/>
          <w:sz w:val="24"/>
          <w:szCs w:val="24"/>
        </w:rPr>
        <w:t>.</w:t>
      </w:r>
    </w:p>
    <w:p w14:paraId="06AB57B7" w14:textId="15F9A3AE" w:rsidR="00F23101" w:rsidRPr="00A53689" w:rsidRDefault="00DD1E1C" w:rsidP="00F57FC9">
      <w:pPr>
        <w:spacing w:after="200" w:line="276" w:lineRule="auto"/>
        <w:rPr>
          <w:rFonts w:ascii="Garamond" w:hAnsi="Garamond"/>
          <w:b/>
          <w:bCs/>
          <w:sz w:val="24"/>
          <w:szCs w:val="24"/>
        </w:rPr>
      </w:pPr>
      <w:r w:rsidRPr="00A53689">
        <w:rPr>
          <w:rFonts w:ascii="Garamond" w:hAnsi="Garamond"/>
          <w:sz w:val="24"/>
          <w:szCs w:val="24"/>
        </w:rPr>
        <w:t xml:space="preserve">Despite national reforms recently, predatory lenders still operate in Australia. An example of this is pay-day loans. </w:t>
      </w:r>
      <w:r w:rsidR="00546C8D" w:rsidRPr="00A53689">
        <w:rPr>
          <w:rFonts w:ascii="Garamond" w:hAnsi="Garamond"/>
          <w:sz w:val="24"/>
          <w:szCs w:val="24"/>
        </w:rPr>
        <w:t xml:space="preserve">Payday lending arrived in Australia in 1998. By 2001, the Australian </w:t>
      </w:r>
      <w:r w:rsidR="00E86F84" w:rsidRPr="00A53689">
        <w:rPr>
          <w:rFonts w:ascii="Garamond" w:hAnsi="Garamond"/>
          <w:sz w:val="24"/>
          <w:szCs w:val="24"/>
        </w:rPr>
        <w:t xml:space="preserve">pay-day loan </w:t>
      </w:r>
      <w:r w:rsidR="00546C8D" w:rsidRPr="00A53689">
        <w:rPr>
          <w:rFonts w:ascii="Garamond" w:hAnsi="Garamond"/>
          <w:sz w:val="24"/>
          <w:szCs w:val="24"/>
        </w:rPr>
        <w:t>industry was estimated to have 100,000 customers. Today, it is between 1 million and 2 million.</w:t>
      </w:r>
      <w:r w:rsidRPr="00A53689">
        <w:rPr>
          <w:rFonts w:ascii="Garamond" w:hAnsi="Garamond"/>
          <w:sz w:val="24"/>
          <w:szCs w:val="24"/>
        </w:rPr>
        <w:t xml:space="preserve"> The loans are targeted at people in immediate need of cash </w:t>
      </w:r>
      <w:r w:rsidR="00E86F84" w:rsidRPr="00A53689">
        <w:rPr>
          <w:rFonts w:ascii="Garamond" w:hAnsi="Garamond"/>
          <w:sz w:val="24"/>
          <w:szCs w:val="24"/>
        </w:rPr>
        <w:t xml:space="preserve">who </w:t>
      </w:r>
      <w:r w:rsidRPr="00A53689">
        <w:rPr>
          <w:rFonts w:ascii="Garamond" w:hAnsi="Garamond"/>
          <w:sz w:val="24"/>
          <w:szCs w:val="24"/>
        </w:rPr>
        <w:t>have few financial resources.</w:t>
      </w:r>
      <w:r w:rsidR="005B4343" w:rsidRPr="00A53689">
        <w:rPr>
          <w:rFonts w:ascii="Garamond" w:hAnsi="Garamond"/>
          <w:sz w:val="24"/>
          <w:szCs w:val="24"/>
        </w:rPr>
        <w:t xml:space="preserve"> The loans often have</w:t>
      </w:r>
      <w:r w:rsidR="002038DC" w:rsidRPr="00A53689">
        <w:rPr>
          <w:rFonts w:ascii="Garamond" w:hAnsi="Garamond"/>
          <w:sz w:val="24"/>
          <w:szCs w:val="24"/>
        </w:rPr>
        <w:t xml:space="preserve"> extremely high interest rates</w:t>
      </w:r>
      <w:r w:rsidR="00097E64" w:rsidRPr="00A53689">
        <w:rPr>
          <w:rFonts w:ascii="Garamond" w:hAnsi="Garamond"/>
          <w:sz w:val="24"/>
          <w:szCs w:val="24"/>
        </w:rPr>
        <w:t>, are</w:t>
      </w:r>
      <w:r w:rsidRPr="00A53689">
        <w:rPr>
          <w:rFonts w:ascii="Garamond" w:hAnsi="Garamond"/>
          <w:sz w:val="24"/>
          <w:szCs w:val="24"/>
        </w:rPr>
        <w:t xml:space="preserve"> repaid via direct debit on pay day or the day a welfare payment is made</w:t>
      </w:r>
      <w:r w:rsidR="00097E64" w:rsidRPr="00A53689">
        <w:rPr>
          <w:rFonts w:ascii="Garamond" w:hAnsi="Garamond"/>
          <w:sz w:val="24"/>
          <w:szCs w:val="24"/>
        </w:rPr>
        <w:t>, and</w:t>
      </w:r>
      <w:r w:rsidR="001B4B25" w:rsidRPr="00A53689">
        <w:rPr>
          <w:rFonts w:ascii="Garamond" w:hAnsi="Garamond"/>
          <w:sz w:val="24"/>
          <w:szCs w:val="24"/>
        </w:rPr>
        <w:t xml:space="preserve"> </w:t>
      </w:r>
      <w:r w:rsidR="00097E64" w:rsidRPr="00A53689">
        <w:rPr>
          <w:rFonts w:ascii="Garamond" w:hAnsi="Garamond"/>
          <w:sz w:val="24"/>
          <w:szCs w:val="24"/>
        </w:rPr>
        <w:t>i</w:t>
      </w:r>
      <w:r w:rsidR="005B4343" w:rsidRPr="00A53689">
        <w:rPr>
          <w:rFonts w:ascii="Garamond" w:hAnsi="Garamond"/>
          <w:sz w:val="24"/>
          <w:szCs w:val="24"/>
        </w:rPr>
        <w:t xml:space="preserve">f the consumer </w:t>
      </w:r>
      <w:r w:rsidRPr="00A53689">
        <w:rPr>
          <w:rFonts w:ascii="Garamond" w:hAnsi="Garamond"/>
          <w:sz w:val="24"/>
          <w:szCs w:val="24"/>
        </w:rPr>
        <w:t xml:space="preserve">misses a payment they incur a penalty. The problem exacerbates when the consumer finds themselves in a </w:t>
      </w:r>
      <w:r w:rsidR="005B4343" w:rsidRPr="00A53689">
        <w:rPr>
          <w:rFonts w:ascii="Garamond" w:hAnsi="Garamond"/>
          <w:sz w:val="24"/>
          <w:szCs w:val="24"/>
        </w:rPr>
        <w:t xml:space="preserve">spiralling </w:t>
      </w:r>
      <w:r w:rsidRPr="00A53689">
        <w:rPr>
          <w:rFonts w:ascii="Garamond" w:hAnsi="Garamond"/>
          <w:sz w:val="24"/>
          <w:szCs w:val="24"/>
        </w:rPr>
        <w:t>situation where they require another loan.</w:t>
      </w:r>
      <w:r w:rsidR="005B4343" w:rsidRPr="00A53689">
        <w:rPr>
          <w:rFonts w:ascii="Garamond" w:hAnsi="Garamond"/>
          <w:sz w:val="24"/>
          <w:szCs w:val="24"/>
        </w:rPr>
        <w:t xml:space="preserve"> </w:t>
      </w:r>
      <w:r w:rsidR="002038DC" w:rsidRPr="00A53689">
        <w:rPr>
          <w:rFonts w:ascii="Garamond" w:hAnsi="Garamond"/>
          <w:sz w:val="24"/>
          <w:szCs w:val="24"/>
        </w:rPr>
        <w:t>The disadvantaged are at an increased risk of fa</w:t>
      </w:r>
      <w:r w:rsidR="008E64C8" w:rsidRPr="00A53689">
        <w:rPr>
          <w:rFonts w:ascii="Garamond" w:hAnsi="Garamond"/>
          <w:sz w:val="24"/>
          <w:szCs w:val="24"/>
        </w:rPr>
        <w:t>lling victim to predatory loans.</w:t>
      </w:r>
      <w:r w:rsidRPr="00A53689">
        <w:rPr>
          <w:rFonts w:ascii="Garamond" w:hAnsi="Garamond"/>
          <w:sz w:val="24"/>
          <w:szCs w:val="24"/>
        </w:rPr>
        <w:t xml:space="preserve"> </w:t>
      </w:r>
      <w:r w:rsidR="00CF0C39" w:rsidRPr="00A53689">
        <w:rPr>
          <w:rFonts w:ascii="Garamond" w:hAnsi="Garamond"/>
          <w:sz w:val="24"/>
          <w:szCs w:val="24"/>
        </w:rPr>
        <w:t xml:space="preserve"> </w:t>
      </w:r>
      <w:r w:rsidRPr="00A53689">
        <w:rPr>
          <w:rFonts w:ascii="Garamond" w:hAnsi="Garamond"/>
          <w:sz w:val="24"/>
          <w:szCs w:val="24"/>
        </w:rPr>
        <w:t xml:space="preserve">(Source: Green, S. </w:t>
      </w:r>
      <w:hyperlink r:id="rId13" w:anchor="ixzz2rCSyoiNj" w:history="1">
        <w:r w:rsidRPr="00BE4C3D">
          <w:rPr>
            <w:rStyle w:val="Hyperlink"/>
            <w:rFonts w:ascii="Garamond" w:hAnsi="Garamond"/>
            <w:sz w:val="24"/>
            <w:szCs w:val="24"/>
          </w:rPr>
          <w:t>Disadvantaged caught in the lender trap</w:t>
        </w:r>
      </w:hyperlink>
      <w:r w:rsidR="00BE4C3D">
        <w:rPr>
          <w:rFonts w:ascii="Garamond" w:hAnsi="Garamond"/>
          <w:sz w:val="24"/>
          <w:szCs w:val="24"/>
        </w:rPr>
        <w:t>, Sydney Morning Herald)</w:t>
      </w:r>
    </w:p>
    <w:p w14:paraId="34EA24AF" w14:textId="77777777" w:rsidR="00BE4C3D" w:rsidRPr="00BE4C3D" w:rsidRDefault="00BE4C3D" w:rsidP="00F57FC9">
      <w:pPr>
        <w:spacing w:line="276" w:lineRule="auto"/>
        <w:rPr>
          <w:rFonts w:ascii="Garamond" w:hAnsi="Garamond"/>
          <w:sz w:val="24"/>
          <w:szCs w:val="24"/>
        </w:rPr>
      </w:pPr>
      <w:r w:rsidRPr="00BE4C3D">
        <w:rPr>
          <w:rFonts w:ascii="Garamond" w:hAnsi="Garamond"/>
          <w:sz w:val="24"/>
          <w:szCs w:val="24"/>
        </w:rPr>
        <w:t xml:space="preserve">Poor numeracy and literacy makes it difficult to participate in society. These issues provided the context for an investigation into the development of financial capabilities in high school students and the different approaches taken by educators to help students become financially literate. Schools, nongovernment and government organisations, financial institutions, museums and a university were </w:t>
      </w:r>
      <w:r w:rsidRPr="00BE4C3D">
        <w:rPr>
          <w:rFonts w:ascii="Garamond" w:hAnsi="Garamond"/>
          <w:sz w:val="24"/>
          <w:szCs w:val="24"/>
        </w:rPr>
        <w:lastRenderedPageBreak/>
        <w:t xml:space="preserve">visited in New York and Chicago in the USA, London, Birmingham in England, and </w:t>
      </w:r>
      <w:proofErr w:type="spellStart"/>
      <w:r w:rsidRPr="00BE4C3D">
        <w:rPr>
          <w:rFonts w:ascii="Garamond" w:hAnsi="Garamond"/>
          <w:sz w:val="24"/>
          <w:szCs w:val="24"/>
        </w:rPr>
        <w:t>Sanquhar</w:t>
      </w:r>
      <w:proofErr w:type="spellEnd"/>
      <w:r w:rsidRPr="00BE4C3D">
        <w:rPr>
          <w:rFonts w:ascii="Garamond" w:hAnsi="Garamond"/>
          <w:sz w:val="24"/>
          <w:szCs w:val="24"/>
        </w:rPr>
        <w:t>, Glasgow and Edinburgh in Scotland.</w:t>
      </w:r>
    </w:p>
    <w:p w14:paraId="59686A4F" w14:textId="77777777" w:rsidR="00B86B6C" w:rsidRPr="00BE4C3D" w:rsidRDefault="00631A57" w:rsidP="00F57FC9">
      <w:pPr>
        <w:spacing w:before="240" w:line="276" w:lineRule="auto"/>
        <w:rPr>
          <w:rFonts w:ascii="Garamond" w:hAnsi="Garamond"/>
          <w:b/>
          <w:sz w:val="28"/>
          <w:szCs w:val="24"/>
          <w:lang w:val="en-US"/>
        </w:rPr>
      </w:pPr>
      <w:r w:rsidRPr="00BE4C3D">
        <w:rPr>
          <w:rFonts w:ascii="Garamond" w:hAnsi="Garamond"/>
          <w:b/>
          <w:sz w:val="28"/>
          <w:szCs w:val="24"/>
          <w:lang w:val="en-US"/>
        </w:rPr>
        <w:t>S</w:t>
      </w:r>
      <w:r w:rsidR="00B86B6C" w:rsidRPr="00BE4C3D">
        <w:rPr>
          <w:rFonts w:ascii="Garamond" w:hAnsi="Garamond"/>
          <w:b/>
          <w:sz w:val="28"/>
          <w:szCs w:val="24"/>
          <w:lang w:val="en-US"/>
        </w:rPr>
        <w:t xml:space="preserve">uccessful financial </w:t>
      </w:r>
      <w:r w:rsidR="00CF0C39" w:rsidRPr="00BE4C3D">
        <w:rPr>
          <w:rFonts w:ascii="Garamond" w:hAnsi="Garamond"/>
          <w:b/>
          <w:sz w:val="28"/>
          <w:szCs w:val="24"/>
          <w:lang w:val="en-US"/>
        </w:rPr>
        <w:t>capabilities</w:t>
      </w:r>
      <w:r w:rsidR="00B86B6C" w:rsidRPr="00BE4C3D">
        <w:rPr>
          <w:rFonts w:ascii="Garamond" w:hAnsi="Garamond"/>
          <w:b/>
          <w:sz w:val="28"/>
          <w:szCs w:val="24"/>
          <w:lang w:val="en-US"/>
        </w:rPr>
        <w:t xml:space="preserve"> programs</w:t>
      </w:r>
      <w:r w:rsidR="00126D0A" w:rsidRPr="00BE4C3D">
        <w:rPr>
          <w:rFonts w:ascii="Garamond" w:hAnsi="Garamond"/>
          <w:b/>
          <w:sz w:val="28"/>
          <w:szCs w:val="24"/>
          <w:lang w:val="en-US"/>
        </w:rPr>
        <w:t xml:space="preserve"> and museums</w:t>
      </w:r>
    </w:p>
    <w:p w14:paraId="00E336DB" w14:textId="77777777" w:rsidR="002E6E14" w:rsidRPr="00A53689" w:rsidRDefault="002E6E14" w:rsidP="00F57FC9">
      <w:pPr>
        <w:spacing w:after="60" w:line="276" w:lineRule="auto"/>
        <w:rPr>
          <w:rFonts w:ascii="Garamond" w:hAnsi="Garamond"/>
          <w:sz w:val="24"/>
          <w:szCs w:val="24"/>
          <w:u w:val="single"/>
        </w:rPr>
      </w:pPr>
      <w:r w:rsidRPr="00A53689">
        <w:rPr>
          <w:rFonts w:ascii="Garamond" w:hAnsi="Garamond"/>
          <w:sz w:val="24"/>
          <w:szCs w:val="24"/>
          <w:u w:val="single"/>
        </w:rPr>
        <w:t xml:space="preserve">NYSE Euronext </w:t>
      </w:r>
      <w:r w:rsidR="00324B13" w:rsidRPr="00A53689">
        <w:rPr>
          <w:rFonts w:ascii="Garamond" w:hAnsi="Garamond"/>
          <w:sz w:val="24"/>
          <w:szCs w:val="24"/>
          <w:u w:val="single"/>
        </w:rPr>
        <w:t>Teacher Workshops and Fellowship Program</w:t>
      </w:r>
      <w:r w:rsidR="00126D0A" w:rsidRPr="00A53689">
        <w:rPr>
          <w:rFonts w:ascii="Garamond" w:hAnsi="Garamond"/>
          <w:sz w:val="24"/>
          <w:szCs w:val="24"/>
          <w:u w:val="single"/>
        </w:rPr>
        <w:t>, New York City, United States of America</w:t>
      </w:r>
    </w:p>
    <w:p w14:paraId="27BC1626" w14:textId="77777777" w:rsidR="008327D1" w:rsidRPr="00A53689" w:rsidRDefault="00340728" w:rsidP="00F57FC9">
      <w:pPr>
        <w:spacing w:after="200" w:line="276" w:lineRule="auto"/>
        <w:rPr>
          <w:rFonts w:ascii="Garamond" w:hAnsi="Garamond"/>
          <w:sz w:val="24"/>
          <w:szCs w:val="24"/>
        </w:rPr>
      </w:pPr>
      <w:r w:rsidRPr="00A53689">
        <w:rPr>
          <w:rFonts w:ascii="Garamond" w:hAnsi="Garamond"/>
          <w:sz w:val="24"/>
          <w:szCs w:val="24"/>
        </w:rPr>
        <w:t>NYSE E</w:t>
      </w:r>
      <w:r w:rsidR="00C109CC" w:rsidRPr="00A53689">
        <w:rPr>
          <w:rFonts w:ascii="Garamond" w:hAnsi="Garamond"/>
          <w:sz w:val="24"/>
          <w:szCs w:val="24"/>
        </w:rPr>
        <w:t xml:space="preserve">uronext has devised a </w:t>
      </w:r>
      <w:r w:rsidR="00CF2FA4" w:rsidRPr="00A53689">
        <w:rPr>
          <w:rFonts w:ascii="Garamond" w:hAnsi="Garamond"/>
          <w:sz w:val="24"/>
          <w:szCs w:val="24"/>
        </w:rPr>
        <w:t xml:space="preserve">five </w:t>
      </w:r>
      <w:r w:rsidR="00C94149" w:rsidRPr="00A53689">
        <w:rPr>
          <w:rFonts w:ascii="Garamond" w:hAnsi="Garamond"/>
          <w:sz w:val="24"/>
          <w:szCs w:val="24"/>
        </w:rPr>
        <w:t xml:space="preserve">day </w:t>
      </w:r>
      <w:r w:rsidR="00D56A4D" w:rsidRPr="00A53689">
        <w:rPr>
          <w:rFonts w:ascii="Garamond" w:hAnsi="Garamond"/>
          <w:sz w:val="24"/>
          <w:szCs w:val="24"/>
        </w:rPr>
        <w:t xml:space="preserve">teacher </w:t>
      </w:r>
      <w:r w:rsidR="00C109CC" w:rsidRPr="00A53689">
        <w:rPr>
          <w:rFonts w:ascii="Garamond" w:hAnsi="Garamond"/>
          <w:sz w:val="24"/>
          <w:szCs w:val="24"/>
        </w:rPr>
        <w:t>program to help educators teach students about the financial marketplace and its importance to their lives and the global economy.</w:t>
      </w:r>
      <w:r w:rsidR="002474FD" w:rsidRPr="00A53689">
        <w:rPr>
          <w:rFonts w:ascii="Garamond" w:hAnsi="Garamond"/>
          <w:sz w:val="24"/>
          <w:szCs w:val="24"/>
        </w:rPr>
        <w:t xml:space="preserve"> </w:t>
      </w:r>
    </w:p>
    <w:p w14:paraId="27D19A40" w14:textId="77777777" w:rsidR="00D56A4D" w:rsidRPr="00A53689" w:rsidRDefault="00D56A4D" w:rsidP="00F57FC9">
      <w:pPr>
        <w:spacing w:after="200" w:line="276" w:lineRule="auto"/>
        <w:rPr>
          <w:rFonts w:ascii="Garamond" w:hAnsi="Garamond"/>
          <w:sz w:val="24"/>
          <w:szCs w:val="24"/>
        </w:rPr>
      </w:pPr>
      <w:r w:rsidRPr="00A53689">
        <w:rPr>
          <w:rFonts w:ascii="Garamond" w:hAnsi="Garamond"/>
          <w:sz w:val="24"/>
          <w:szCs w:val="24"/>
        </w:rPr>
        <w:t xml:space="preserve">Steven Wheeler </w:t>
      </w:r>
      <w:r w:rsidR="00CF2FA4" w:rsidRPr="00A53689">
        <w:rPr>
          <w:rFonts w:ascii="Garamond" w:hAnsi="Garamond"/>
          <w:sz w:val="24"/>
          <w:szCs w:val="24"/>
        </w:rPr>
        <w:t xml:space="preserve">and Patricia </w:t>
      </w:r>
      <w:proofErr w:type="spellStart"/>
      <w:r w:rsidR="00CF2FA4" w:rsidRPr="00A53689">
        <w:rPr>
          <w:rFonts w:ascii="Garamond" w:hAnsi="Garamond"/>
          <w:sz w:val="24"/>
          <w:szCs w:val="24"/>
        </w:rPr>
        <w:t>Agurto</w:t>
      </w:r>
      <w:proofErr w:type="spellEnd"/>
      <w:r w:rsidR="00CF2FA4" w:rsidRPr="00A53689">
        <w:rPr>
          <w:rFonts w:ascii="Garamond" w:hAnsi="Garamond"/>
          <w:sz w:val="24"/>
          <w:szCs w:val="24"/>
        </w:rPr>
        <w:t xml:space="preserve"> from NYSE Euronext’s Corporate Responsibility d</w:t>
      </w:r>
      <w:r w:rsidR="00CC609A" w:rsidRPr="00A53689">
        <w:rPr>
          <w:rFonts w:ascii="Garamond" w:hAnsi="Garamond"/>
          <w:sz w:val="24"/>
          <w:szCs w:val="24"/>
        </w:rPr>
        <w:t>epartment out</w:t>
      </w:r>
      <w:r w:rsidR="00A267F0" w:rsidRPr="00A53689">
        <w:rPr>
          <w:rFonts w:ascii="Garamond" w:hAnsi="Garamond"/>
          <w:sz w:val="24"/>
          <w:szCs w:val="24"/>
        </w:rPr>
        <w:t>lined the program, including an</w:t>
      </w:r>
      <w:r w:rsidR="00CC609A" w:rsidRPr="00A53689">
        <w:rPr>
          <w:rFonts w:ascii="Garamond" w:hAnsi="Garamond"/>
          <w:sz w:val="24"/>
          <w:szCs w:val="24"/>
        </w:rPr>
        <w:t xml:space="preserve"> overview of the m</w:t>
      </w:r>
      <w:r w:rsidR="001D56EC" w:rsidRPr="00A53689">
        <w:rPr>
          <w:rFonts w:ascii="Garamond" w:hAnsi="Garamond"/>
          <w:sz w:val="24"/>
          <w:szCs w:val="24"/>
        </w:rPr>
        <w:t xml:space="preserve">arket, trading </w:t>
      </w:r>
      <w:r w:rsidR="00CC609A" w:rsidRPr="00A53689">
        <w:rPr>
          <w:rFonts w:ascii="Garamond" w:hAnsi="Garamond"/>
          <w:sz w:val="24"/>
          <w:szCs w:val="24"/>
        </w:rPr>
        <w:t>floor, equities, available curriculum res</w:t>
      </w:r>
      <w:r w:rsidR="001D56EC" w:rsidRPr="00A53689">
        <w:rPr>
          <w:rFonts w:ascii="Garamond" w:hAnsi="Garamond"/>
          <w:sz w:val="24"/>
          <w:szCs w:val="24"/>
        </w:rPr>
        <w:t xml:space="preserve">ources and </w:t>
      </w:r>
      <w:r w:rsidR="00CC609A" w:rsidRPr="00A53689">
        <w:rPr>
          <w:rFonts w:ascii="Garamond" w:hAnsi="Garamond"/>
          <w:sz w:val="24"/>
          <w:szCs w:val="24"/>
        </w:rPr>
        <w:t xml:space="preserve">how they collate teaching strategies and </w:t>
      </w:r>
      <w:r w:rsidR="00AD00FD" w:rsidRPr="00A53689">
        <w:rPr>
          <w:rFonts w:ascii="Garamond" w:hAnsi="Garamond"/>
          <w:sz w:val="24"/>
          <w:szCs w:val="24"/>
        </w:rPr>
        <w:t xml:space="preserve">the </w:t>
      </w:r>
      <w:r w:rsidR="00CC609A" w:rsidRPr="00A53689">
        <w:rPr>
          <w:rFonts w:ascii="Garamond" w:hAnsi="Garamond"/>
          <w:sz w:val="24"/>
          <w:szCs w:val="24"/>
        </w:rPr>
        <w:t xml:space="preserve">use of </w:t>
      </w:r>
      <w:r w:rsidR="001D56EC" w:rsidRPr="00A53689">
        <w:rPr>
          <w:rFonts w:ascii="Garamond" w:hAnsi="Garamond"/>
          <w:sz w:val="24"/>
          <w:szCs w:val="24"/>
        </w:rPr>
        <w:t>social media</w:t>
      </w:r>
      <w:r w:rsidR="003C23CD" w:rsidRPr="00A53689">
        <w:rPr>
          <w:rFonts w:ascii="Garamond" w:hAnsi="Garamond"/>
          <w:sz w:val="24"/>
          <w:szCs w:val="24"/>
        </w:rPr>
        <w:t xml:space="preserve"> to disseminate their program.</w:t>
      </w:r>
    </w:p>
    <w:p w14:paraId="2BD1A29A" w14:textId="77777777" w:rsidR="00A051D6" w:rsidRPr="00A53689" w:rsidRDefault="003C23CD" w:rsidP="00F57FC9">
      <w:pPr>
        <w:spacing w:after="200" w:line="276" w:lineRule="auto"/>
        <w:rPr>
          <w:rFonts w:ascii="Garamond" w:hAnsi="Garamond"/>
          <w:sz w:val="24"/>
          <w:szCs w:val="24"/>
        </w:rPr>
      </w:pPr>
      <w:r w:rsidRPr="00A53689">
        <w:rPr>
          <w:rFonts w:ascii="Garamond" w:hAnsi="Garamond"/>
          <w:sz w:val="24"/>
          <w:szCs w:val="24"/>
        </w:rPr>
        <w:t>The workshop include</w:t>
      </w:r>
      <w:r w:rsidR="00C70776" w:rsidRPr="00A53689">
        <w:rPr>
          <w:rFonts w:ascii="Garamond" w:hAnsi="Garamond"/>
          <w:sz w:val="24"/>
          <w:szCs w:val="24"/>
        </w:rPr>
        <w:t>s</w:t>
      </w:r>
      <w:r w:rsidRPr="00A53689">
        <w:rPr>
          <w:rFonts w:ascii="Garamond" w:hAnsi="Garamond"/>
          <w:sz w:val="24"/>
          <w:szCs w:val="24"/>
        </w:rPr>
        <w:t xml:space="preserve"> </w:t>
      </w:r>
      <w:r w:rsidR="00CF2FA4" w:rsidRPr="00A53689">
        <w:rPr>
          <w:rFonts w:ascii="Garamond" w:hAnsi="Garamond"/>
          <w:sz w:val="24"/>
          <w:szCs w:val="24"/>
        </w:rPr>
        <w:t>177 teachers a yea</w:t>
      </w:r>
      <w:r w:rsidR="001D5BE0" w:rsidRPr="00A53689">
        <w:rPr>
          <w:rFonts w:ascii="Garamond" w:hAnsi="Garamond"/>
          <w:sz w:val="24"/>
          <w:szCs w:val="24"/>
        </w:rPr>
        <w:t>r</w:t>
      </w:r>
      <w:r w:rsidR="00A051D6" w:rsidRPr="00A53689">
        <w:rPr>
          <w:rFonts w:ascii="Garamond" w:hAnsi="Garamond"/>
          <w:sz w:val="24"/>
          <w:szCs w:val="24"/>
        </w:rPr>
        <w:t xml:space="preserve"> – from 33 states and 5 other countries. </w:t>
      </w:r>
      <w:r w:rsidRPr="00A53689">
        <w:rPr>
          <w:rFonts w:ascii="Garamond" w:hAnsi="Garamond"/>
          <w:sz w:val="24"/>
          <w:szCs w:val="24"/>
        </w:rPr>
        <w:t>They estimate their audience is approximately</w:t>
      </w:r>
      <w:r w:rsidR="00A05BF4" w:rsidRPr="00A53689">
        <w:rPr>
          <w:rFonts w:ascii="Garamond" w:hAnsi="Garamond"/>
          <w:sz w:val="24"/>
          <w:szCs w:val="24"/>
        </w:rPr>
        <w:t xml:space="preserve"> 25</w:t>
      </w:r>
      <w:r w:rsidR="00771B59" w:rsidRPr="00A53689">
        <w:rPr>
          <w:rFonts w:ascii="Garamond" w:hAnsi="Garamond"/>
          <w:sz w:val="24"/>
          <w:szCs w:val="24"/>
        </w:rPr>
        <w:t>,</w:t>
      </w:r>
      <w:r w:rsidR="00A05BF4" w:rsidRPr="00A53689">
        <w:rPr>
          <w:rFonts w:ascii="Garamond" w:hAnsi="Garamond"/>
          <w:sz w:val="24"/>
          <w:szCs w:val="24"/>
        </w:rPr>
        <w:t xml:space="preserve">000 students. </w:t>
      </w:r>
    </w:p>
    <w:p w14:paraId="55C94500" w14:textId="1B2E6C92" w:rsidR="00062489" w:rsidRPr="00A53689" w:rsidRDefault="00A051D6" w:rsidP="00F57FC9">
      <w:pPr>
        <w:spacing w:after="200" w:line="276" w:lineRule="auto"/>
        <w:rPr>
          <w:rFonts w:ascii="Garamond" w:hAnsi="Garamond"/>
          <w:sz w:val="24"/>
          <w:szCs w:val="24"/>
        </w:rPr>
      </w:pPr>
      <w:r w:rsidRPr="00A53689">
        <w:rPr>
          <w:rFonts w:ascii="Garamond" w:hAnsi="Garamond"/>
          <w:sz w:val="24"/>
          <w:szCs w:val="24"/>
        </w:rPr>
        <w:t xml:space="preserve">The program </w:t>
      </w:r>
      <w:r w:rsidR="00E81740" w:rsidRPr="00A53689">
        <w:rPr>
          <w:rFonts w:ascii="Garamond" w:hAnsi="Garamond"/>
          <w:sz w:val="24"/>
          <w:szCs w:val="24"/>
        </w:rPr>
        <w:t>also has a dedicated</w:t>
      </w:r>
      <w:r w:rsidRPr="00A53689">
        <w:rPr>
          <w:rFonts w:ascii="Garamond" w:hAnsi="Garamond"/>
          <w:sz w:val="24"/>
          <w:szCs w:val="24"/>
        </w:rPr>
        <w:t xml:space="preserve"> fellowship program </w:t>
      </w:r>
      <w:r w:rsidR="00310322" w:rsidRPr="00A53689">
        <w:rPr>
          <w:rFonts w:ascii="Garamond" w:hAnsi="Garamond"/>
          <w:sz w:val="24"/>
          <w:szCs w:val="24"/>
        </w:rPr>
        <w:t>in which</w:t>
      </w:r>
      <w:r w:rsidRPr="00A53689">
        <w:rPr>
          <w:rFonts w:ascii="Garamond" w:hAnsi="Garamond"/>
          <w:sz w:val="24"/>
          <w:szCs w:val="24"/>
        </w:rPr>
        <w:t xml:space="preserve">47 </w:t>
      </w:r>
      <w:r w:rsidR="00310322" w:rsidRPr="00A53689">
        <w:rPr>
          <w:rFonts w:ascii="Garamond" w:hAnsi="Garamond"/>
          <w:sz w:val="24"/>
          <w:szCs w:val="24"/>
        </w:rPr>
        <w:t xml:space="preserve">high performing </w:t>
      </w:r>
      <w:r w:rsidRPr="00A53689">
        <w:rPr>
          <w:rFonts w:ascii="Garamond" w:hAnsi="Garamond"/>
          <w:sz w:val="24"/>
          <w:szCs w:val="24"/>
        </w:rPr>
        <w:t xml:space="preserve">teachers are selected from under-resourced schools. </w:t>
      </w:r>
      <w:r w:rsidR="00A05BF4" w:rsidRPr="00A53689">
        <w:rPr>
          <w:rFonts w:ascii="Garamond" w:hAnsi="Garamond"/>
          <w:sz w:val="24"/>
          <w:szCs w:val="24"/>
        </w:rPr>
        <w:t>The fellowship p</w:t>
      </w:r>
      <w:r w:rsidR="001D5BE0" w:rsidRPr="00A53689">
        <w:rPr>
          <w:rFonts w:ascii="Garamond" w:hAnsi="Garamond"/>
          <w:sz w:val="24"/>
          <w:szCs w:val="24"/>
        </w:rPr>
        <w:t xml:space="preserve">rogram </w:t>
      </w:r>
      <w:r w:rsidRPr="00A53689">
        <w:rPr>
          <w:rFonts w:ascii="Garamond" w:hAnsi="Garamond"/>
          <w:sz w:val="24"/>
          <w:szCs w:val="24"/>
        </w:rPr>
        <w:t>has</w:t>
      </w:r>
      <w:r w:rsidR="001D5BE0" w:rsidRPr="00A53689">
        <w:rPr>
          <w:rFonts w:ascii="Garamond" w:hAnsi="Garamond"/>
          <w:sz w:val="24"/>
          <w:szCs w:val="24"/>
        </w:rPr>
        <w:t xml:space="preserve"> benefit</w:t>
      </w:r>
      <w:r w:rsidRPr="00A53689">
        <w:rPr>
          <w:rFonts w:ascii="Garamond" w:hAnsi="Garamond"/>
          <w:sz w:val="24"/>
          <w:szCs w:val="24"/>
        </w:rPr>
        <w:t>ed</w:t>
      </w:r>
      <w:r w:rsidR="001D5BE0" w:rsidRPr="00A53689">
        <w:rPr>
          <w:rFonts w:ascii="Garamond" w:hAnsi="Garamond"/>
          <w:sz w:val="24"/>
          <w:szCs w:val="24"/>
        </w:rPr>
        <w:t xml:space="preserve"> 9000 students in</w:t>
      </w:r>
      <w:r w:rsidRPr="00A53689">
        <w:rPr>
          <w:rFonts w:ascii="Garamond" w:hAnsi="Garamond"/>
          <w:sz w:val="24"/>
          <w:szCs w:val="24"/>
        </w:rPr>
        <w:t xml:space="preserve"> its</w:t>
      </w:r>
      <w:r w:rsidR="001D5BE0" w:rsidRPr="00A53689">
        <w:rPr>
          <w:rFonts w:ascii="Garamond" w:hAnsi="Garamond"/>
          <w:sz w:val="24"/>
          <w:szCs w:val="24"/>
        </w:rPr>
        <w:t xml:space="preserve"> first year</w:t>
      </w:r>
      <w:r w:rsidR="00864A8B" w:rsidRPr="00A53689">
        <w:rPr>
          <w:rFonts w:ascii="Garamond" w:hAnsi="Garamond"/>
          <w:sz w:val="24"/>
          <w:szCs w:val="24"/>
        </w:rPr>
        <w:t xml:space="preserve"> </w:t>
      </w:r>
      <w:r w:rsidR="00310322" w:rsidRPr="00A53689">
        <w:rPr>
          <w:rFonts w:ascii="Garamond" w:hAnsi="Garamond"/>
          <w:sz w:val="24"/>
          <w:szCs w:val="24"/>
        </w:rPr>
        <w:t>and</w:t>
      </w:r>
      <w:r w:rsidR="00062489" w:rsidRPr="00A53689">
        <w:rPr>
          <w:rFonts w:ascii="Garamond" w:hAnsi="Garamond"/>
          <w:sz w:val="24"/>
          <w:szCs w:val="24"/>
        </w:rPr>
        <w:t xml:space="preserve"> has received positive evaluation from </w:t>
      </w:r>
      <w:r w:rsidR="001D5BE0" w:rsidRPr="00A53689">
        <w:rPr>
          <w:rFonts w:ascii="Garamond" w:hAnsi="Garamond"/>
          <w:sz w:val="24"/>
          <w:szCs w:val="24"/>
        </w:rPr>
        <w:t>teacher feedback</w:t>
      </w:r>
      <w:r w:rsidR="00062489" w:rsidRPr="00A53689">
        <w:rPr>
          <w:rFonts w:ascii="Garamond" w:hAnsi="Garamond"/>
          <w:sz w:val="24"/>
          <w:szCs w:val="24"/>
        </w:rPr>
        <w:t xml:space="preserve"> collected at the workshops, including one comment </w:t>
      </w:r>
      <w:r w:rsidR="00264417" w:rsidRPr="00A53689">
        <w:rPr>
          <w:rFonts w:ascii="Garamond" w:hAnsi="Garamond"/>
          <w:sz w:val="24"/>
          <w:szCs w:val="24"/>
        </w:rPr>
        <w:t>that</w:t>
      </w:r>
      <w:r w:rsidR="00062489" w:rsidRPr="00A53689">
        <w:rPr>
          <w:rFonts w:ascii="Garamond" w:hAnsi="Garamond"/>
          <w:sz w:val="24"/>
          <w:szCs w:val="24"/>
        </w:rPr>
        <w:t xml:space="preserve"> described the program as the</w:t>
      </w:r>
      <w:r w:rsidR="00884105" w:rsidRPr="00A53689">
        <w:rPr>
          <w:rFonts w:ascii="Garamond" w:hAnsi="Garamond"/>
          <w:sz w:val="24"/>
          <w:szCs w:val="24"/>
        </w:rPr>
        <w:t xml:space="preserve"> “best professional development”.</w:t>
      </w:r>
    </w:p>
    <w:p w14:paraId="492D9BED" w14:textId="57577ADB" w:rsidR="001D5BE0" w:rsidRPr="00A53689" w:rsidRDefault="00062489" w:rsidP="00F57FC9">
      <w:pPr>
        <w:spacing w:after="200" w:line="276" w:lineRule="auto"/>
        <w:rPr>
          <w:rFonts w:ascii="Garamond" w:hAnsi="Garamond"/>
          <w:sz w:val="24"/>
          <w:szCs w:val="24"/>
        </w:rPr>
      </w:pPr>
      <w:r w:rsidRPr="00A53689">
        <w:rPr>
          <w:rFonts w:ascii="Garamond" w:hAnsi="Garamond"/>
          <w:sz w:val="24"/>
          <w:szCs w:val="24"/>
        </w:rPr>
        <w:t>An issue outlined by NYSE Euronext is d</w:t>
      </w:r>
      <w:r w:rsidR="001D5BE0" w:rsidRPr="00A53689">
        <w:rPr>
          <w:rFonts w:ascii="Garamond" w:hAnsi="Garamond"/>
          <w:sz w:val="24"/>
          <w:szCs w:val="24"/>
        </w:rPr>
        <w:t>issemination</w:t>
      </w:r>
      <w:r w:rsidRPr="00A53689">
        <w:rPr>
          <w:rFonts w:ascii="Garamond" w:hAnsi="Garamond"/>
          <w:sz w:val="24"/>
          <w:szCs w:val="24"/>
        </w:rPr>
        <w:t>. Once teachers have returned to the classroom, there is limited feedback. Any information received is</w:t>
      </w:r>
      <w:r w:rsidR="001D5BE0" w:rsidRPr="00A53689">
        <w:rPr>
          <w:rFonts w:ascii="Garamond" w:hAnsi="Garamond"/>
          <w:sz w:val="24"/>
          <w:szCs w:val="24"/>
        </w:rPr>
        <w:t xml:space="preserve"> </w:t>
      </w:r>
      <w:r w:rsidR="007A62AE" w:rsidRPr="00A53689">
        <w:rPr>
          <w:rFonts w:ascii="Garamond" w:hAnsi="Garamond"/>
          <w:i/>
          <w:sz w:val="24"/>
          <w:szCs w:val="24"/>
        </w:rPr>
        <w:t>ad hoc</w:t>
      </w:r>
      <w:r w:rsidR="001D5BE0" w:rsidRPr="00A53689">
        <w:rPr>
          <w:rFonts w:ascii="Garamond" w:hAnsi="Garamond"/>
          <w:sz w:val="24"/>
          <w:szCs w:val="24"/>
        </w:rPr>
        <w:t>.</w:t>
      </w:r>
    </w:p>
    <w:p w14:paraId="75C3B63A" w14:textId="77777777" w:rsidR="00DE3D39" w:rsidRPr="00A53689" w:rsidRDefault="00F67286" w:rsidP="00F57FC9">
      <w:pPr>
        <w:spacing w:after="200" w:line="276" w:lineRule="auto"/>
        <w:rPr>
          <w:rFonts w:ascii="Garamond" w:hAnsi="Garamond"/>
          <w:sz w:val="24"/>
          <w:szCs w:val="24"/>
        </w:rPr>
      </w:pPr>
      <w:r w:rsidRPr="00A53689">
        <w:rPr>
          <w:rFonts w:ascii="Garamond" w:hAnsi="Garamond"/>
          <w:sz w:val="24"/>
          <w:szCs w:val="24"/>
        </w:rPr>
        <w:t xml:space="preserve">In </w:t>
      </w:r>
      <w:r w:rsidR="004B6C55" w:rsidRPr="00A53689">
        <w:rPr>
          <w:rFonts w:ascii="Garamond" w:hAnsi="Garamond"/>
          <w:sz w:val="24"/>
          <w:szCs w:val="24"/>
        </w:rPr>
        <w:t>201</w:t>
      </w:r>
      <w:r w:rsidRPr="00A53689">
        <w:rPr>
          <w:rFonts w:ascii="Garamond" w:hAnsi="Garamond"/>
          <w:sz w:val="24"/>
          <w:szCs w:val="24"/>
        </w:rPr>
        <w:t>2, NYSE Euronext</w:t>
      </w:r>
      <w:r w:rsidR="00DE3D39" w:rsidRPr="00A53689">
        <w:rPr>
          <w:rFonts w:ascii="Garamond" w:hAnsi="Garamond"/>
          <w:sz w:val="24"/>
          <w:szCs w:val="24"/>
        </w:rPr>
        <w:t xml:space="preserve"> partnered to run a joint teacher program on civics and</w:t>
      </w:r>
      <w:r w:rsidR="00062489" w:rsidRPr="00A53689">
        <w:rPr>
          <w:rFonts w:ascii="Garamond" w:hAnsi="Garamond"/>
          <w:sz w:val="24"/>
          <w:szCs w:val="24"/>
        </w:rPr>
        <w:t xml:space="preserve"> citizenship in Washington DC. </w:t>
      </w:r>
      <w:r w:rsidRPr="00A53689">
        <w:rPr>
          <w:rFonts w:ascii="Garamond" w:hAnsi="Garamond"/>
          <w:sz w:val="24"/>
          <w:szCs w:val="24"/>
        </w:rPr>
        <w:t>It was a success however</w:t>
      </w:r>
      <w:r w:rsidR="00062489" w:rsidRPr="00A53689">
        <w:rPr>
          <w:rFonts w:ascii="Garamond" w:hAnsi="Garamond"/>
          <w:sz w:val="24"/>
          <w:szCs w:val="24"/>
        </w:rPr>
        <w:t xml:space="preserve"> </w:t>
      </w:r>
      <w:r w:rsidR="00310322" w:rsidRPr="00A53689">
        <w:rPr>
          <w:rFonts w:ascii="Garamond" w:hAnsi="Garamond"/>
          <w:sz w:val="24"/>
          <w:szCs w:val="24"/>
        </w:rPr>
        <w:t xml:space="preserve">owing </w:t>
      </w:r>
      <w:r w:rsidR="00DE3D39" w:rsidRPr="00A53689">
        <w:rPr>
          <w:rFonts w:ascii="Garamond" w:hAnsi="Garamond"/>
          <w:sz w:val="24"/>
          <w:szCs w:val="24"/>
        </w:rPr>
        <w:t>to budget cuts this program is no longer running.</w:t>
      </w:r>
    </w:p>
    <w:p w14:paraId="7032B4D2" w14:textId="77777777" w:rsidR="00DE3D39" w:rsidRPr="00A53689" w:rsidRDefault="00062489" w:rsidP="00F57FC9">
      <w:pPr>
        <w:spacing w:after="200" w:line="276" w:lineRule="auto"/>
        <w:rPr>
          <w:rFonts w:ascii="Garamond" w:hAnsi="Garamond"/>
          <w:sz w:val="24"/>
          <w:szCs w:val="24"/>
        </w:rPr>
      </w:pPr>
      <w:r w:rsidRPr="00A53689">
        <w:rPr>
          <w:rFonts w:ascii="Garamond" w:hAnsi="Garamond"/>
          <w:sz w:val="24"/>
          <w:szCs w:val="24"/>
        </w:rPr>
        <w:t>The p</w:t>
      </w:r>
      <w:r w:rsidR="00DE3D39" w:rsidRPr="00A53689">
        <w:rPr>
          <w:rFonts w:ascii="Garamond" w:hAnsi="Garamond"/>
          <w:sz w:val="24"/>
          <w:szCs w:val="24"/>
        </w:rPr>
        <w:t xml:space="preserve">rogram </w:t>
      </w:r>
      <w:r w:rsidR="00A744E6" w:rsidRPr="00A53689">
        <w:rPr>
          <w:rFonts w:ascii="Garamond" w:hAnsi="Garamond"/>
          <w:sz w:val="24"/>
          <w:szCs w:val="24"/>
        </w:rPr>
        <w:t xml:space="preserve">is </w:t>
      </w:r>
      <w:r w:rsidR="00DE3D39" w:rsidRPr="00A53689">
        <w:rPr>
          <w:rFonts w:ascii="Garamond" w:hAnsi="Garamond"/>
          <w:sz w:val="24"/>
          <w:szCs w:val="24"/>
        </w:rPr>
        <w:t xml:space="preserve">not </w:t>
      </w:r>
      <w:r w:rsidRPr="00A53689">
        <w:rPr>
          <w:rFonts w:ascii="Garamond" w:hAnsi="Garamond"/>
          <w:sz w:val="24"/>
          <w:szCs w:val="24"/>
        </w:rPr>
        <w:t xml:space="preserve">currently </w:t>
      </w:r>
      <w:r w:rsidR="00DE3D39" w:rsidRPr="00A53689">
        <w:rPr>
          <w:rFonts w:ascii="Garamond" w:hAnsi="Garamond"/>
          <w:sz w:val="24"/>
          <w:szCs w:val="24"/>
        </w:rPr>
        <w:t>offered</w:t>
      </w:r>
      <w:r w:rsidR="00884105" w:rsidRPr="00A53689">
        <w:rPr>
          <w:rFonts w:ascii="Garamond" w:hAnsi="Garamond"/>
          <w:sz w:val="24"/>
          <w:szCs w:val="24"/>
        </w:rPr>
        <w:t xml:space="preserve"> in Australia.</w:t>
      </w:r>
    </w:p>
    <w:p w14:paraId="64E7B53F" w14:textId="77777777" w:rsidR="00964F57" w:rsidRPr="00A53689" w:rsidRDefault="008C746C" w:rsidP="00F57FC9">
      <w:pPr>
        <w:spacing w:after="200" w:line="276" w:lineRule="auto"/>
        <w:rPr>
          <w:rFonts w:ascii="Garamond" w:hAnsi="Garamond"/>
          <w:sz w:val="24"/>
          <w:szCs w:val="24"/>
        </w:rPr>
      </w:pPr>
      <w:r w:rsidRPr="00A53689">
        <w:rPr>
          <w:rFonts w:ascii="Garamond" w:hAnsi="Garamond"/>
          <w:sz w:val="24"/>
          <w:szCs w:val="24"/>
        </w:rPr>
        <w:t xml:space="preserve">NYSE Euronext believes that </w:t>
      </w:r>
      <w:r w:rsidR="008C151B" w:rsidRPr="00A53689">
        <w:rPr>
          <w:rFonts w:ascii="Garamond" w:hAnsi="Garamond"/>
          <w:sz w:val="24"/>
          <w:szCs w:val="24"/>
        </w:rPr>
        <w:t>running workshops for teachers</w:t>
      </w:r>
      <w:r w:rsidR="00FC13F3" w:rsidRPr="00A53689">
        <w:rPr>
          <w:rFonts w:ascii="Garamond" w:hAnsi="Garamond"/>
          <w:sz w:val="24"/>
          <w:szCs w:val="24"/>
        </w:rPr>
        <w:t xml:space="preserve"> is best practice. Their main argument is that ‘teaching the teacher’ will</w:t>
      </w:r>
      <w:r w:rsidR="008C151B" w:rsidRPr="00A53689">
        <w:rPr>
          <w:rFonts w:ascii="Garamond" w:hAnsi="Garamond"/>
          <w:sz w:val="24"/>
          <w:szCs w:val="24"/>
        </w:rPr>
        <w:t xml:space="preserve"> result in a larger audience size</w:t>
      </w:r>
      <w:r w:rsidR="00396601" w:rsidRPr="00A53689">
        <w:rPr>
          <w:rFonts w:ascii="Garamond" w:hAnsi="Garamond"/>
          <w:sz w:val="24"/>
          <w:szCs w:val="24"/>
        </w:rPr>
        <w:t>s</w:t>
      </w:r>
      <w:r w:rsidR="008C151B" w:rsidRPr="00A53689">
        <w:rPr>
          <w:rFonts w:ascii="Garamond" w:hAnsi="Garamond"/>
          <w:sz w:val="24"/>
          <w:szCs w:val="24"/>
        </w:rPr>
        <w:t xml:space="preserve">. They also argue that teacher-centred programs provide educators with the tools, experience and knowledge to </w:t>
      </w:r>
      <w:r w:rsidR="00A06B47" w:rsidRPr="00A53689">
        <w:rPr>
          <w:rFonts w:ascii="Garamond" w:hAnsi="Garamond"/>
          <w:sz w:val="24"/>
          <w:szCs w:val="24"/>
        </w:rPr>
        <w:t xml:space="preserve">be to </w:t>
      </w:r>
      <w:r w:rsidR="00113501" w:rsidRPr="00A53689">
        <w:rPr>
          <w:rFonts w:ascii="Garamond" w:hAnsi="Garamond"/>
          <w:sz w:val="24"/>
          <w:szCs w:val="24"/>
        </w:rPr>
        <w:t xml:space="preserve">deliver </w:t>
      </w:r>
      <w:r w:rsidR="00A06B47" w:rsidRPr="00A53689">
        <w:rPr>
          <w:rFonts w:ascii="Garamond" w:hAnsi="Garamond"/>
          <w:sz w:val="24"/>
          <w:szCs w:val="24"/>
        </w:rPr>
        <w:t xml:space="preserve">meaningful teaching and learning experiences for students. </w:t>
      </w:r>
      <w:r w:rsidR="005A0C8D" w:rsidRPr="00A53689">
        <w:rPr>
          <w:rFonts w:ascii="Garamond" w:hAnsi="Garamond"/>
          <w:sz w:val="24"/>
          <w:szCs w:val="24"/>
        </w:rPr>
        <w:t xml:space="preserve">The fellowship </w:t>
      </w:r>
      <w:r w:rsidR="002C787A" w:rsidRPr="00A53689">
        <w:rPr>
          <w:rFonts w:ascii="Garamond" w:hAnsi="Garamond"/>
          <w:sz w:val="24"/>
          <w:szCs w:val="24"/>
        </w:rPr>
        <w:t>program allowed NYS</w:t>
      </w:r>
      <w:r w:rsidR="005A0C8D" w:rsidRPr="00A53689">
        <w:rPr>
          <w:rFonts w:ascii="Garamond" w:hAnsi="Garamond"/>
          <w:sz w:val="24"/>
          <w:szCs w:val="24"/>
        </w:rPr>
        <w:t>E Euronext access to the most disadvantaged communities – who often require</w:t>
      </w:r>
      <w:r w:rsidR="000563B9" w:rsidRPr="00A53689">
        <w:rPr>
          <w:rFonts w:ascii="Garamond" w:hAnsi="Garamond"/>
          <w:sz w:val="24"/>
          <w:szCs w:val="24"/>
        </w:rPr>
        <w:t xml:space="preserve"> more support,</w:t>
      </w:r>
      <w:r w:rsidR="005A0C8D" w:rsidRPr="00A53689">
        <w:rPr>
          <w:rFonts w:ascii="Garamond" w:hAnsi="Garamond"/>
          <w:sz w:val="24"/>
          <w:szCs w:val="24"/>
        </w:rPr>
        <w:t xml:space="preserve"> knowledge and skills</w:t>
      </w:r>
      <w:r w:rsidR="00A06B47" w:rsidRPr="00A53689">
        <w:rPr>
          <w:rFonts w:ascii="Garamond" w:hAnsi="Garamond"/>
          <w:sz w:val="24"/>
          <w:szCs w:val="24"/>
        </w:rPr>
        <w:t xml:space="preserve"> </w:t>
      </w:r>
      <w:r w:rsidR="005A0C8D" w:rsidRPr="00A53689">
        <w:rPr>
          <w:rFonts w:ascii="Garamond" w:hAnsi="Garamond"/>
          <w:sz w:val="24"/>
          <w:szCs w:val="24"/>
        </w:rPr>
        <w:t>in financial</w:t>
      </w:r>
      <w:r w:rsidR="000563B9" w:rsidRPr="00A53689">
        <w:rPr>
          <w:rFonts w:ascii="Garamond" w:hAnsi="Garamond"/>
          <w:sz w:val="24"/>
          <w:szCs w:val="24"/>
        </w:rPr>
        <w:t xml:space="preserve"> capabilities</w:t>
      </w:r>
      <w:r w:rsidR="005A0C8D" w:rsidRPr="00A53689">
        <w:rPr>
          <w:rFonts w:ascii="Garamond" w:hAnsi="Garamond"/>
          <w:sz w:val="24"/>
          <w:szCs w:val="24"/>
        </w:rPr>
        <w:t xml:space="preserve">. </w:t>
      </w:r>
      <w:r w:rsidR="00A06B47" w:rsidRPr="00A53689">
        <w:rPr>
          <w:rFonts w:ascii="Garamond" w:hAnsi="Garamond"/>
          <w:sz w:val="24"/>
          <w:szCs w:val="24"/>
        </w:rPr>
        <w:t>They also emphasised the need for ongoing professional development so that teachers remain up-to-date on the rapidly</w:t>
      </w:r>
      <w:r w:rsidR="000563B9" w:rsidRPr="00A53689">
        <w:rPr>
          <w:rFonts w:ascii="Garamond" w:hAnsi="Garamond"/>
          <w:sz w:val="24"/>
          <w:szCs w:val="24"/>
        </w:rPr>
        <w:t xml:space="preserve"> changing financial marketplace and share their knowledge and skills with one another.</w:t>
      </w:r>
    </w:p>
    <w:p w14:paraId="40608CBE" w14:textId="6A418F70" w:rsidR="00126D0A" w:rsidRPr="00A53689" w:rsidRDefault="00126D0A" w:rsidP="00F57FC9">
      <w:pPr>
        <w:spacing w:after="60" w:line="276" w:lineRule="auto"/>
        <w:rPr>
          <w:rFonts w:ascii="Garamond" w:hAnsi="Garamond"/>
          <w:sz w:val="24"/>
          <w:szCs w:val="24"/>
          <w:u w:val="single"/>
        </w:rPr>
      </w:pPr>
      <w:r w:rsidRPr="00A53689">
        <w:rPr>
          <w:rFonts w:ascii="Garamond" w:hAnsi="Garamond"/>
          <w:sz w:val="24"/>
          <w:szCs w:val="24"/>
          <w:u w:val="single"/>
        </w:rPr>
        <w:t xml:space="preserve">Museum of American </w:t>
      </w:r>
      <w:r w:rsidR="00EB5CBE" w:rsidRPr="00A53689">
        <w:rPr>
          <w:rFonts w:ascii="Garamond" w:hAnsi="Garamond"/>
          <w:sz w:val="24"/>
          <w:szCs w:val="24"/>
          <w:u w:val="single"/>
        </w:rPr>
        <w:t>Finance</w:t>
      </w:r>
      <w:r w:rsidRPr="00A53689">
        <w:rPr>
          <w:rFonts w:ascii="Garamond" w:hAnsi="Garamond"/>
          <w:sz w:val="24"/>
          <w:szCs w:val="24"/>
          <w:u w:val="single"/>
        </w:rPr>
        <w:t>, New York City, United States of America</w:t>
      </w:r>
    </w:p>
    <w:p w14:paraId="53041995" w14:textId="20D0F4F0" w:rsidR="00FB1DCD" w:rsidRPr="00A53689" w:rsidRDefault="00F57FC9" w:rsidP="00F57FC9">
      <w:pPr>
        <w:spacing w:after="200" w:line="276" w:lineRule="auto"/>
        <w:rPr>
          <w:rFonts w:ascii="Garamond" w:hAnsi="Garamond"/>
          <w:sz w:val="24"/>
          <w:szCs w:val="24"/>
        </w:rPr>
      </w:pPr>
      <w:hyperlink r:id="rId14" w:history="1">
        <w:r w:rsidR="00DE7AB3" w:rsidRPr="00BE4C3D">
          <w:rPr>
            <w:rStyle w:val="Hyperlink"/>
            <w:rFonts w:ascii="Garamond" w:hAnsi="Garamond"/>
            <w:sz w:val="24"/>
            <w:szCs w:val="24"/>
          </w:rPr>
          <w:t>The Museum</w:t>
        </w:r>
        <w:r w:rsidR="00967149" w:rsidRPr="00BE4C3D">
          <w:rPr>
            <w:rStyle w:val="Hyperlink"/>
            <w:rFonts w:ascii="Garamond" w:hAnsi="Garamond"/>
            <w:sz w:val="24"/>
            <w:szCs w:val="24"/>
          </w:rPr>
          <w:t xml:space="preserve"> of American</w:t>
        </w:r>
      </w:hyperlink>
      <w:r w:rsidR="00967149" w:rsidRPr="00A53689">
        <w:rPr>
          <w:rFonts w:ascii="Garamond" w:hAnsi="Garamond"/>
          <w:sz w:val="24"/>
          <w:szCs w:val="24"/>
        </w:rPr>
        <w:t xml:space="preserve"> Finance is located at 48 Wall St and</w:t>
      </w:r>
      <w:r w:rsidR="00DE7AB3" w:rsidRPr="00A53689">
        <w:rPr>
          <w:rFonts w:ascii="Garamond" w:hAnsi="Garamond"/>
          <w:sz w:val="24"/>
          <w:szCs w:val="24"/>
        </w:rPr>
        <w:t xml:space="preserve"> features permanent exhibits on </w:t>
      </w:r>
      <w:r w:rsidR="004D6B0F" w:rsidRPr="00A53689">
        <w:rPr>
          <w:rFonts w:ascii="Garamond" w:hAnsi="Garamond"/>
          <w:sz w:val="24"/>
          <w:szCs w:val="24"/>
        </w:rPr>
        <w:t>American</w:t>
      </w:r>
      <w:r w:rsidR="00DE7AB3" w:rsidRPr="00A53689">
        <w:rPr>
          <w:rFonts w:ascii="Garamond" w:hAnsi="Garamond"/>
          <w:sz w:val="24"/>
          <w:szCs w:val="24"/>
        </w:rPr>
        <w:t xml:space="preserve"> financial markets, money, banking, entrepreneurship and </w:t>
      </w:r>
      <w:r w:rsidR="004D6B0F" w:rsidRPr="00A53689">
        <w:rPr>
          <w:rFonts w:ascii="Garamond" w:hAnsi="Garamond"/>
          <w:sz w:val="24"/>
          <w:szCs w:val="24"/>
        </w:rPr>
        <w:t xml:space="preserve">the history of </w:t>
      </w:r>
      <w:r w:rsidR="00DE7AB3" w:rsidRPr="00A53689">
        <w:rPr>
          <w:rFonts w:ascii="Garamond" w:hAnsi="Garamond"/>
          <w:sz w:val="24"/>
          <w:szCs w:val="24"/>
        </w:rPr>
        <w:t xml:space="preserve">Alexander Hamilton. </w:t>
      </w:r>
      <w:r w:rsidR="00B667D0" w:rsidRPr="00A53689">
        <w:rPr>
          <w:rFonts w:ascii="Garamond" w:hAnsi="Garamond"/>
          <w:sz w:val="24"/>
          <w:szCs w:val="24"/>
          <w:lang w:val="en-US"/>
        </w:rPr>
        <w:t xml:space="preserve">The museum </w:t>
      </w:r>
      <w:r w:rsidR="00FB1DCD" w:rsidRPr="00A53689">
        <w:rPr>
          <w:rFonts w:ascii="Garamond" w:hAnsi="Garamond"/>
          <w:sz w:val="24"/>
          <w:szCs w:val="24"/>
          <w:lang w:val="en-US"/>
        </w:rPr>
        <w:t>is an independent</w:t>
      </w:r>
      <w:r w:rsidR="00B64035" w:rsidRPr="00A53689">
        <w:rPr>
          <w:rFonts w:ascii="Garamond" w:hAnsi="Garamond"/>
          <w:sz w:val="24"/>
          <w:szCs w:val="24"/>
          <w:lang w:val="en-US"/>
        </w:rPr>
        <w:t>, non-profit</w:t>
      </w:r>
      <w:r w:rsidR="00FB1DCD" w:rsidRPr="00A53689">
        <w:rPr>
          <w:rFonts w:ascii="Garamond" w:hAnsi="Garamond"/>
          <w:sz w:val="24"/>
          <w:szCs w:val="24"/>
          <w:lang w:val="en-US"/>
        </w:rPr>
        <w:t xml:space="preserve"> museum that focuses on preserving, exhibiting and teaching about American finance and financial history. Perma</w:t>
      </w:r>
      <w:r w:rsidR="00D06518" w:rsidRPr="00A53689">
        <w:rPr>
          <w:rFonts w:ascii="Garamond" w:hAnsi="Garamond"/>
          <w:sz w:val="24"/>
          <w:szCs w:val="24"/>
          <w:lang w:val="en-US"/>
        </w:rPr>
        <w:t xml:space="preserve">nent exhibitions include </w:t>
      </w:r>
      <w:r w:rsidR="000128F4" w:rsidRPr="00A53689">
        <w:rPr>
          <w:rFonts w:ascii="Garamond" w:hAnsi="Garamond"/>
          <w:sz w:val="24"/>
          <w:szCs w:val="24"/>
          <w:lang w:val="en-US"/>
        </w:rPr>
        <w:t xml:space="preserve">the history of barter, </w:t>
      </w:r>
      <w:r w:rsidR="00D06518" w:rsidRPr="00A53689">
        <w:rPr>
          <w:rFonts w:ascii="Garamond" w:hAnsi="Garamond"/>
          <w:sz w:val="24"/>
          <w:szCs w:val="24"/>
          <w:lang w:val="en-US"/>
        </w:rPr>
        <w:t>growing wealth</w:t>
      </w:r>
      <w:r w:rsidR="00D822DF" w:rsidRPr="00A53689">
        <w:rPr>
          <w:rFonts w:ascii="Garamond" w:hAnsi="Garamond"/>
          <w:sz w:val="24"/>
          <w:szCs w:val="24"/>
          <w:lang w:val="en-US"/>
        </w:rPr>
        <w:t>,</w:t>
      </w:r>
      <w:r w:rsidR="00D06518" w:rsidRPr="00A53689">
        <w:rPr>
          <w:rFonts w:ascii="Garamond" w:hAnsi="Garamond"/>
          <w:sz w:val="24"/>
          <w:szCs w:val="24"/>
          <w:lang w:val="en-US"/>
        </w:rPr>
        <w:t xml:space="preserve"> market fluctuations – including a feature on the Wall St Crash of 1929,</w:t>
      </w:r>
      <w:r w:rsidR="00D822DF" w:rsidRPr="00A53689">
        <w:rPr>
          <w:rFonts w:ascii="Garamond" w:hAnsi="Garamond"/>
          <w:sz w:val="24"/>
          <w:szCs w:val="24"/>
          <w:lang w:val="en-US"/>
        </w:rPr>
        <w:t xml:space="preserve"> </w:t>
      </w:r>
      <w:r w:rsidR="00D06518" w:rsidRPr="00A53689">
        <w:rPr>
          <w:rFonts w:ascii="Garamond" w:hAnsi="Garamond"/>
          <w:sz w:val="24"/>
          <w:szCs w:val="24"/>
          <w:lang w:val="en-US"/>
        </w:rPr>
        <w:t>trading stocks, commodity futures,</w:t>
      </w:r>
      <w:r w:rsidR="000128F4" w:rsidRPr="00A53689">
        <w:rPr>
          <w:rFonts w:ascii="Garamond" w:hAnsi="Garamond"/>
          <w:sz w:val="24"/>
          <w:szCs w:val="24"/>
          <w:lang w:val="en-US"/>
        </w:rPr>
        <w:t xml:space="preserve"> mutual funds, hedge funds, money market funds, index funds,</w:t>
      </w:r>
      <w:r w:rsidR="00D06518" w:rsidRPr="00A53689">
        <w:rPr>
          <w:rFonts w:ascii="Garamond" w:hAnsi="Garamond"/>
          <w:sz w:val="24"/>
          <w:szCs w:val="24"/>
          <w:lang w:val="en-US"/>
        </w:rPr>
        <w:t xml:space="preserve"> bonds, the NYMEX code</w:t>
      </w:r>
      <w:r w:rsidR="000128F4" w:rsidRPr="00A53689">
        <w:rPr>
          <w:rFonts w:ascii="Garamond" w:hAnsi="Garamond"/>
          <w:sz w:val="24"/>
          <w:szCs w:val="24"/>
          <w:lang w:val="en-US"/>
        </w:rPr>
        <w:t>, microfinance, and forgery.</w:t>
      </w:r>
    </w:p>
    <w:p w14:paraId="5F564AAF" w14:textId="77777777" w:rsidR="00605E69" w:rsidRPr="00A53689" w:rsidRDefault="002F377F" w:rsidP="00F57FC9">
      <w:pPr>
        <w:spacing w:after="200" w:line="276" w:lineRule="auto"/>
        <w:rPr>
          <w:rFonts w:ascii="Garamond" w:hAnsi="Garamond"/>
          <w:sz w:val="24"/>
          <w:szCs w:val="24"/>
        </w:rPr>
      </w:pPr>
      <w:r w:rsidRPr="00A53689">
        <w:rPr>
          <w:rFonts w:ascii="Garamond" w:hAnsi="Garamond"/>
          <w:sz w:val="24"/>
          <w:szCs w:val="24"/>
        </w:rPr>
        <w:lastRenderedPageBreak/>
        <w:t xml:space="preserve">Financial education is at the heart of the Museum’s mission. For more than 20 years, educators from around the country have been bringing students to the Museum to help them understand how finance impacts their daily lives. </w:t>
      </w:r>
      <w:r w:rsidR="00DE7AB3" w:rsidRPr="00A53689">
        <w:rPr>
          <w:rFonts w:ascii="Garamond" w:hAnsi="Garamond"/>
          <w:sz w:val="24"/>
          <w:szCs w:val="24"/>
        </w:rPr>
        <w:t xml:space="preserve">Through the </w:t>
      </w:r>
      <w:proofErr w:type="spellStart"/>
      <w:r w:rsidR="00DE7AB3" w:rsidRPr="00A53689">
        <w:rPr>
          <w:rFonts w:ascii="Garamond" w:hAnsi="Garamond"/>
          <w:sz w:val="24"/>
          <w:szCs w:val="24"/>
        </w:rPr>
        <w:t>Center</w:t>
      </w:r>
      <w:proofErr w:type="spellEnd"/>
      <w:r w:rsidR="00DE7AB3" w:rsidRPr="00A53689">
        <w:rPr>
          <w:rFonts w:ascii="Garamond" w:hAnsi="Garamond"/>
          <w:sz w:val="24"/>
          <w:szCs w:val="24"/>
        </w:rPr>
        <w:t xml:space="preserve"> for Financial Education, the Museum offers classroom programs and tours for students</w:t>
      </w:r>
      <w:r w:rsidR="00601412" w:rsidRPr="00A53689">
        <w:rPr>
          <w:rFonts w:ascii="Garamond" w:hAnsi="Garamond"/>
          <w:sz w:val="24"/>
          <w:szCs w:val="24"/>
        </w:rPr>
        <w:t>.</w:t>
      </w:r>
    </w:p>
    <w:p w14:paraId="0D5CD456" w14:textId="03D7F2D1" w:rsidR="000665E0" w:rsidRPr="00A53689" w:rsidRDefault="00A744E6" w:rsidP="00F57FC9">
      <w:pPr>
        <w:spacing w:after="200" w:line="276" w:lineRule="auto"/>
        <w:rPr>
          <w:rFonts w:ascii="Garamond" w:hAnsi="Garamond"/>
          <w:sz w:val="24"/>
          <w:szCs w:val="24"/>
          <w:lang w:val="en-US"/>
        </w:rPr>
      </w:pPr>
      <w:r w:rsidRPr="00A53689">
        <w:rPr>
          <w:rFonts w:ascii="Garamond" w:hAnsi="Garamond"/>
          <w:sz w:val="24"/>
          <w:szCs w:val="24"/>
        </w:rPr>
        <w:t>Visits to this museum help</w:t>
      </w:r>
      <w:r w:rsidR="00601412" w:rsidRPr="00A53689">
        <w:rPr>
          <w:rFonts w:ascii="Garamond" w:hAnsi="Garamond"/>
          <w:sz w:val="24"/>
          <w:szCs w:val="24"/>
        </w:rPr>
        <w:t xml:space="preserve"> to strengthen teacher underst</w:t>
      </w:r>
      <w:r w:rsidR="00E27258" w:rsidRPr="00A53689">
        <w:rPr>
          <w:rFonts w:ascii="Garamond" w:hAnsi="Garamond"/>
          <w:sz w:val="24"/>
          <w:szCs w:val="24"/>
        </w:rPr>
        <w:t>anding and knowledge</w:t>
      </w:r>
      <w:r w:rsidR="00252C2F" w:rsidRPr="00A53689">
        <w:rPr>
          <w:rFonts w:ascii="Garamond" w:hAnsi="Garamond"/>
          <w:sz w:val="24"/>
          <w:szCs w:val="24"/>
        </w:rPr>
        <w:t>, particularly in the intricate details of trade</w:t>
      </w:r>
      <w:r w:rsidR="00E27258" w:rsidRPr="00A53689">
        <w:rPr>
          <w:rFonts w:ascii="Garamond" w:hAnsi="Garamond"/>
          <w:sz w:val="24"/>
          <w:szCs w:val="24"/>
        </w:rPr>
        <w:t xml:space="preserve">. This has resulted </w:t>
      </w:r>
      <w:r w:rsidR="00601412" w:rsidRPr="00A53689">
        <w:rPr>
          <w:rFonts w:ascii="Garamond" w:hAnsi="Garamond"/>
          <w:sz w:val="24"/>
          <w:szCs w:val="24"/>
        </w:rPr>
        <w:t>in improved student resources and learning activities.</w:t>
      </w:r>
      <w:r w:rsidR="000F3733" w:rsidRPr="00A53689">
        <w:rPr>
          <w:rFonts w:ascii="Garamond" w:hAnsi="Garamond"/>
          <w:sz w:val="24"/>
          <w:szCs w:val="24"/>
        </w:rPr>
        <w:t xml:space="preserve"> Further teacher resources are freely available at</w:t>
      </w:r>
      <w:r w:rsidR="00BE4C3D">
        <w:rPr>
          <w:rFonts w:ascii="Garamond" w:hAnsi="Garamond"/>
          <w:sz w:val="24"/>
          <w:szCs w:val="24"/>
        </w:rPr>
        <w:t xml:space="preserve"> </w:t>
      </w:r>
      <w:hyperlink r:id="rId15" w:history="1">
        <w:r w:rsidR="00BE4C3D" w:rsidRPr="00BE4C3D">
          <w:rPr>
            <w:rStyle w:val="Hyperlink"/>
            <w:rFonts w:ascii="Garamond" w:hAnsi="Garamond"/>
            <w:sz w:val="24"/>
            <w:szCs w:val="24"/>
          </w:rPr>
          <w:t>Museum of American Finance</w:t>
        </w:r>
      </w:hyperlink>
      <w:r w:rsidR="000F3733" w:rsidRPr="00A53689">
        <w:rPr>
          <w:rFonts w:ascii="Garamond" w:hAnsi="Garamond"/>
          <w:sz w:val="24"/>
          <w:szCs w:val="24"/>
        </w:rPr>
        <w:t>, including video lectures, financial history magazines and the museum’s monthly newsletter.</w:t>
      </w:r>
      <w:r w:rsidR="00B200B9" w:rsidRPr="00A53689">
        <w:rPr>
          <w:rFonts w:ascii="Garamond" w:hAnsi="Garamond"/>
          <w:sz w:val="24"/>
          <w:szCs w:val="24"/>
        </w:rPr>
        <w:t xml:space="preserve"> Teachers can also </w:t>
      </w:r>
      <w:r w:rsidR="00926961" w:rsidRPr="00A53689">
        <w:rPr>
          <w:rFonts w:ascii="Garamond" w:hAnsi="Garamond"/>
          <w:sz w:val="24"/>
          <w:szCs w:val="24"/>
        </w:rPr>
        <w:t>purchase resources online via the museum shop.</w:t>
      </w:r>
    </w:p>
    <w:p w14:paraId="01DA6274" w14:textId="77777777" w:rsidR="00126D0A" w:rsidRPr="00A53689" w:rsidRDefault="00126D0A" w:rsidP="00F57FC9">
      <w:pPr>
        <w:spacing w:after="60" w:line="276" w:lineRule="auto"/>
        <w:rPr>
          <w:rFonts w:ascii="Garamond" w:hAnsi="Garamond"/>
          <w:sz w:val="24"/>
          <w:szCs w:val="24"/>
          <w:u w:val="single"/>
        </w:rPr>
      </w:pPr>
      <w:r w:rsidRPr="00A53689">
        <w:rPr>
          <w:rFonts w:ascii="Garamond" w:hAnsi="Garamond"/>
          <w:sz w:val="24"/>
          <w:szCs w:val="24"/>
          <w:u w:val="single"/>
        </w:rPr>
        <w:t>Money Museum, Chicago Federal Reserve Bank, United States of America</w:t>
      </w:r>
    </w:p>
    <w:p w14:paraId="31FFA6B3" w14:textId="5B24BD20" w:rsidR="0030307B" w:rsidRPr="00A53689" w:rsidRDefault="00CC5B32" w:rsidP="00F57FC9">
      <w:pPr>
        <w:spacing w:line="276" w:lineRule="auto"/>
        <w:rPr>
          <w:rFonts w:ascii="Garamond" w:hAnsi="Garamond"/>
          <w:sz w:val="24"/>
          <w:szCs w:val="24"/>
        </w:rPr>
      </w:pPr>
      <w:r w:rsidRPr="00A53689">
        <w:rPr>
          <w:rFonts w:ascii="Garamond" w:hAnsi="Garamond"/>
          <w:sz w:val="24"/>
          <w:szCs w:val="24"/>
        </w:rPr>
        <w:t xml:space="preserve">The Federal Reserve Bank of Chicago’s </w:t>
      </w:r>
      <w:hyperlink r:id="rId16" w:history="1">
        <w:r w:rsidRPr="00BE4C3D">
          <w:rPr>
            <w:rStyle w:val="Hyperlink"/>
            <w:rFonts w:ascii="Garamond" w:hAnsi="Garamond"/>
            <w:sz w:val="24"/>
            <w:szCs w:val="24"/>
          </w:rPr>
          <w:t>Money Museum</w:t>
        </w:r>
      </w:hyperlink>
      <w:r w:rsidRPr="00A53689">
        <w:rPr>
          <w:rFonts w:ascii="Garamond" w:hAnsi="Garamond"/>
          <w:sz w:val="24"/>
          <w:szCs w:val="24"/>
        </w:rPr>
        <w:t>, located at 230 South LaSalle Street Chicago, is free and open to the public year-round.</w:t>
      </w:r>
      <w:r w:rsidR="007708CB" w:rsidRPr="00A53689">
        <w:rPr>
          <w:rFonts w:ascii="Garamond" w:hAnsi="Garamond"/>
          <w:sz w:val="24"/>
          <w:szCs w:val="24"/>
        </w:rPr>
        <w:t xml:space="preserve"> The guided tour is led by</w:t>
      </w:r>
      <w:r w:rsidR="007472A8" w:rsidRPr="00A53689">
        <w:rPr>
          <w:rFonts w:ascii="Garamond" w:hAnsi="Garamond"/>
          <w:sz w:val="24"/>
          <w:szCs w:val="24"/>
        </w:rPr>
        <w:t xml:space="preserve"> an experienced educator with an extensive knowledge of </w:t>
      </w:r>
      <w:r w:rsidR="00EA76D5" w:rsidRPr="00A53689">
        <w:rPr>
          <w:rFonts w:ascii="Garamond" w:hAnsi="Garamond"/>
          <w:sz w:val="24"/>
          <w:szCs w:val="24"/>
        </w:rPr>
        <w:t>inflation and the role of Reserve Banks.</w:t>
      </w:r>
      <w:r w:rsidR="0030307B" w:rsidRPr="00A53689">
        <w:rPr>
          <w:rFonts w:ascii="Garamond" w:hAnsi="Garamond"/>
          <w:sz w:val="24"/>
          <w:szCs w:val="24"/>
        </w:rPr>
        <w:t xml:space="preserve"> The guided tour includes:</w:t>
      </w:r>
    </w:p>
    <w:p w14:paraId="37AB0177" w14:textId="77777777" w:rsidR="0030307B" w:rsidRPr="00A53689" w:rsidRDefault="0030307B" w:rsidP="00F57FC9">
      <w:pPr>
        <w:numPr>
          <w:ilvl w:val="0"/>
          <w:numId w:val="1"/>
        </w:numPr>
        <w:spacing w:line="276" w:lineRule="auto"/>
        <w:ind w:left="568" w:hanging="284"/>
        <w:rPr>
          <w:rFonts w:ascii="Garamond" w:hAnsi="Garamond"/>
          <w:sz w:val="24"/>
          <w:szCs w:val="24"/>
        </w:rPr>
      </w:pPr>
      <w:r w:rsidRPr="00A53689">
        <w:rPr>
          <w:rFonts w:ascii="Garamond" w:hAnsi="Garamond"/>
          <w:sz w:val="24"/>
          <w:szCs w:val="24"/>
        </w:rPr>
        <w:t>A presentation about the functions and responsibilities of the Federal Reserve System and the Chicago Federal Reserve Bank</w:t>
      </w:r>
    </w:p>
    <w:p w14:paraId="3663F3F2" w14:textId="77777777" w:rsidR="0030307B" w:rsidRPr="00A53689" w:rsidRDefault="0030307B" w:rsidP="00F57FC9">
      <w:pPr>
        <w:numPr>
          <w:ilvl w:val="0"/>
          <w:numId w:val="1"/>
        </w:numPr>
        <w:spacing w:line="276" w:lineRule="auto"/>
        <w:ind w:left="568" w:hanging="284"/>
        <w:rPr>
          <w:rFonts w:ascii="Garamond" w:hAnsi="Garamond"/>
          <w:sz w:val="24"/>
          <w:szCs w:val="24"/>
        </w:rPr>
      </w:pPr>
      <w:r w:rsidRPr="00A53689">
        <w:rPr>
          <w:rFonts w:ascii="Garamond" w:hAnsi="Garamond"/>
          <w:sz w:val="24"/>
          <w:szCs w:val="24"/>
        </w:rPr>
        <w:t>Detailed information about the Money Museum’s historical currency collection</w:t>
      </w:r>
    </w:p>
    <w:p w14:paraId="339249DB" w14:textId="77777777" w:rsidR="0030307B" w:rsidRPr="00A53689" w:rsidRDefault="0030307B" w:rsidP="00F57FC9">
      <w:pPr>
        <w:numPr>
          <w:ilvl w:val="0"/>
          <w:numId w:val="1"/>
        </w:numPr>
        <w:spacing w:line="276" w:lineRule="auto"/>
        <w:ind w:left="568" w:hanging="284"/>
        <w:rPr>
          <w:rFonts w:ascii="Garamond" w:hAnsi="Garamond"/>
          <w:sz w:val="24"/>
          <w:szCs w:val="24"/>
        </w:rPr>
      </w:pPr>
      <w:r w:rsidRPr="00A53689">
        <w:rPr>
          <w:rFonts w:ascii="Garamond" w:hAnsi="Garamond"/>
          <w:sz w:val="24"/>
          <w:szCs w:val="24"/>
        </w:rPr>
        <w:t>A video about the operations of the Chicago Federal Reserve Bank</w:t>
      </w:r>
    </w:p>
    <w:p w14:paraId="0E282037" w14:textId="77777777" w:rsidR="0030307B" w:rsidRPr="00A53689" w:rsidRDefault="0030307B" w:rsidP="00F57FC9">
      <w:pPr>
        <w:numPr>
          <w:ilvl w:val="0"/>
          <w:numId w:val="1"/>
        </w:numPr>
        <w:spacing w:after="200" w:line="276" w:lineRule="auto"/>
        <w:ind w:left="568" w:hanging="284"/>
        <w:rPr>
          <w:rFonts w:ascii="Garamond" w:hAnsi="Garamond"/>
          <w:sz w:val="24"/>
          <w:szCs w:val="24"/>
        </w:rPr>
      </w:pPr>
      <w:r w:rsidRPr="00A53689">
        <w:rPr>
          <w:rFonts w:ascii="Garamond" w:hAnsi="Garamond"/>
          <w:sz w:val="24"/>
          <w:szCs w:val="24"/>
        </w:rPr>
        <w:t>A question-and-answer session.</w:t>
      </w:r>
    </w:p>
    <w:p w14:paraId="2DCE8294" w14:textId="77777777" w:rsidR="00FA5718" w:rsidRPr="00A53689" w:rsidRDefault="00FA5718" w:rsidP="00F57FC9">
      <w:pPr>
        <w:spacing w:after="200" w:line="276" w:lineRule="auto"/>
        <w:rPr>
          <w:rFonts w:ascii="Garamond" w:hAnsi="Garamond"/>
          <w:sz w:val="24"/>
          <w:szCs w:val="24"/>
          <w:lang w:val="en-US"/>
        </w:rPr>
      </w:pPr>
      <w:r w:rsidRPr="00A53689">
        <w:rPr>
          <w:rFonts w:ascii="Garamond" w:hAnsi="Garamond"/>
          <w:sz w:val="24"/>
          <w:szCs w:val="24"/>
          <w:lang w:val="en-US"/>
        </w:rPr>
        <w:t>Permanent exhibitions include inflation, role of the Fed</w:t>
      </w:r>
      <w:r w:rsidR="007472A8" w:rsidRPr="00A53689">
        <w:rPr>
          <w:rFonts w:ascii="Garamond" w:hAnsi="Garamond"/>
          <w:sz w:val="24"/>
          <w:szCs w:val="24"/>
          <w:lang w:val="en-US"/>
        </w:rPr>
        <w:t>eral Reserve</w:t>
      </w:r>
      <w:r w:rsidRPr="00A53689">
        <w:rPr>
          <w:rFonts w:ascii="Garamond" w:hAnsi="Garamond"/>
          <w:sz w:val="24"/>
          <w:szCs w:val="24"/>
          <w:lang w:val="en-US"/>
        </w:rPr>
        <w:t>, payment methods, the evolution of money, and the history of American currency. The Money Museum also includes hands-on educational games and challenges.</w:t>
      </w:r>
      <w:r w:rsidR="00687F9A" w:rsidRPr="00A53689">
        <w:rPr>
          <w:rFonts w:ascii="Garamond" w:hAnsi="Garamond"/>
          <w:sz w:val="24"/>
          <w:szCs w:val="24"/>
          <w:lang w:val="en-US"/>
        </w:rPr>
        <w:t xml:space="preserve"> </w:t>
      </w:r>
    </w:p>
    <w:p w14:paraId="12A72445" w14:textId="7AD4D27A" w:rsidR="007708CB" w:rsidRPr="00A53689" w:rsidRDefault="000842D1" w:rsidP="00F57FC9">
      <w:pPr>
        <w:spacing w:after="200" w:line="276" w:lineRule="auto"/>
        <w:rPr>
          <w:rFonts w:ascii="Garamond" w:hAnsi="Garamond"/>
          <w:sz w:val="24"/>
          <w:szCs w:val="24"/>
        </w:rPr>
      </w:pPr>
      <w:r w:rsidRPr="00A53689">
        <w:rPr>
          <w:rFonts w:ascii="Garamond" w:hAnsi="Garamond"/>
          <w:sz w:val="24"/>
          <w:szCs w:val="24"/>
        </w:rPr>
        <w:t xml:space="preserve">Visits to this museum help to strengthen teacher understanding and knowledge, especially in the areas of inflation and the role of Reserve Banks. This has resulted in improved student resources and learning activities. </w:t>
      </w:r>
      <w:r w:rsidR="007708CB" w:rsidRPr="00A53689">
        <w:rPr>
          <w:rFonts w:ascii="Garamond" w:hAnsi="Garamond"/>
          <w:sz w:val="24"/>
          <w:szCs w:val="24"/>
          <w:lang w:val="en-US"/>
        </w:rPr>
        <w:t xml:space="preserve">An online tour of the Money Museum can be accessed </w:t>
      </w:r>
      <w:hyperlink r:id="rId17" w:history="1">
        <w:r w:rsidR="00BE4C3D" w:rsidRPr="00BE4C3D">
          <w:rPr>
            <w:rStyle w:val="Hyperlink"/>
            <w:rFonts w:ascii="Garamond" w:hAnsi="Garamond"/>
            <w:sz w:val="24"/>
            <w:szCs w:val="24"/>
            <w:lang w:val="en-US"/>
          </w:rPr>
          <w:t>online</w:t>
        </w:r>
      </w:hyperlink>
      <w:r w:rsidR="00BE4C3D">
        <w:rPr>
          <w:rFonts w:ascii="Garamond" w:hAnsi="Garamond"/>
          <w:sz w:val="24"/>
          <w:szCs w:val="24"/>
          <w:lang w:val="en-US"/>
        </w:rPr>
        <w:t>.</w:t>
      </w:r>
      <w:r w:rsidR="007708CB" w:rsidRPr="00A53689">
        <w:rPr>
          <w:rFonts w:ascii="Garamond" w:hAnsi="Garamond"/>
          <w:sz w:val="24"/>
          <w:szCs w:val="24"/>
          <w:lang w:val="en-US"/>
        </w:rPr>
        <w:t xml:space="preserve"> </w:t>
      </w:r>
      <w:r w:rsidR="00687F9A" w:rsidRPr="00A53689">
        <w:rPr>
          <w:rFonts w:ascii="Garamond" w:hAnsi="Garamond"/>
          <w:sz w:val="24"/>
          <w:szCs w:val="24"/>
          <w:lang w:val="en-US"/>
        </w:rPr>
        <w:t xml:space="preserve"> </w:t>
      </w:r>
      <w:r w:rsidR="00687F9A" w:rsidRPr="00A53689">
        <w:rPr>
          <w:rFonts w:ascii="Garamond" w:hAnsi="Garamond"/>
          <w:sz w:val="24"/>
          <w:szCs w:val="24"/>
        </w:rPr>
        <w:t xml:space="preserve">The Federal Reserve Bank of Chicago believes that economic and financial literacy serve critical roles in helping consumers make better decisions with their money. The Federal Reserve Bank of Chicago has prepared </w:t>
      </w:r>
      <w:r w:rsidR="00831180" w:rsidRPr="00A53689">
        <w:rPr>
          <w:rFonts w:ascii="Garamond" w:hAnsi="Garamond"/>
          <w:sz w:val="24"/>
          <w:szCs w:val="24"/>
        </w:rPr>
        <w:t>a resource for junior economics students</w:t>
      </w:r>
      <w:r w:rsidR="00687F9A" w:rsidRPr="00A53689">
        <w:rPr>
          <w:rFonts w:ascii="Garamond" w:hAnsi="Garamond"/>
          <w:sz w:val="24"/>
          <w:szCs w:val="24"/>
        </w:rPr>
        <w:t xml:space="preserve"> </w:t>
      </w:r>
      <w:r w:rsidR="00687F9A" w:rsidRPr="00A53689">
        <w:rPr>
          <w:rFonts w:ascii="Garamond" w:hAnsi="Garamond"/>
          <w:i/>
          <w:iCs/>
          <w:sz w:val="24"/>
          <w:szCs w:val="24"/>
        </w:rPr>
        <w:t>Econ Explorers</w:t>
      </w:r>
      <w:r w:rsidR="00831180" w:rsidRPr="00A53689">
        <w:rPr>
          <w:rFonts w:ascii="Garamond" w:hAnsi="Garamond"/>
          <w:sz w:val="24"/>
          <w:szCs w:val="24"/>
        </w:rPr>
        <w:t>. It includes a teachers</w:t>
      </w:r>
      <w:r w:rsidR="00DB1200" w:rsidRPr="00A53689">
        <w:rPr>
          <w:rFonts w:ascii="Garamond" w:hAnsi="Garamond"/>
          <w:sz w:val="24"/>
          <w:szCs w:val="24"/>
        </w:rPr>
        <w:t>’</w:t>
      </w:r>
      <w:r w:rsidR="00831180" w:rsidRPr="00A53689">
        <w:rPr>
          <w:rFonts w:ascii="Garamond" w:hAnsi="Garamond"/>
          <w:sz w:val="24"/>
          <w:szCs w:val="24"/>
        </w:rPr>
        <w:t xml:space="preserve"> guide and a student workbook that are freely </w:t>
      </w:r>
      <w:hyperlink r:id="rId18" w:history="1">
        <w:r w:rsidR="00831180" w:rsidRPr="00BE4C3D">
          <w:rPr>
            <w:rStyle w:val="Hyperlink"/>
            <w:rFonts w:ascii="Garamond" w:hAnsi="Garamond"/>
            <w:sz w:val="24"/>
            <w:szCs w:val="24"/>
          </w:rPr>
          <w:t>available</w:t>
        </w:r>
      </w:hyperlink>
      <w:r w:rsidR="00831180" w:rsidRPr="00A53689">
        <w:rPr>
          <w:rFonts w:ascii="Garamond" w:hAnsi="Garamond"/>
          <w:sz w:val="24"/>
          <w:szCs w:val="24"/>
        </w:rPr>
        <w:t>. </w:t>
      </w:r>
      <w:r w:rsidR="007708CB" w:rsidRPr="00A53689">
        <w:rPr>
          <w:rFonts w:ascii="Garamond" w:hAnsi="Garamond"/>
          <w:sz w:val="24"/>
          <w:szCs w:val="24"/>
          <w:lang w:val="en-US"/>
        </w:rPr>
        <w:t xml:space="preserve"> </w:t>
      </w:r>
    </w:p>
    <w:p w14:paraId="5D3B603E" w14:textId="0152648B" w:rsidR="00126D0A" w:rsidRPr="00A53689" w:rsidRDefault="00126D0A" w:rsidP="00F57FC9">
      <w:pPr>
        <w:spacing w:after="60" w:line="276" w:lineRule="auto"/>
        <w:rPr>
          <w:rFonts w:ascii="Garamond" w:hAnsi="Garamond"/>
          <w:sz w:val="24"/>
          <w:szCs w:val="24"/>
          <w:u w:val="single"/>
        </w:rPr>
      </w:pPr>
      <w:r w:rsidRPr="00A53689">
        <w:rPr>
          <w:rFonts w:ascii="Garamond" w:hAnsi="Garamond"/>
          <w:sz w:val="24"/>
          <w:szCs w:val="24"/>
          <w:u w:val="single"/>
        </w:rPr>
        <w:t>The Money Charity, London, England</w:t>
      </w:r>
    </w:p>
    <w:p w14:paraId="49E7FFCB" w14:textId="77777777" w:rsidR="0017122D" w:rsidRPr="00A53689" w:rsidRDefault="003D13EA" w:rsidP="00F57FC9">
      <w:pPr>
        <w:spacing w:after="200" w:line="276" w:lineRule="auto"/>
        <w:rPr>
          <w:rFonts w:ascii="Garamond" w:hAnsi="Garamond"/>
          <w:sz w:val="24"/>
          <w:szCs w:val="24"/>
        </w:rPr>
      </w:pPr>
      <w:r w:rsidRPr="00A53689">
        <w:rPr>
          <w:rFonts w:ascii="Garamond" w:hAnsi="Garamond"/>
          <w:sz w:val="24"/>
          <w:szCs w:val="24"/>
        </w:rPr>
        <w:t>The Money Charity is based in Clapham in London – but deliver</w:t>
      </w:r>
      <w:r w:rsidR="00DB1200" w:rsidRPr="00A53689">
        <w:rPr>
          <w:rFonts w:ascii="Garamond" w:hAnsi="Garamond"/>
          <w:sz w:val="24"/>
          <w:szCs w:val="24"/>
        </w:rPr>
        <w:t>s</w:t>
      </w:r>
      <w:r w:rsidRPr="00A53689">
        <w:rPr>
          <w:rFonts w:ascii="Garamond" w:hAnsi="Garamond"/>
          <w:sz w:val="24"/>
          <w:szCs w:val="24"/>
        </w:rPr>
        <w:t xml:space="preserve"> </w:t>
      </w:r>
      <w:r w:rsidR="00DB1200" w:rsidRPr="00A53689">
        <w:rPr>
          <w:rFonts w:ascii="Garamond" w:hAnsi="Garamond"/>
          <w:sz w:val="24"/>
          <w:szCs w:val="24"/>
        </w:rPr>
        <w:t xml:space="preserve">its </w:t>
      </w:r>
      <w:r w:rsidRPr="00A53689">
        <w:rPr>
          <w:rFonts w:ascii="Garamond" w:hAnsi="Garamond"/>
          <w:sz w:val="24"/>
          <w:szCs w:val="24"/>
        </w:rPr>
        <w:t xml:space="preserve">program throughout the entire United Kingdom. </w:t>
      </w:r>
      <w:r w:rsidR="0017122D" w:rsidRPr="00A53689">
        <w:rPr>
          <w:rFonts w:ascii="Garamond" w:hAnsi="Garamond"/>
          <w:sz w:val="24"/>
          <w:szCs w:val="24"/>
        </w:rPr>
        <w:t xml:space="preserve">The Money Charity works with young people, adults, </w:t>
      </w:r>
      <w:proofErr w:type="gramStart"/>
      <w:r w:rsidR="0017122D" w:rsidRPr="00A53689">
        <w:rPr>
          <w:rFonts w:ascii="Garamond" w:hAnsi="Garamond"/>
          <w:sz w:val="24"/>
          <w:szCs w:val="24"/>
        </w:rPr>
        <w:t>industry</w:t>
      </w:r>
      <w:proofErr w:type="gramEnd"/>
      <w:r w:rsidR="0017122D" w:rsidRPr="00A53689">
        <w:rPr>
          <w:rFonts w:ascii="Garamond" w:hAnsi="Garamond"/>
          <w:sz w:val="24"/>
          <w:szCs w:val="24"/>
        </w:rPr>
        <w:t xml:space="preserve"> groups and in consultation responses to government policy and research. The Money Charity sees financial capability as critical to </w:t>
      </w:r>
      <w:r w:rsidR="003F74DA" w:rsidRPr="00A53689">
        <w:rPr>
          <w:rFonts w:ascii="Garamond" w:hAnsi="Garamond"/>
          <w:sz w:val="24"/>
          <w:szCs w:val="24"/>
        </w:rPr>
        <w:t xml:space="preserve">decreasing </w:t>
      </w:r>
      <w:r w:rsidR="0017122D" w:rsidRPr="00A53689">
        <w:rPr>
          <w:rFonts w:ascii="Garamond" w:hAnsi="Garamond"/>
          <w:sz w:val="24"/>
          <w:szCs w:val="24"/>
        </w:rPr>
        <w:t xml:space="preserve">the levels of debt and bankruptcy in the United Kingdom. As a country, the United Kingdom holds personal debts of over </w:t>
      </w:r>
      <w:r w:rsidR="0017122D" w:rsidRPr="00A53689">
        <w:rPr>
          <w:rFonts w:ascii="Garamond" w:hAnsi="Garamond"/>
          <w:i/>
          <w:iCs/>
          <w:sz w:val="24"/>
          <w:szCs w:val="24"/>
        </w:rPr>
        <w:t>£1.4 trillion</w:t>
      </w:r>
      <w:r w:rsidR="0017122D" w:rsidRPr="00A53689">
        <w:rPr>
          <w:rFonts w:ascii="Garamond" w:hAnsi="Garamond"/>
          <w:sz w:val="24"/>
          <w:szCs w:val="24"/>
        </w:rPr>
        <w:t>, pay</w:t>
      </w:r>
      <w:r w:rsidR="003F74DA" w:rsidRPr="00A53689">
        <w:rPr>
          <w:rFonts w:ascii="Garamond" w:hAnsi="Garamond"/>
          <w:sz w:val="24"/>
          <w:szCs w:val="24"/>
        </w:rPr>
        <w:t>s</w:t>
      </w:r>
      <w:r w:rsidR="0017122D" w:rsidRPr="00A53689">
        <w:rPr>
          <w:rFonts w:ascii="Garamond" w:hAnsi="Garamond"/>
          <w:sz w:val="24"/>
          <w:szCs w:val="24"/>
        </w:rPr>
        <w:t xml:space="preserve"> </w:t>
      </w:r>
      <w:r w:rsidR="0017122D" w:rsidRPr="00A53689">
        <w:rPr>
          <w:rFonts w:ascii="Garamond" w:hAnsi="Garamond"/>
          <w:i/>
          <w:iCs/>
          <w:sz w:val="24"/>
          <w:szCs w:val="24"/>
        </w:rPr>
        <w:t>£164 million</w:t>
      </w:r>
      <w:r w:rsidR="0017122D" w:rsidRPr="00A53689">
        <w:rPr>
          <w:rFonts w:ascii="Garamond" w:hAnsi="Garamond"/>
          <w:sz w:val="24"/>
          <w:szCs w:val="24"/>
        </w:rPr>
        <w:t xml:space="preserve"> in interest every day, spend</w:t>
      </w:r>
      <w:r w:rsidR="003F74DA" w:rsidRPr="00A53689">
        <w:rPr>
          <w:rFonts w:ascii="Garamond" w:hAnsi="Garamond"/>
          <w:sz w:val="24"/>
          <w:szCs w:val="24"/>
        </w:rPr>
        <w:t>s</w:t>
      </w:r>
      <w:r w:rsidR="0017122D" w:rsidRPr="00A53689">
        <w:rPr>
          <w:rFonts w:ascii="Garamond" w:hAnsi="Garamond"/>
          <w:sz w:val="24"/>
          <w:szCs w:val="24"/>
        </w:rPr>
        <w:t xml:space="preserve"> </w:t>
      </w:r>
      <w:r w:rsidR="0017122D" w:rsidRPr="00A53689">
        <w:rPr>
          <w:rFonts w:ascii="Garamond" w:hAnsi="Garamond"/>
          <w:i/>
          <w:iCs/>
          <w:sz w:val="24"/>
          <w:szCs w:val="24"/>
        </w:rPr>
        <w:t>£1.4 billion</w:t>
      </w:r>
      <w:r w:rsidR="0017122D" w:rsidRPr="00A53689">
        <w:rPr>
          <w:rFonts w:ascii="Garamond" w:hAnsi="Garamond"/>
          <w:sz w:val="24"/>
          <w:szCs w:val="24"/>
        </w:rPr>
        <w:t xml:space="preserve"> a day on credit </w:t>
      </w:r>
      <w:r w:rsidR="003F74DA" w:rsidRPr="00A53689">
        <w:rPr>
          <w:rFonts w:ascii="Garamond" w:hAnsi="Garamond"/>
          <w:sz w:val="24"/>
          <w:szCs w:val="24"/>
        </w:rPr>
        <w:t xml:space="preserve">and </w:t>
      </w:r>
      <w:r w:rsidR="0017122D" w:rsidRPr="00A53689">
        <w:rPr>
          <w:rFonts w:ascii="Garamond" w:hAnsi="Garamond"/>
          <w:sz w:val="24"/>
          <w:szCs w:val="24"/>
        </w:rPr>
        <w:t xml:space="preserve">debit cards and as a result, every </w:t>
      </w:r>
      <w:r w:rsidR="0017122D" w:rsidRPr="00A53689">
        <w:rPr>
          <w:rFonts w:ascii="Garamond" w:hAnsi="Garamond"/>
          <w:i/>
          <w:iCs/>
          <w:sz w:val="24"/>
          <w:szCs w:val="24"/>
        </w:rPr>
        <w:t>5 minutes</w:t>
      </w:r>
      <w:r w:rsidR="0017122D" w:rsidRPr="00A53689">
        <w:rPr>
          <w:rFonts w:ascii="Garamond" w:hAnsi="Garamond"/>
          <w:sz w:val="24"/>
          <w:szCs w:val="24"/>
        </w:rPr>
        <w:t xml:space="preserve"> one </w:t>
      </w:r>
      <w:r w:rsidR="003F74DA" w:rsidRPr="00A53689">
        <w:rPr>
          <w:rFonts w:ascii="Garamond" w:hAnsi="Garamond"/>
          <w:sz w:val="24"/>
          <w:szCs w:val="24"/>
        </w:rPr>
        <w:t>citizen</w:t>
      </w:r>
      <w:r w:rsidR="0017122D" w:rsidRPr="00A53689">
        <w:rPr>
          <w:rFonts w:ascii="Garamond" w:hAnsi="Garamond"/>
          <w:sz w:val="24"/>
          <w:szCs w:val="24"/>
        </w:rPr>
        <w:t xml:space="preserve"> will be declared bankrupt and every 16 minutes a home will be repossessed.</w:t>
      </w:r>
    </w:p>
    <w:p w14:paraId="73D4678F" w14:textId="71E9F74F" w:rsidR="003D13EA" w:rsidRPr="00A53689" w:rsidRDefault="0017122D" w:rsidP="00F57FC9">
      <w:pPr>
        <w:spacing w:after="200" w:line="276" w:lineRule="auto"/>
        <w:rPr>
          <w:rFonts w:ascii="Garamond" w:hAnsi="Garamond"/>
          <w:sz w:val="24"/>
          <w:szCs w:val="24"/>
        </w:rPr>
      </w:pPr>
      <w:r w:rsidRPr="00A53689">
        <w:rPr>
          <w:rFonts w:ascii="Garamond" w:hAnsi="Garamond"/>
          <w:sz w:val="24"/>
          <w:szCs w:val="24"/>
        </w:rPr>
        <w:t>The Money Charity’s</w:t>
      </w:r>
      <w:r w:rsidR="003D13EA" w:rsidRPr="00A53689">
        <w:rPr>
          <w:rFonts w:ascii="Garamond" w:hAnsi="Garamond"/>
          <w:sz w:val="24"/>
          <w:szCs w:val="24"/>
        </w:rPr>
        <w:t xml:space="preserve"> current work </w:t>
      </w:r>
      <w:r w:rsidR="006118A8" w:rsidRPr="00A53689">
        <w:rPr>
          <w:rFonts w:ascii="Garamond" w:hAnsi="Garamond"/>
          <w:sz w:val="24"/>
          <w:szCs w:val="24"/>
        </w:rPr>
        <w:t xml:space="preserve">with young adults </w:t>
      </w:r>
      <w:r w:rsidR="003D13EA" w:rsidRPr="00A53689">
        <w:rPr>
          <w:rFonts w:ascii="Garamond" w:hAnsi="Garamond"/>
          <w:sz w:val="24"/>
          <w:szCs w:val="24"/>
        </w:rPr>
        <w:t xml:space="preserve">includes the direct delivery of free money workshops delivered in schools and colleges and the distribution of the </w:t>
      </w:r>
      <w:r w:rsidR="007A62AE" w:rsidRPr="00A53689">
        <w:rPr>
          <w:rFonts w:ascii="Garamond" w:hAnsi="Garamond"/>
          <w:i/>
          <w:sz w:val="24"/>
          <w:szCs w:val="24"/>
        </w:rPr>
        <w:t xml:space="preserve">Student </w:t>
      </w:r>
      <w:proofErr w:type="spellStart"/>
      <w:r w:rsidR="007A62AE" w:rsidRPr="00A53689">
        <w:rPr>
          <w:rFonts w:ascii="Garamond" w:hAnsi="Garamond"/>
          <w:i/>
          <w:sz w:val="24"/>
          <w:szCs w:val="24"/>
        </w:rPr>
        <w:t>Moneymanual</w:t>
      </w:r>
      <w:proofErr w:type="spellEnd"/>
      <w:r w:rsidR="00603F51" w:rsidRPr="00A53689">
        <w:rPr>
          <w:rFonts w:ascii="Garamond" w:hAnsi="Garamond"/>
          <w:sz w:val="24"/>
          <w:szCs w:val="24"/>
        </w:rPr>
        <w:t>. Money workshops have an audience size of between 80</w:t>
      </w:r>
      <w:r w:rsidR="003F74DA" w:rsidRPr="00A53689">
        <w:rPr>
          <w:rFonts w:ascii="Garamond" w:hAnsi="Garamond"/>
          <w:sz w:val="24"/>
          <w:szCs w:val="24"/>
        </w:rPr>
        <w:t>,</w:t>
      </w:r>
      <w:r w:rsidR="00603F51" w:rsidRPr="00A53689">
        <w:rPr>
          <w:rFonts w:ascii="Garamond" w:hAnsi="Garamond"/>
          <w:sz w:val="24"/>
          <w:szCs w:val="24"/>
        </w:rPr>
        <w:t>000 and</w:t>
      </w:r>
      <w:r w:rsidR="00A744E6" w:rsidRPr="00A53689">
        <w:rPr>
          <w:rFonts w:ascii="Garamond" w:hAnsi="Garamond"/>
          <w:sz w:val="24"/>
          <w:szCs w:val="24"/>
        </w:rPr>
        <w:t xml:space="preserve"> 100</w:t>
      </w:r>
      <w:r w:rsidR="003F74DA" w:rsidRPr="00A53689">
        <w:rPr>
          <w:rFonts w:ascii="Garamond" w:hAnsi="Garamond"/>
          <w:sz w:val="24"/>
          <w:szCs w:val="24"/>
        </w:rPr>
        <w:t>,</w:t>
      </w:r>
      <w:r w:rsidR="00A744E6" w:rsidRPr="00A53689">
        <w:rPr>
          <w:rFonts w:ascii="Garamond" w:hAnsi="Garamond"/>
          <w:sz w:val="24"/>
          <w:szCs w:val="24"/>
        </w:rPr>
        <w:t>000 students per year. The</w:t>
      </w:r>
      <w:r w:rsidR="00603F51" w:rsidRPr="00A53689">
        <w:rPr>
          <w:rFonts w:ascii="Garamond" w:hAnsi="Garamond"/>
          <w:sz w:val="24"/>
          <w:szCs w:val="24"/>
        </w:rPr>
        <w:t xml:space="preserve"> </w:t>
      </w:r>
      <w:proofErr w:type="spellStart"/>
      <w:r w:rsidR="00603F51" w:rsidRPr="00A53689">
        <w:rPr>
          <w:rFonts w:ascii="Garamond" w:hAnsi="Garamond"/>
          <w:sz w:val="24"/>
          <w:szCs w:val="24"/>
        </w:rPr>
        <w:t>Moneymanual</w:t>
      </w:r>
      <w:proofErr w:type="spellEnd"/>
      <w:r w:rsidR="003D13EA" w:rsidRPr="00A53689">
        <w:rPr>
          <w:rFonts w:ascii="Garamond" w:hAnsi="Garamond"/>
          <w:sz w:val="24"/>
          <w:szCs w:val="24"/>
        </w:rPr>
        <w:t xml:space="preserve"> has reached over 400,000 young people and over the last few years.</w:t>
      </w:r>
      <w:r w:rsidR="003270E2" w:rsidRPr="00A53689">
        <w:rPr>
          <w:rFonts w:ascii="Garamond" w:hAnsi="Garamond"/>
          <w:sz w:val="24"/>
          <w:szCs w:val="24"/>
        </w:rPr>
        <w:t xml:space="preserve"> Their </w:t>
      </w:r>
      <w:r w:rsidR="00A744E6" w:rsidRPr="00A53689">
        <w:rPr>
          <w:rFonts w:ascii="Garamond" w:hAnsi="Garamond"/>
          <w:sz w:val="24"/>
          <w:szCs w:val="24"/>
        </w:rPr>
        <w:t>program</w:t>
      </w:r>
      <w:r w:rsidR="003270E2" w:rsidRPr="00A53689">
        <w:rPr>
          <w:rFonts w:ascii="Garamond" w:hAnsi="Garamond"/>
          <w:sz w:val="24"/>
          <w:szCs w:val="24"/>
        </w:rPr>
        <w:t>s have been designed to complement financial education as part of the national curriculum being implemented in the United Kingdom in September 2014.</w:t>
      </w:r>
    </w:p>
    <w:p w14:paraId="2E4DF831" w14:textId="3C88AB54" w:rsidR="00254D88" w:rsidRPr="00A53689" w:rsidRDefault="00254D88" w:rsidP="00F57FC9">
      <w:pPr>
        <w:spacing w:after="200" w:line="276" w:lineRule="auto"/>
        <w:rPr>
          <w:rFonts w:ascii="Garamond" w:hAnsi="Garamond"/>
          <w:sz w:val="24"/>
          <w:szCs w:val="24"/>
        </w:rPr>
      </w:pPr>
      <w:r w:rsidRPr="00A53689">
        <w:rPr>
          <w:rFonts w:ascii="Garamond" w:hAnsi="Garamond"/>
          <w:sz w:val="24"/>
          <w:szCs w:val="24"/>
        </w:rPr>
        <w:lastRenderedPageBreak/>
        <w:t>Teacher resources include free online tools such as a ‘</w:t>
      </w:r>
      <w:proofErr w:type="spellStart"/>
      <w:r w:rsidRPr="00A53689">
        <w:rPr>
          <w:rFonts w:ascii="Garamond" w:hAnsi="Garamond"/>
          <w:sz w:val="24"/>
          <w:szCs w:val="24"/>
        </w:rPr>
        <w:t>spendometer</w:t>
      </w:r>
      <w:proofErr w:type="spellEnd"/>
      <w:r w:rsidRPr="00A53689">
        <w:rPr>
          <w:rFonts w:ascii="Garamond" w:hAnsi="Garamond"/>
          <w:sz w:val="24"/>
          <w:szCs w:val="24"/>
        </w:rPr>
        <w:t xml:space="preserve">’ and ‘online budget builder, downloadable student magazines and free video clips on debt and budgeting, see </w:t>
      </w:r>
      <w:hyperlink r:id="rId19" w:history="1">
        <w:r w:rsidR="00BE4C3D">
          <w:rPr>
            <w:rStyle w:val="Hyperlink"/>
            <w:rFonts w:ascii="Garamond" w:hAnsi="Garamond"/>
            <w:sz w:val="24"/>
            <w:szCs w:val="24"/>
          </w:rPr>
          <w:t>The Money Charity</w:t>
        </w:r>
      </w:hyperlink>
      <w:r w:rsidRPr="00A53689">
        <w:rPr>
          <w:rFonts w:ascii="Garamond" w:hAnsi="Garamond"/>
          <w:sz w:val="24"/>
          <w:szCs w:val="24"/>
        </w:rPr>
        <w:t xml:space="preserve">. </w:t>
      </w:r>
    </w:p>
    <w:p w14:paraId="2C771F00" w14:textId="77777777" w:rsidR="00126D0A" w:rsidRPr="00BE4C3D" w:rsidRDefault="00B86B6C" w:rsidP="00F57FC9">
      <w:pPr>
        <w:spacing w:line="276" w:lineRule="auto"/>
        <w:rPr>
          <w:rFonts w:ascii="Garamond" w:hAnsi="Garamond"/>
          <w:b/>
          <w:sz w:val="28"/>
          <w:szCs w:val="24"/>
          <w:lang w:val="en-US"/>
        </w:rPr>
      </w:pPr>
      <w:r w:rsidRPr="00BE4C3D">
        <w:rPr>
          <w:rFonts w:ascii="Garamond" w:hAnsi="Garamond"/>
          <w:b/>
          <w:sz w:val="28"/>
          <w:szCs w:val="24"/>
          <w:lang w:val="en-US"/>
        </w:rPr>
        <w:t>Financial literacy programs that advantage youth who are at a disadvantage because of family economic and educational background</w:t>
      </w:r>
    </w:p>
    <w:p w14:paraId="70ED1F29" w14:textId="77777777" w:rsidR="00C94149" w:rsidRPr="00A53689" w:rsidRDefault="00126D0A" w:rsidP="00F57FC9">
      <w:pPr>
        <w:spacing w:after="60" w:line="276" w:lineRule="auto"/>
        <w:rPr>
          <w:rFonts w:ascii="Garamond" w:hAnsi="Garamond"/>
          <w:sz w:val="24"/>
          <w:szCs w:val="24"/>
          <w:u w:val="single"/>
        </w:rPr>
      </w:pPr>
      <w:proofErr w:type="spellStart"/>
      <w:r w:rsidRPr="00A53689">
        <w:rPr>
          <w:rFonts w:ascii="Garamond" w:hAnsi="Garamond"/>
          <w:sz w:val="24"/>
          <w:szCs w:val="24"/>
          <w:u w:val="single"/>
        </w:rPr>
        <w:t>MoneyThink</w:t>
      </w:r>
      <w:proofErr w:type="spellEnd"/>
      <w:r w:rsidRPr="00A53689">
        <w:rPr>
          <w:rFonts w:ascii="Garamond" w:hAnsi="Garamond"/>
          <w:sz w:val="24"/>
          <w:szCs w:val="24"/>
          <w:u w:val="single"/>
        </w:rPr>
        <w:t>, Chicago</w:t>
      </w:r>
      <w:r w:rsidR="00C94149" w:rsidRPr="00A53689">
        <w:rPr>
          <w:rFonts w:ascii="Garamond" w:hAnsi="Garamond"/>
          <w:sz w:val="24"/>
          <w:szCs w:val="24"/>
          <w:u w:val="single"/>
        </w:rPr>
        <w:t xml:space="preserve"> </w:t>
      </w:r>
    </w:p>
    <w:p w14:paraId="53D151C4" w14:textId="2BD20CD2" w:rsidR="00AE057D" w:rsidRPr="00A53689" w:rsidRDefault="00F57FC9" w:rsidP="00F57FC9">
      <w:pPr>
        <w:spacing w:after="200" w:line="276" w:lineRule="auto"/>
        <w:rPr>
          <w:rFonts w:ascii="Garamond" w:hAnsi="Garamond"/>
          <w:sz w:val="24"/>
          <w:szCs w:val="24"/>
        </w:rPr>
      </w:pPr>
      <w:hyperlink r:id="rId20" w:history="1">
        <w:proofErr w:type="spellStart"/>
        <w:r w:rsidR="007A62AE" w:rsidRPr="003F05C2">
          <w:rPr>
            <w:rStyle w:val="Hyperlink"/>
            <w:rFonts w:ascii="Garamond" w:hAnsi="Garamond"/>
            <w:i/>
            <w:sz w:val="24"/>
            <w:szCs w:val="24"/>
          </w:rPr>
          <w:t>MoneyThink</w:t>
        </w:r>
        <w:proofErr w:type="spellEnd"/>
      </w:hyperlink>
      <w:r w:rsidR="00C81A69" w:rsidRPr="00A53689">
        <w:rPr>
          <w:rFonts w:ascii="Garamond" w:hAnsi="Garamond"/>
          <w:sz w:val="24"/>
          <w:szCs w:val="24"/>
        </w:rPr>
        <w:t xml:space="preserve"> is a grassroots</w:t>
      </w:r>
      <w:r w:rsidR="00B761B9" w:rsidRPr="00A53689">
        <w:rPr>
          <w:rFonts w:ascii="Garamond" w:hAnsi="Garamond"/>
          <w:sz w:val="24"/>
          <w:szCs w:val="24"/>
        </w:rPr>
        <w:t xml:space="preserve"> movement of young people working to restore the economic health of the United States through financial education</w:t>
      </w:r>
      <w:r w:rsidR="00C81A69" w:rsidRPr="00A53689">
        <w:rPr>
          <w:rFonts w:ascii="Garamond" w:hAnsi="Garamond"/>
          <w:sz w:val="24"/>
          <w:szCs w:val="24"/>
        </w:rPr>
        <w:t>. College vo</w:t>
      </w:r>
      <w:r w:rsidR="00A744E6" w:rsidRPr="00A53689">
        <w:rPr>
          <w:rFonts w:ascii="Garamond" w:hAnsi="Garamond"/>
          <w:sz w:val="24"/>
          <w:szCs w:val="24"/>
        </w:rPr>
        <w:t>l</w:t>
      </w:r>
      <w:r w:rsidR="00C81A69" w:rsidRPr="00A53689">
        <w:rPr>
          <w:rFonts w:ascii="Garamond" w:hAnsi="Garamond"/>
          <w:sz w:val="24"/>
          <w:szCs w:val="24"/>
        </w:rPr>
        <w:t>unteers mentor high school students in the areas of financial literacy, entrepreneurship and the skills of being an effective member of society.</w:t>
      </w:r>
      <w:r w:rsidR="007E3F30" w:rsidRPr="00A53689">
        <w:rPr>
          <w:rFonts w:ascii="Garamond" w:hAnsi="Garamond"/>
          <w:sz w:val="24"/>
          <w:szCs w:val="24"/>
        </w:rPr>
        <w:t xml:space="preserve"> </w:t>
      </w:r>
      <w:proofErr w:type="spellStart"/>
      <w:r w:rsidR="007A62AE" w:rsidRPr="00A53689">
        <w:rPr>
          <w:rFonts w:ascii="Garamond" w:hAnsi="Garamond"/>
          <w:i/>
          <w:sz w:val="24"/>
          <w:szCs w:val="24"/>
        </w:rPr>
        <w:t>MoneyThink</w:t>
      </w:r>
      <w:proofErr w:type="spellEnd"/>
      <w:r w:rsidR="00AE057D" w:rsidRPr="00A53689">
        <w:rPr>
          <w:rFonts w:ascii="Garamond" w:hAnsi="Garamond"/>
          <w:sz w:val="24"/>
          <w:szCs w:val="24"/>
        </w:rPr>
        <w:t xml:space="preserve"> founder, Ted </w:t>
      </w:r>
      <w:proofErr w:type="spellStart"/>
      <w:r w:rsidR="00AE057D" w:rsidRPr="00A53689">
        <w:rPr>
          <w:rFonts w:ascii="Garamond" w:hAnsi="Garamond"/>
          <w:sz w:val="24"/>
          <w:szCs w:val="24"/>
        </w:rPr>
        <w:t>Gonder</w:t>
      </w:r>
      <w:proofErr w:type="spellEnd"/>
      <w:r w:rsidR="00AE057D" w:rsidRPr="00A53689">
        <w:rPr>
          <w:rFonts w:ascii="Garamond" w:hAnsi="Garamond"/>
          <w:sz w:val="24"/>
          <w:szCs w:val="24"/>
        </w:rPr>
        <w:t xml:space="preserve"> outlined that many Americans don't know how to manage money. More than half of U.</w:t>
      </w:r>
      <w:r w:rsidR="00A744E6" w:rsidRPr="00A53689">
        <w:rPr>
          <w:rFonts w:ascii="Garamond" w:hAnsi="Garamond"/>
          <w:sz w:val="24"/>
          <w:szCs w:val="24"/>
        </w:rPr>
        <w:t>S. adults do no</w:t>
      </w:r>
      <w:r w:rsidR="00AE057D" w:rsidRPr="00A53689">
        <w:rPr>
          <w:rFonts w:ascii="Garamond" w:hAnsi="Garamond"/>
          <w:sz w:val="24"/>
          <w:szCs w:val="24"/>
        </w:rPr>
        <w:t>t have a budget and one-third do</w:t>
      </w:r>
      <w:r w:rsidR="00A744E6" w:rsidRPr="00A53689">
        <w:rPr>
          <w:rFonts w:ascii="Garamond" w:hAnsi="Garamond"/>
          <w:sz w:val="24"/>
          <w:szCs w:val="24"/>
        </w:rPr>
        <w:t xml:space="preserve"> no</w:t>
      </w:r>
      <w:r w:rsidR="00AE057D" w:rsidRPr="00A53689">
        <w:rPr>
          <w:rFonts w:ascii="Garamond" w:hAnsi="Garamond"/>
          <w:sz w:val="24"/>
          <w:szCs w:val="24"/>
        </w:rPr>
        <w:t>t pay their bills on time. Another third carry credit card debt over from one month to the next.</w:t>
      </w:r>
      <w:r w:rsidR="00014081" w:rsidRPr="00A53689">
        <w:rPr>
          <w:rFonts w:ascii="Garamond" w:hAnsi="Garamond"/>
          <w:sz w:val="24"/>
          <w:szCs w:val="24"/>
        </w:rPr>
        <w:t xml:space="preserve"> Another issue is the widening gap between the wealthy and poor. Rationale for the </w:t>
      </w:r>
      <w:proofErr w:type="spellStart"/>
      <w:r w:rsidR="007A62AE" w:rsidRPr="00A53689">
        <w:rPr>
          <w:rFonts w:ascii="Garamond" w:hAnsi="Garamond"/>
          <w:i/>
          <w:sz w:val="24"/>
          <w:szCs w:val="24"/>
        </w:rPr>
        <w:t>MoneyThink</w:t>
      </w:r>
      <w:proofErr w:type="spellEnd"/>
      <w:r w:rsidR="00014081" w:rsidRPr="00A53689">
        <w:rPr>
          <w:rFonts w:ascii="Garamond" w:hAnsi="Garamond"/>
          <w:sz w:val="24"/>
          <w:szCs w:val="24"/>
        </w:rPr>
        <w:t xml:space="preserve"> programme is outlined in detail </w:t>
      </w:r>
      <w:hyperlink r:id="rId21" w:history="1">
        <w:r w:rsidR="00BE4C3D" w:rsidRPr="00BE4C3D">
          <w:rPr>
            <w:rStyle w:val="Hyperlink"/>
            <w:rFonts w:ascii="Garamond" w:hAnsi="Garamond"/>
            <w:sz w:val="24"/>
            <w:szCs w:val="24"/>
          </w:rPr>
          <w:t>online</w:t>
        </w:r>
      </w:hyperlink>
      <w:r w:rsidR="00BE4C3D">
        <w:rPr>
          <w:rFonts w:ascii="Garamond" w:hAnsi="Garamond"/>
          <w:sz w:val="24"/>
          <w:szCs w:val="24"/>
        </w:rPr>
        <w:t>.</w:t>
      </w:r>
      <w:r w:rsidR="00014081" w:rsidRPr="00A53689">
        <w:rPr>
          <w:rFonts w:ascii="Garamond" w:hAnsi="Garamond"/>
          <w:sz w:val="24"/>
          <w:szCs w:val="24"/>
        </w:rPr>
        <w:t xml:space="preserve"> </w:t>
      </w:r>
    </w:p>
    <w:p w14:paraId="08CC59F6" w14:textId="77777777" w:rsidR="008327D1" w:rsidRPr="00A53689" w:rsidRDefault="00014081" w:rsidP="00F57FC9">
      <w:pPr>
        <w:spacing w:after="200" w:line="276" w:lineRule="auto"/>
        <w:rPr>
          <w:rFonts w:ascii="Garamond" w:hAnsi="Garamond"/>
          <w:sz w:val="24"/>
          <w:szCs w:val="24"/>
        </w:rPr>
      </w:pPr>
      <w:r w:rsidRPr="00A53689">
        <w:rPr>
          <w:rFonts w:ascii="Garamond" w:hAnsi="Garamond"/>
          <w:sz w:val="24"/>
          <w:szCs w:val="24"/>
        </w:rPr>
        <w:t>Every child will need t</w:t>
      </w:r>
      <w:r w:rsidR="009A46A4" w:rsidRPr="00A53689">
        <w:rPr>
          <w:rFonts w:ascii="Garamond" w:hAnsi="Garamond"/>
          <w:sz w:val="24"/>
          <w:szCs w:val="24"/>
        </w:rPr>
        <w:t xml:space="preserve">o deal with financial decisions. Managing money is essential to achieving personal and professional goals. Financial education in schools is of importance – but founders of </w:t>
      </w:r>
      <w:proofErr w:type="spellStart"/>
      <w:r w:rsidR="007A62AE" w:rsidRPr="00A53689">
        <w:rPr>
          <w:rFonts w:ascii="Garamond" w:hAnsi="Garamond"/>
          <w:i/>
          <w:sz w:val="24"/>
          <w:szCs w:val="24"/>
        </w:rPr>
        <w:t>MoneyThink</w:t>
      </w:r>
      <w:proofErr w:type="spellEnd"/>
      <w:r w:rsidR="009A46A4" w:rsidRPr="00A53689">
        <w:rPr>
          <w:rFonts w:ascii="Garamond" w:hAnsi="Garamond"/>
          <w:sz w:val="24"/>
          <w:szCs w:val="24"/>
        </w:rPr>
        <w:t xml:space="preserve"> argue that it is not enough. They believe that mentorship is the most effective method of improving a young adult’s financial capability. </w:t>
      </w:r>
      <w:r w:rsidR="007E3F30" w:rsidRPr="00A53689">
        <w:rPr>
          <w:rFonts w:ascii="Garamond" w:hAnsi="Garamond"/>
          <w:sz w:val="24"/>
          <w:szCs w:val="24"/>
        </w:rPr>
        <w:t xml:space="preserve">To date, </w:t>
      </w:r>
      <w:proofErr w:type="spellStart"/>
      <w:r w:rsidR="007A62AE" w:rsidRPr="00A53689">
        <w:rPr>
          <w:rFonts w:ascii="Garamond" w:hAnsi="Garamond"/>
          <w:i/>
          <w:sz w:val="24"/>
          <w:szCs w:val="24"/>
        </w:rPr>
        <w:t>MoneyThink</w:t>
      </w:r>
      <w:proofErr w:type="spellEnd"/>
      <w:r w:rsidR="007E3F30" w:rsidRPr="00A53689">
        <w:rPr>
          <w:rFonts w:ascii="Garamond" w:hAnsi="Garamond"/>
          <w:sz w:val="24"/>
          <w:szCs w:val="24"/>
        </w:rPr>
        <w:t xml:space="preserve"> have trained over </w:t>
      </w:r>
      <w:r w:rsidR="00565BD6" w:rsidRPr="00A53689">
        <w:rPr>
          <w:rFonts w:ascii="Garamond" w:hAnsi="Garamond"/>
          <w:sz w:val="24"/>
          <w:szCs w:val="24"/>
        </w:rPr>
        <w:t>900</w:t>
      </w:r>
      <w:r w:rsidR="007E3F30" w:rsidRPr="00A53689">
        <w:rPr>
          <w:rFonts w:ascii="Garamond" w:hAnsi="Garamond"/>
          <w:sz w:val="24"/>
          <w:szCs w:val="24"/>
        </w:rPr>
        <w:t xml:space="preserve"> volunteers who have mentored</w:t>
      </w:r>
      <w:r w:rsidR="00565BD6" w:rsidRPr="00A53689">
        <w:rPr>
          <w:rFonts w:ascii="Garamond" w:hAnsi="Garamond"/>
          <w:sz w:val="24"/>
          <w:szCs w:val="24"/>
        </w:rPr>
        <w:t xml:space="preserve"> over 7</w:t>
      </w:r>
      <w:r w:rsidR="006B30B8" w:rsidRPr="00A53689">
        <w:rPr>
          <w:rFonts w:ascii="Garamond" w:hAnsi="Garamond"/>
          <w:sz w:val="24"/>
          <w:szCs w:val="24"/>
        </w:rPr>
        <w:t>,</w:t>
      </w:r>
      <w:r w:rsidR="007E3F30" w:rsidRPr="00A53689">
        <w:rPr>
          <w:rFonts w:ascii="Garamond" w:hAnsi="Garamond"/>
          <w:sz w:val="24"/>
          <w:szCs w:val="24"/>
        </w:rPr>
        <w:t>000 students in need.</w:t>
      </w:r>
    </w:p>
    <w:p w14:paraId="02DDF65B" w14:textId="77777777" w:rsidR="007B6E5C" w:rsidRPr="00A53689" w:rsidRDefault="007A62AE" w:rsidP="00F57FC9">
      <w:pPr>
        <w:spacing w:line="276" w:lineRule="auto"/>
        <w:rPr>
          <w:rFonts w:ascii="Garamond" w:hAnsi="Garamond"/>
          <w:sz w:val="24"/>
          <w:szCs w:val="24"/>
        </w:rPr>
      </w:pPr>
      <w:proofErr w:type="spellStart"/>
      <w:r w:rsidRPr="00A53689">
        <w:rPr>
          <w:rFonts w:ascii="Garamond" w:hAnsi="Garamond"/>
          <w:i/>
          <w:sz w:val="24"/>
          <w:szCs w:val="24"/>
        </w:rPr>
        <w:t>MoneyThink</w:t>
      </w:r>
      <w:proofErr w:type="spellEnd"/>
      <w:r w:rsidR="007B6E5C" w:rsidRPr="00A53689">
        <w:rPr>
          <w:rFonts w:ascii="Garamond" w:hAnsi="Garamond"/>
          <w:sz w:val="24"/>
          <w:szCs w:val="24"/>
        </w:rPr>
        <w:t xml:space="preserve"> have measured the impact of their program through summative tests and surveys. They found improvements in financial knowledge and attitudes, including:</w:t>
      </w:r>
    </w:p>
    <w:p w14:paraId="1840A567" w14:textId="77777777" w:rsidR="007B6E5C" w:rsidRPr="00A53689" w:rsidRDefault="007B6E5C" w:rsidP="00F57FC9">
      <w:pPr>
        <w:numPr>
          <w:ilvl w:val="0"/>
          <w:numId w:val="3"/>
        </w:numPr>
        <w:spacing w:line="276" w:lineRule="auto"/>
        <w:ind w:left="568" w:hanging="284"/>
        <w:rPr>
          <w:rFonts w:ascii="Garamond" w:hAnsi="Garamond"/>
          <w:sz w:val="24"/>
          <w:szCs w:val="24"/>
        </w:rPr>
      </w:pPr>
      <w:r w:rsidRPr="00A53689">
        <w:rPr>
          <w:rFonts w:ascii="Garamond" w:hAnsi="Garamond"/>
          <w:sz w:val="24"/>
          <w:szCs w:val="24"/>
        </w:rPr>
        <w:t>65% of students more prepared for financial independence by the end of the program.</w:t>
      </w:r>
    </w:p>
    <w:p w14:paraId="03161792" w14:textId="77777777" w:rsidR="007B6E5C" w:rsidRPr="00A53689" w:rsidRDefault="007B6E5C" w:rsidP="00F57FC9">
      <w:pPr>
        <w:numPr>
          <w:ilvl w:val="0"/>
          <w:numId w:val="3"/>
        </w:numPr>
        <w:spacing w:line="276" w:lineRule="auto"/>
        <w:ind w:left="568" w:hanging="284"/>
        <w:rPr>
          <w:rFonts w:ascii="Garamond" w:hAnsi="Garamond"/>
          <w:sz w:val="24"/>
          <w:szCs w:val="24"/>
        </w:rPr>
      </w:pPr>
      <w:r w:rsidRPr="00A53689">
        <w:rPr>
          <w:rFonts w:ascii="Garamond" w:hAnsi="Garamond"/>
          <w:sz w:val="24"/>
          <w:szCs w:val="24"/>
        </w:rPr>
        <w:t>62% increase in students’ awareness of the dangers of credit card debt.</w:t>
      </w:r>
    </w:p>
    <w:p w14:paraId="0192FA89" w14:textId="77777777" w:rsidR="007B6E5C" w:rsidRPr="00A53689" w:rsidRDefault="007B6E5C" w:rsidP="00F57FC9">
      <w:pPr>
        <w:numPr>
          <w:ilvl w:val="0"/>
          <w:numId w:val="3"/>
        </w:numPr>
        <w:spacing w:line="276" w:lineRule="auto"/>
        <w:ind w:left="568" w:hanging="284"/>
        <w:rPr>
          <w:rFonts w:ascii="Garamond" w:hAnsi="Garamond"/>
          <w:sz w:val="24"/>
          <w:szCs w:val="24"/>
        </w:rPr>
      </w:pPr>
      <w:r w:rsidRPr="00A53689">
        <w:rPr>
          <w:rFonts w:ascii="Garamond" w:hAnsi="Garamond"/>
          <w:sz w:val="24"/>
          <w:szCs w:val="24"/>
        </w:rPr>
        <w:t>46% increase in student</w:t>
      </w:r>
      <w:r w:rsidR="00CC0E2F" w:rsidRPr="00A53689">
        <w:rPr>
          <w:rFonts w:ascii="Garamond" w:hAnsi="Garamond"/>
          <w:sz w:val="24"/>
          <w:szCs w:val="24"/>
        </w:rPr>
        <w:t>s’</w:t>
      </w:r>
      <w:r w:rsidRPr="00A53689">
        <w:rPr>
          <w:rFonts w:ascii="Garamond" w:hAnsi="Garamond"/>
          <w:sz w:val="24"/>
          <w:szCs w:val="24"/>
        </w:rPr>
        <w:t xml:space="preserve"> understanding of parents</w:t>
      </w:r>
      <w:r w:rsidR="00CC0E2F" w:rsidRPr="00A53689">
        <w:rPr>
          <w:rFonts w:ascii="Garamond" w:hAnsi="Garamond"/>
          <w:sz w:val="24"/>
          <w:szCs w:val="24"/>
        </w:rPr>
        <w:t>’</w:t>
      </w:r>
      <w:r w:rsidRPr="00A53689">
        <w:rPr>
          <w:rFonts w:ascii="Garamond" w:hAnsi="Garamond"/>
          <w:sz w:val="24"/>
          <w:szCs w:val="24"/>
        </w:rPr>
        <w:t xml:space="preserve"> financial practices.</w:t>
      </w:r>
    </w:p>
    <w:p w14:paraId="7EA1F99D" w14:textId="77777777" w:rsidR="007B6E5C" w:rsidRPr="00A53689" w:rsidRDefault="007B6E5C" w:rsidP="00F57FC9">
      <w:pPr>
        <w:numPr>
          <w:ilvl w:val="0"/>
          <w:numId w:val="3"/>
        </w:numPr>
        <w:spacing w:line="276" w:lineRule="auto"/>
        <w:ind w:left="568" w:hanging="284"/>
        <w:rPr>
          <w:rFonts w:ascii="Garamond" w:hAnsi="Garamond"/>
          <w:sz w:val="24"/>
          <w:szCs w:val="24"/>
        </w:rPr>
      </w:pPr>
      <w:r w:rsidRPr="00A53689">
        <w:rPr>
          <w:rFonts w:ascii="Garamond" w:hAnsi="Garamond"/>
          <w:sz w:val="24"/>
          <w:szCs w:val="24"/>
        </w:rPr>
        <w:t>31% increase in household discussions of money management.</w:t>
      </w:r>
    </w:p>
    <w:p w14:paraId="2B3B55D0" w14:textId="4A847B79" w:rsidR="007B6E5C" w:rsidRDefault="007B6E5C" w:rsidP="00F57FC9">
      <w:pPr>
        <w:numPr>
          <w:ilvl w:val="0"/>
          <w:numId w:val="3"/>
        </w:numPr>
        <w:spacing w:after="200" w:line="276" w:lineRule="auto"/>
        <w:ind w:left="568" w:hanging="284"/>
        <w:rPr>
          <w:rFonts w:ascii="Garamond" w:hAnsi="Garamond"/>
          <w:sz w:val="24"/>
          <w:szCs w:val="24"/>
        </w:rPr>
      </w:pPr>
      <w:r w:rsidRPr="00A53689">
        <w:rPr>
          <w:rFonts w:ascii="Garamond" w:hAnsi="Garamond"/>
          <w:sz w:val="24"/>
          <w:szCs w:val="24"/>
        </w:rPr>
        <w:t>30% increase in student</w:t>
      </w:r>
      <w:r w:rsidR="00CC0E2F" w:rsidRPr="00A53689">
        <w:rPr>
          <w:rFonts w:ascii="Garamond" w:hAnsi="Garamond"/>
          <w:sz w:val="24"/>
          <w:szCs w:val="24"/>
        </w:rPr>
        <w:t>s’</w:t>
      </w:r>
      <w:r w:rsidR="00864A8B" w:rsidRPr="00A53689">
        <w:rPr>
          <w:rFonts w:ascii="Garamond" w:hAnsi="Garamond"/>
          <w:sz w:val="24"/>
          <w:szCs w:val="24"/>
        </w:rPr>
        <w:t xml:space="preserve"> familiarity</w:t>
      </w:r>
      <w:r w:rsidRPr="00A53689">
        <w:rPr>
          <w:rFonts w:ascii="Garamond" w:hAnsi="Garamond"/>
          <w:sz w:val="24"/>
          <w:szCs w:val="24"/>
        </w:rPr>
        <w:t xml:space="preserve"> with financial aid process for college (FAFSA).</w:t>
      </w:r>
    </w:p>
    <w:p w14:paraId="25681B70" w14:textId="77777777" w:rsidR="003F05C2" w:rsidRPr="003F05C2" w:rsidRDefault="003F05C2" w:rsidP="00F57FC9">
      <w:pPr>
        <w:spacing w:after="200" w:line="276" w:lineRule="auto"/>
        <w:rPr>
          <w:rFonts w:ascii="Garamond" w:hAnsi="Garamond"/>
        </w:rPr>
      </w:pPr>
      <w:r w:rsidRPr="003F05C2">
        <w:rPr>
          <w:rFonts w:ascii="Garamond" w:hAnsi="Garamond"/>
          <w:sz w:val="24"/>
          <w:szCs w:val="24"/>
        </w:rPr>
        <w:t xml:space="preserve">Ongoing professional development is critical in producing the best teachers. There is a need for additional resourcing to allow teachers the time to participate in professional development and to be able to successfully disseminate that knowledge to their colleagues. </w:t>
      </w:r>
    </w:p>
    <w:p w14:paraId="5346B4E6" w14:textId="77777777" w:rsidR="00AC318F" w:rsidRPr="003F05C2" w:rsidRDefault="00126D0A" w:rsidP="00F57FC9">
      <w:pPr>
        <w:spacing w:line="276" w:lineRule="auto"/>
        <w:rPr>
          <w:rFonts w:ascii="Garamond" w:hAnsi="Garamond"/>
          <w:b/>
          <w:sz w:val="28"/>
          <w:szCs w:val="24"/>
          <w:lang w:val="en-US"/>
        </w:rPr>
      </w:pPr>
      <w:r w:rsidRPr="003F05C2">
        <w:rPr>
          <w:rFonts w:ascii="Garamond" w:hAnsi="Garamond"/>
          <w:b/>
          <w:sz w:val="28"/>
          <w:szCs w:val="24"/>
          <w:lang w:val="en-US"/>
        </w:rPr>
        <w:t>Curriculum</w:t>
      </w:r>
      <w:r w:rsidR="00A41DA7" w:rsidRPr="003F05C2">
        <w:rPr>
          <w:rFonts w:ascii="Garamond" w:hAnsi="Garamond"/>
          <w:b/>
          <w:sz w:val="28"/>
          <w:szCs w:val="24"/>
          <w:lang w:val="en-US"/>
        </w:rPr>
        <w:t xml:space="preserve"> – Best Practice</w:t>
      </w:r>
    </w:p>
    <w:p w14:paraId="5A96BAF0" w14:textId="77777777" w:rsidR="0070141E" w:rsidRPr="00A53689" w:rsidRDefault="0070141E" w:rsidP="00F57FC9">
      <w:pPr>
        <w:spacing w:after="60" w:line="276" w:lineRule="auto"/>
        <w:rPr>
          <w:rFonts w:ascii="Garamond" w:hAnsi="Garamond"/>
          <w:sz w:val="24"/>
          <w:szCs w:val="24"/>
          <w:u w:val="single"/>
          <w:lang w:val="en-US"/>
        </w:rPr>
      </w:pPr>
      <w:r w:rsidRPr="00A53689">
        <w:rPr>
          <w:rFonts w:ascii="Garamond" w:hAnsi="Garamond"/>
          <w:sz w:val="24"/>
          <w:szCs w:val="24"/>
          <w:u w:val="single"/>
          <w:lang w:val="en-US"/>
        </w:rPr>
        <w:t xml:space="preserve">School and University visits: </w:t>
      </w:r>
    </w:p>
    <w:p w14:paraId="638E6BCB" w14:textId="77777777" w:rsidR="008206D0" w:rsidRPr="00A53689" w:rsidRDefault="008206D0" w:rsidP="00F57FC9">
      <w:pPr>
        <w:pStyle w:val="ListParagraph"/>
        <w:numPr>
          <w:ilvl w:val="0"/>
          <w:numId w:val="6"/>
        </w:numPr>
        <w:spacing w:line="276" w:lineRule="auto"/>
        <w:ind w:left="568" w:hanging="284"/>
        <w:rPr>
          <w:rFonts w:ascii="Garamond" w:hAnsi="Garamond"/>
          <w:sz w:val="24"/>
          <w:szCs w:val="24"/>
          <w:lang w:val="en-US"/>
        </w:rPr>
      </w:pPr>
      <w:r w:rsidRPr="00A53689">
        <w:rPr>
          <w:rFonts w:ascii="Garamond" w:hAnsi="Garamond"/>
          <w:sz w:val="24"/>
          <w:szCs w:val="24"/>
          <w:lang w:val="en-US"/>
        </w:rPr>
        <w:t>Waverly College, Birmingham, England</w:t>
      </w:r>
    </w:p>
    <w:p w14:paraId="69CA2615" w14:textId="77777777" w:rsidR="006E11DD" w:rsidRPr="00A53689" w:rsidRDefault="006E11DD" w:rsidP="00F57FC9">
      <w:pPr>
        <w:pStyle w:val="ListParagraph"/>
        <w:numPr>
          <w:ilvl w:val="0"/>
          <w:numId w:val="6"/>
        </w:numPr>
        <w:spacing w:line="276" w:lineRule="auto"/>
        <w:ind w:left="568" w:hanging="284"/>
        <w:rPr>
          <w:rFonts w:ascii="Garamond" w:hAnsi="Garamond"/>
          <w:sz w:val="24"/>
          <w:szCs w:val="24"/>
          <w:lang w:val="en-US"/>
        </w:rPr>
      </w:pPr>
      <w:r w:rsidRPr="00A53689">
        <w:rPr>
          <w:rFonts w:ascii="Garamond" w:hAnsi="Garamond"/>
          <w:sz w:val="24"/>
          <w:szCs w:val="24"/>
          <w:lang w:val="en-US"/>
        </w:rPr>
        <w:t>Birmingham University</w:t>
      </w:r>
    </w:p>
    <w:p w14:paraId="0B23DD95" w14:textId="37C18577" w:rsidR="0070141E" w:rsidRPr="00A53689" w:rsidRDefault="0070141E" w:rsidP="00F57FC9">
      <w:pPr>
        <w:pStyle w:val="ListParagraph"/>
        <w:numPr>
          <w:ilvl w:val="0"/>
          <w:numId w:val="6"/>
        </w:numPr>
        <w:spacing w:after="200" w:line="276" w:lineRule="auto"/>
        <w:ind w:left="568" w:hanging="284"/>
        <w:rPr>
          <w:rFonts w:ascii="Garamond" w:hAnsi="Garamond"/>
          <w:sz w:val="24"/>
          <w:szCs w:val="24"/>
          <w:lang w:val="en-US"/>
        </w:rPr>
      </w:pPr>
      <w:proofErr w:type="spellStart"/>
      <w:r w:rsidRPr="00A53689">
        <w:rPr>
          <w:rFonts w:ascii="Garamond" w:hAnsi="Garamond"/>
          <w:sz w:val="24"/>
          <w:szCs w:val="24"/>
          <w:lang w:val="en-US"/>
        </w:rPr>
        <w:t>Sanquhar</w:t>
      </w:r>
      <w:proofErr w:type="spellEnd"/>
      <w:r w:rsidRPr="00A53689">
        <w:rPr>
          <w:rFonts w:ascii="Garamond" w:hAnsi="Garamond"/>
          <w:sz w:val="24"/>
          <w:szCs w:val="24"/>
          <w:lang w:val="en-US"/>
        </w:rPr>
        <w:t xml:space="preserve"> Academy, Dumfries, Scotland</w:t>
      </w:r>
    </w:p>
    <w:p w14:paraId="454D6696" w14:textId="77777777" w:rsidR="006B78CC" w:rsidRPr="00A53689" w:rsidRDefault="006B78CC" w:rsidP="00F57FC9">
      <w:pPr>
        <w:spacing w:after="200" w:line="276" w:lineRule="auto"/>
        <w:rPr>
          <w:rFonts w:ascii="Garamond" w:hAnsi="Garamond"/>
          <w:sz w:val="24"/>
          <w:szCs w:val="24"/>
          <w:lang w:val="en-US"/>
        </w:rPr>
      </w:pPr>
      <w:r w:rsidRPr="00A53689">
        <w:rPr>
          <w:rFonts w:ascii="Garamond" w:hAnsi="Garamond"/>
          <w:sz w:val="24"/>
          <w:szCs w:val="24"/>
          <w:lang w:val="en-US"/>
        </w:rPr>
        <w:t xml:space="preserve">Financial capability is scattered across the curriculum, taught in subject areas including </w:t>
      </w:r>
      <w:proofErr w:type="spellStart"/>
      <w:r w:rsidRPr="00A53689">
        <w:rPr>
          <w:rFonts w:ascii="Garamond" w:hAnsi="Garamond"/>
          <w:sz w:val="24"/>
          <w:szCs w:val="24"/>
          <w:lang w:val="en-US"/>
        </w:rPr>
        <w:t>Maths</w:t>
      </w:r>
      <w:proofErr w:type="spellEnd"/>
      <w:r w:rsidRPr="00A53689">
        <w:rPr>
          <w:rFonts w:ascii="Garamond" w:hAnsi="Garamond"/>
          <w:sz w:val="24"/>
          <w:szCs w:val="24"/>
          <w:lang w:val="en-US"/>
        </w:rPr>
        <w:t>, Social Sciences and Health and Wellbeing. Schools have also implemented general programs during Pastoral Care and Challenge Based Learning Days.</w:t>
      </w:r>
    </w:p>
    <w:p w14:paraId="5C4F3600" w14:textId="77777777" w:rsidR="008206D0" w:rsidRPr="00A53689" w:rsidRDefault="008206D0" w:rsidP="00F57FC9">
      <w:pPr>
        <w:spacing w:line="276" w:lineRule="auto"/>
        <w:rPr>
          <w:rFonts w:ascii="Garamond" w:hAnsi="Garamond"/>
          <w:i/>
          <w:sz w:val="24"/>
          <w:szCs w:val="24"/>
          <w:lang w:val="en-US"/>
        </w:rPr>
      </w:pPr>
      <w:r w:rsidRPr="00A53689">
        <w:rPr>
          <w:rFonts w:ascii="Garamond" w:hAnsi="Garamond"/>
          <w:i/>
          <w:sz w:val="24"/>
          <w:szCs w:val="24"/>
          <w:lang w:val="en-US"/>
        </w:rPr>
        <w:t>Skills for learning, life and work</w:t>
      </w:r>
    </w:p>
    <w:p w14:paraId="65D77DFB" w14:textId="77777777" w:rsidR="00290FA8" w:rsidRPr="00A53689" w:rsidRDefault="00290FA8" w:rsidP="00F57FC9">
      <w:pPr>
        <w:spacing w:line="276" w:lineRule="auto"/>
        <w:rPr>
          <w:rFonts w:ascii="Garamond" w:hAnsi="Garamond"/>
          <w:sz w:val="24"/>
          <w:szCs w:val="24"/>
          <w:lang w:val="en-US"/>
        </w:rPr>
      </w:pPr>
      <w:r w:rsidRPr="00A53689">
        <w:rPr>
          <w:rFonts w:ascii="Garamond" w:hAnsi="Garamond"/>
          <w:sz w:val="24"/>
          <w:szCs w:val="24"/>
          <w:lang w:val="en-US"/>
        </w:rPr>
        <w:t>An important part of financial capability is explicit teaching of skills so that students can navigate the financial landscape.</w:t>
      </w:r>
    </w:p>
    <w:p w14:paraId="1708FA2D" w14:textId="77777777" w:rsidR="004E6099" w:rsidRPr="003F05C2" w:rsidRDefault="006E11DD" w:rsidP="00F57FC9">
      <w:pPr>
        <w:pStyle w:val="ListParagraph"/>
        <w:numPr>
          <w:ilvl w:val="0"/>
          <w:numId w:val="9"/>
        </w:numPr>
        <w:spacing w:line="276" w:lineRule="auto"/>
        <w:ind w:left="568" w:hanging="284"/>
        <w:rPr>
          <w:rFonts w:ascii="Garamond" w:hAnsi="Garamond"/>
          <w:sz w:val="24"/>
          <w:szCs w:val="24"/>
          <w:u w:val="single"/>
          <w:lang w:val="en-US"/>
        </w:rPr>
      </w:pPr>
      <w:r w:rsidRPr="003F05C2">
        <w:rPr>
          <w:rFonts w:ascii="Garamond" w:hAnsi="Garamond"/>
          <w:sz w:val="24"/>
          <w:szCs w:val="24"/>
          <w:lang w:val="en-US"/>
        </w:rPr>
        <w:t>Homeroom based activities (40 min</w:t>
      </w:r>
      <w:r w:rsidR="00CD30C2" w:rsidRPr="003F05C2">
        <w:rPr>
          <w:rFonts w:ascii="Garamond" w:hAnsi="Garamond"/>
          <w:sz w:val="24"/>
          <w:szCs w:val="24"/>
          <w:lang w:val="en-US"/>
        </w:rPr>
        <w:t>ute</w:t>
      </w:r>
      <w:r w:rsidRPr="003F05C2">
        <w:rPr>
          <w:rFonts w:ascii="Garamond" w:hAnsi="Garamond"/>
          <w:sz w:val="24"/>
          <w:szCs w:val="24"/>
          <w:lang w:val="en-US"/>
        </w:rPr>
        <w:t>s per school day)</w:t>
      </w:r>
      <w:r w:rsidR="004E6099" w:rsidRPr="003F05C2">
        <w:rPr>
          <w:rFonts w:ascii="Garamond" w:hAnsi="Garamond"/>
          <w:sz w:val="24"/>
          <w:szCs w:val="24"/>
          <w:lang w:val="en-US"/>
        </w:rPr>
        <w:t>:</w:t>
      </w:r>
    </w:p>
    <w:p w14:paraId="4E724AB7" w14:textId="77777777" w:rsidR="006E11DD" w:rsidRPr="003F05C2" w:rsidRDefault="00290FA8" w:rsidP="00F57FC9">
      <w:pPr>
        <w:pStyle w:val="ListParagraph"/>
        <w:spacing w:line="276" w:lineRule="auto"/>
        <w:ind w:left="568"/>
        <w:rPr>
          <w:rFonts w:ascii="Garamond" w:hAnsi="Garamond"/>
          <w:sz w:val="24"/>
          <w:szCs w:val="24"/>
          <w:u w:val="single"/>
          <w:lang w:val="en-US"/>
        </w:rPr>
      </w:pPr>
      <w:r w:rsidRPr="003F05C2">
        <w:rPr>
          <w:rFonts w:ascii="Garamond" w:hAnsi="Garamond"/>
          <w:sz w:val="24"/>
          <w:szCs w:val="24"/>
          <w:lang w:val="en-US"/>
        </w:rPr>
        <w:t xml:space="preserve">Homeroom and </w:t>
      </w:r>
      <w:r w:rsidR="00F01736" w:rsidRPr="003F05C2">
        <w:rPr>
          <w:rFonts w:ascii="Garamond" w:hAnsi="Garamond"/>
          <w:sz w:val="24"/>
          <w:szCs w:val="24"/>
          <w:lang w:val="en-US"/>
        </w:rPr>
        <w:t>P</w:t>
      </w:r>
      <w:r w:rsidRPr="003F05C2">
        <w:rPr>
          <w:rFonts w:ascii="Garamond" w:hAnsi="Garamond"/>
          <w:sz w:val="24"/>
          <w:szCs w:val="24"/>
          <w:lang w:val="en-US"/>
        </w:rPr>
        <w:t xml:space="preserve">astoral </w:t>
      </w:r>
      <w:r w:rsidR="00F01736" w:rsidRPr="003F05C2">
        <w:rPr>
          <w:rFonts w:ascii="Garamond" w:hAnsi="Garamond"/>
          <w:sz w:val="24"/>
          <w:szCs w:val="24"/>
          <w:lang w:val="en-US"/>
        </w:rPr>
        <w:t>C</w:t>
      </w:r>
      <w:r w:rsidRPr="003F05C2">
        <w:rPr>
          <w:rFonts w:ascii="Garamond" w:hAnsi="Garamond"/>
          <w:sz w:val="24"/>
          <w:szCs w:val="24"/>
          <w:lang w:val="en-US"/>
        </w:rPr>
        <w:t>are provides time for completing group activities and challenges based on everyday financial problems.</w:t>
      </w:r>
      <w:r w:rsidR="00736EF1" w:rsidRPr="003F05C2">
        <w:rPr>
          <w:rFonts w:ascii="Garamond" w:hAnsi="Garamond"/>
          <w:sz w:val="24"/>
          <w:szCs w:val="24"/>
          <w:lang w:val="en-US"/>
        </w:rPr>
        <w:t xml:space="preserve"> </w:t>
      </w:r>
      <w:r w:rsidR="000B3917" w:rsidRPr="003F05C2">
        <w:rPr>
          <w:rFonts w:ascii="Garamond" w:hAnsi="Garamond"/>
          <w:sz w:val="24"/>
          <w:szCs w:val="24"/>
          <w:lang w:val="en-US"/>
        </w:rPr>
        <w:t>Small, group tasks in a supportive environment encourage</w:t>
      </w:r>
      <w:r w:rsidR="00736EF1" w:rsidRPr="003F05C2">
        <w:rPr>
          <w:rFonts w:ascii="Garamond" w:hAnsi="Garamond"/>
          <w:sz w:val="24"/>
          <w:szCs w:val="24"/>
          <w:lang w:val="en-US"/>
        </w:rPr>
        <w:t xml:space="preserve"> </w:t>
      </w:r>
      <w:r w:rsidR="00736EF1" w:rsidRPr="003F05C2">
        <w:rPr>
          <w:rFonts w:ascii="Garamond" w:hAnsi="Garamond"/>
          <w:sz w:val="24"/>
          <w:szCs w:val="24"/>
          <w:lang w:val="en-US"/>
        </w:rPr>
        <w:lastRenderedPageBreak/>
        <w:t>creative approaches to overcoming financial challenges.</w:t>
      </w:r>
      <w:r w:rsidR="00D03A78" w:rsidRPr="003F05C2">
        <w:rPr>
          <w:rFonts w:ascii="Garamond" w:hAnsi="Garamond"/>
          <w:sz w:val="24"/>
          <w:szCs w:val="24"/>
          <w:lang w:val="en-US"/>
        </w:rPr>
        <w:t xml:space="preserve"> Feedback from schools indicates that teachers are seeking professional development to improve their knowledge base.</w:t>
      </w:r>
    </w:p>
    <w:p w14:paraId="11A93B6E" w14:textId="77777777" w:rsidR="004E6099" w:rsidRPr="003F05C2" w:rsidRDefault="00736EF1" w:rsidP="00F57FC9">
      <w:pPr>
        <w:pStyle w:val="ListParagraph"/>
        <w:numPr>
          <w:ilvl w:val="0"/>
          <w:numId w:val="9"/>
        </w:numPr>
        <w:spacing w:line="276" w:lineRule="auto"/>
        <w:ind w:left="568" w:hanging="284"/>
        <w:rPr>
          <w:rFonts w:ascii="Garamond" w:hAnsi="Garamond"/>
          <w:sz w:val="24"/>
          <w:szCs w:val="24"/>
          <w:lang w:val="en-US"/>
        </w:rPr>
      </w:pPr>
      <w:r w:rsidRPr="003F05C2">
        <w:rPr>
          <w:rFonts w:ascii="Garamond" w:hAnsi="Garamond"/>
          <w:sz w:val="24"/>
          <w:szCs w:val="24"/>
          <w:lang w:val="en-US"/>
        </w:rPr>
        <w:t>Secondary s</w:t>
      </w:r>
      <w:r w:rsidR="006E11DD" w:rsidRPr="003F05C2">
        <w:rPr>
          <w:rFonts w:ascii="Garamond" w:hAnsi="Garamond"/>
          <w:sz w:val="24"/>
          <w:szCs w:val="24"/>
          <w:lang w:val="en-US"/>
        </w:rPr>
        <w:t xml:space="preserve">chool </w:t>
      </w:r>
      <w:r w:rsidRPr="003F05C2">
        <w:rPr>
          <w:rFonts w:ascii="Garamond" w:hAnsi="Garamond"/>
          <w:sz w:val="24"/>
          <w:szCs w:val="24"/>
          <w:lang w:val="en-US"/>
        </w:rPr>
        <w:t>initiated banking system</w:t>
      </w:r>
      <w:r w:rsidR="004E6099" w:rsidRPr="003F05C2">
        <w:rPr>
          <w:rFonts w:ascii="Garamond" w:hAnsi="Garamond"/>
          <w:sz w:val="24"/>
          <w:szCs w:val="24"/>
          <w:lang w:val="en-US"/>
        </w:rPr>
        <w:t>:</w:t>
      </w:r>
    </w:p>
    <w:p w14:paraId="2459A27C" w14:textId="77777777" w:rsidR="006E11DD" w:rsidRPr="003F05C2" w:rsidRDefault="00736EF1" w:rsidP="00F57FC9">
      <w:pPr>
        <w:pStyle w:val="ListParagraph"/>
        <w:spacing w:line="276" w:lineRule="auto"/>
        <w:ind w:left="568"/>
        <w:rPr>
          <w:rFonts w:ascii="Garamond" w:hAnsi="Garamond"/>
          <w:sz w:val="24"/>
          <w:szCs w:val="24"/>
          <w:lang w:val="en-US"/>
        </w:rPr>
      </w:pPr>
      <w:r w:rsidRPr="003F05C2">
        <w:rPr>
          <w:rFonts w:ascii="Garamond" w:hAnsi="Garamond"/>
          <w:sz w:val="24"/>
          <w:szCs w:val="24"/>
          <w:lang w:val="en-US"/>
        </w:rPr>
        <w:t>Students are able to deposit money at the school office that is collected and deposited into individual accounts at a local bank. This encourages saving.</w:t>
      </w:r>
      <w:r w:rsidR="00C92BC6" w:rsidRPr="003F05C2">
        <w:rPr>
          <w:rFonts w:ascii="Garamond" w:hAnsi="Garamond"/>
          <w:sz w:val="24"/>
          <w:szCs w:val="24"/>
          <w:lang w:val="en-US"/>
        </w:rPr>
        <w:t xml:space="preserve"> An example of this was seen at Waverly College in Birmingham. Teachers </w:t>
      </w:r>
      <w:proofErr w:type="spellStart"/>
      <w:r w:rsidR="00C92BC6" w:rsidRPr="003F05C2">
        <w:rPr>
          <w:rFonts w:ascii="Garamond" w:hAnsi="Garamond"/>
          <w:sz w:val="24"/>
          <w:szCs w:val="24"/>
          <w:lang w:val="en-US"/>
        </w:rPr>
        <w:t>recogni</w:t>
      </w:r>
      <w:r w:rsidR="00F246A9" w:rsidRPr="003F05C2">
        <w:rPr>
          <w:rFonts w:ascii="Garamond" w:hAnsi="Garamond"/>
          <w:sz w:val="24"/>
          <w:szCs w:val="24"/>
          <w:lang w:val="en-US"/>
        </w:rPr>
        <w:t>sed</w:t>
      </w:r>
      <w:proofErr w:type="spellEnd"/>
      <w:r w:rsidR="00F246A9" w:rsidRPr="003F05C2">
        <w:rPr>
          <w:rFonts w:ascii="Garamond" w:hAnsi="Garamond"/>
          <w:sz w:val="24"/>
          <w:szCs w:val="24"/>
          <w:lang w:val="en-US"/>
        </w:rPr>
        <w:t xml:space="preserve"> that many students</w:t>
      </w:r>
      <w:r w:rsidR="00C92BC6" w:rsidRPr="003F05C2">
        <w:rPr>
          <w:rFonts w:ascii="Garamond" w:hAnsi="Garamond"/>
          <w:sz w:val="24"/>
          <w:szCs w:val="24"/>
          <w:lang w:val="en-US"/>
        </w:rPr>
        <w:t xml:space="preserve"> </w:t>
      </w:r>
      <w:r w:rsidR="00F246A9" w:rsidRPr="003F05C2">
        <w:rPr>
          <w:rFonts w:ascii="Garamond" w:hAnsi="Garamond"/>
          <w:sz w:val="24"/>
          <w:szCs w:val="24"/>
          <w:lang w:val="en-US"/>
        </w:rPr>
        <w:t xml:space="preserve">at the College </w:t>
      </w:r>
      <w:r w:rsidR="00C92BC6" w:rsidRPr="003F05C2">
        <w:rPr>
          <w:rFonts w:ascii="Garamond" w:hAnsi="Garamond"/>
          <w:sz w:val="24"/>
          <w:szCs w:val="24"/>
          <w:lang w:val="en-US"/>
        </w:rPr>
        <w:t>found banks inaccessible due to lack of exposure</w:t>
      </w:r>
      <w:r w:rsidR="00D169D5" w:rsidRPr="003F05C2">
        <w:rPr>
          <w:rFonts w:ascii="Garamond" w:hAnsi="Garamond"/>
          <w:sz w:val="24"/>
          <w:szCs w:val="24"/>
          <w:lang w:val="en-US"/>
        </w:rPr>
        <w:t xml:space="preserve"> and </w:t>
      </w:r>
      <w:r w:rsidR="00F246A9" w:rsidRPr="003F05C2">
        <w:rPr>
          <w:rFonts w:ascii="Garamond" w:hAnsi="Garamond"/>
          <w:sz w:val="24"/>
          <w:szCs w:val="24"/>
          <w:lang w:val="en-US"/>
        </w:rPr>
        <w:t>parental guidance. To rectify this, the school initiated an agreement with a local bank with great success.</w:t>
      </w:r>
    </w:p>
    <w:p w14:paraId="1DBB3961" w14:textId="77777777" w:rsidR="004E6099" w:rsidRPr="003F05C2" w:rsidRDefault="006E11DD" w:rsidP="00F57FC9">
      <w:pPr>
        <w:pStyle w:val="ListParagraph"/>
        <w:numPr>
          <w:ilvl w:val="0"/>
          <w:numId w:val="9"/>
        </w:numPr>
        <w:spacing w:line="276" w:lineRule="auto"/>
        <w:ind w:left="568" w:hanging="284"/>
        <w:rPr>
          <w:rFonts w:ascii="Garamond" w:hAnsi="Garamond"/>
          <w:sz w:val="24"/>
          <w:szCs w:val="24"/>
          <w:u w:val="single"/>
          <w:lang w:val="en-US"/>
        </w:rPr>
      </w:pPr>
      <w:r w:rsidRPr="003F05C2">
        <w:rPr>
          <w:rFonts w:ascii="Garamond" w:hAnsi="Garamond"/>
          <w:sz w:val="24"/>
          <w:szCs w:val="24"/>
          <w:lang w:val="en-US"/>
        </w:rPr>
        <w:t>Elective subjects</w:t>
      </w:r>
      <w:r w:rsidR="004E6099" w:rsidRPr="003F05C2">
        <w:rPr>
          <w:rFonts w:ascii="Garamond" w:hAnsi="Garamond"/>
          <w:sz w:val="24"/>
          <w:szCs w:val="24"/>
          <w:lang w:val="en-US"/>
        </w:rPr>
        <w:t>:</w:t>
      </w:r>
    </w:p>
    <w:p w14:paraId="3294F8E9" w14:textId="77777777" w:rsidR="006E11DD" w:rsidRPr="003F05C2" w:rsidRDefault="000B3917" w:rsidP="00F57FC9">
      <w:pPr>
        <w:pStyle w:val="ListParagraph"/>
        <w:spacing w:after="200" w:line="276" w:lineRule="auto"/>
        <w:ind w:left="568"/>
        <w:rPr>
          <w:rFonts w:ascii="Garamond" w:hAnsi="Garamond"/>
          <w:sz w:val="24"/>
          <w:szCs w:val="24"/>
          <w:u w:val="single"/>
          <w:lang w:val="en-US"/>
        </w:rPr>
      </w:pPr>
      <w:r w:rsidRPr="003F05C2">
        <w:rPr>
          <w:rFonts w:ascii="Garamond" w:hAnsi="Garamond"/>
          <w:sz w:val="24"/>
          <w:szCs w:val="24"/>
          <w:lang w:val="en-US"/>
        </w:rPr>
        <w:t xml:space="preserve">Explicit </w:t>
      </w:r>
      <w:r w:rsidR="00282257" w:rsidRPr="003F05C2">
        <w:rPr>
          <w:rFonts w:ascii="Garamond" w:hAnsi="Garamond"/>
          <w:sz w:val="24"/>
          <w:szCs w:val="24"/>
          <w:lang w:val="en-US"/>
        </w:rPr>
        <w:t>teaching of financial capabilities</w:t>
      </w:r>
      <w:r w:rsidRPr="003F05C2">
        <w:rPr>
          <w:rFonts w:ascii="Garamond" w:hAnsi="Garamond"/>
          <w:sz w:val="24"/>
          <w:szCs w:val="24"/>
          <w:lang w:val="en-US"/>
        </w:rPr>
        <w:t xml:space="preserve"> through elective subjects such as Business Management and Accounting</w:t>
      </w:r>
      <w:r w:rsidR="00282257" w:rsidRPr="003F05C2">
        <w:rPr>
          <w:rFonts w:ascii="Garamond" w:hAnsi="Garamond"/>
          <w:sz w:val="24"/>
          <w:szCs w:val="24"/>
          <w:lang w:val="en-US"/>
        </w:rPr>
        <w:t xml:space="preserve"> is an important part of teaching and learning in preparation for learning, life and work. Being an elective subject</w:t>
      </w:r>
      <w:r w:rsidR="00803B19" w:rsidRPr="003F05C2">
        <w:rPr>
          <w:rFonts w:ascii="Garamond" w:hAnsi="Garamond"/>
          <w:sz w:val="24"/>
          <w:szCs w:val="24"/>
          <w:lang w:val="en-US"/>
        </w:rPr>
        <w:t>,</w:t>
      </w:r>
      <w:r w:rsidR="00282257" w:rsidRPr="003F05C2">
        <w:rPr>
          <w:rFonts w:ascii="Garamond" w:hAnsi="Garamond"/>
          <w:sz w:val="24"/>
          <w:szCs w:val="24"/>
          <w:lang w:val="en-US"/>
        </w:rPr>
        <w:t xml:space="preserve"> many students miss out on this opportunity.</w:t>
      </w:r>
    </w:p>
    <w:p w14:paraId="482B2610" w14:textId="77777777" w:rsidR="008206D0" w:rsidRPr="00A53689" w:rsidRDefault="008206D0" w:rsidP="00F57FC9">
      <w:pPr>
        <w:spacing w:line="276" w:lineRule="auto"/>
        <w:rPr>
          <w:rFonts w:ascii="Garamond" w:hAnsi="Garamond"/>
          <w:i/>
          <w:sz w:val="24"/>
          <w:szCs w:val="24"/>
          <w:lang w:val="en-US"/>
        </w:rPr>
      </w:pPr>
      <w:r w:rsidRPr="00A53689">
        <w:rPr>
          <w:rFonts w:ascii="Garamond" w:hAnsi="Garamond"/>
          <w:i/>
          <w:sz w:val="24"/>
          <w:szCs w:val="24"/>
          <w:lang w:val="en-US"/>
        </w:rPr>
        <w:t>Enterprise in education</w:t>
      </w:r>
    </w:p>
    <w:p w14:paraId="3A5FFFA4" w14:textId="77777777" w:rsidR="008D2337" w:rsidRPr="003F05C2" w:rsidRDefault="00345E9D" w:rsidP="00F57FC9">
      <w:pPr>
        <w:pStyle w:val="ListParagraph"/>
        <w:numPr>
          <w:ilvl w:val="0"/>
          <w:numId w:val="9"/>
        </w:numPr>
        <w:spacing w:line="276" w:lineRule="auto"/>
        <w:ind w:left="568" w:hanging="284"/>
        <w:rPr>
          <w:rFonts w:ascii="Garamond" w:hAnsi="Garamond"/>
          <w:sz w:val="24"/>
          <w:szCs w:val="24"/>
          <w:u w:val="single"/>
          <w:lang w:val="en-US"/>
        </w:rPr>
      </w:pPr>
      <w:r w:rsidRPr="003F05C2">
        <w:rPr>
          <w:rFonts w:ascii="Garamond" w:hAnsi="Garamond"/>
          <w:sz w:val="24"/>
          <w:szCs w:val="24"/>
          <w:lang w:val="en-US"/>
        </w:rPr>
        <w:t>Challenge based learning</w:t>
      </w:r>
      <w:r w:rsidR="00B54F5F" w:rsidRPr="003F05C2">
        <w:rPr>
          <w:rFonts w:ascii="Garamond" w:hAnsi="Garamond"/>
          <w:sz w:val="24"/>
          <w:szCs w:val="24"/>
          <w:lang w:val="en-US"/>
        </w:rPr>
        <w:t xml:space="preserve"> </w:t>
      </w:r>
      <w:r w:rsidR="00803B19" w:rsidRPr="003F05C2">
        <w:rPr>
          <w:rFonts w:ascii="Garamond" w:hAnsi="Garamond"/>
          <w:sz w:val="24"/>
          <w:szCs w:val="24"/>
          <w:lang w:val="en-US"/>
        </w:rPr>
        <w:t xml:space="preserve">focusing </w:t>
      </w:r>
      <w:r w:rsidR="00B54F5F" w:rsidRPr="003F05C2">
        <w:rPr>
          <w:rFonts w:ascii="Garamond" w:hAnsi="Garamond"/>
          <w:sz w:val="24"/>
          <w:szCs w:val="24"/>
          <w:lang w:val="en-US"/>
        </w:rPr>
        <w:t>on careers and financial literacy</w:t>
      </w:r>
      <w:r w:rsidR="008D2337" w:rsidRPr="003F05C2">
        <w:rPr>
          <w:rFonts w:ascii="Garamond" w:hAnsi="Garamond"/>
          <w:sz w:val="24"/>
          <w:szCs w:val="24"/>
          <w:lang w:val="en-US"/>
        </w:rPr>
        <w:t>:</w:t>
      </w:r>
    </w:p>
    <w:p w14:paraId="0FDF0987" w14:textId="77777777" w:rsidR="00B54F5F" w:rsidRPr="003F05C2" w:rsidRDefault="001B1951" w:rsidP="00F57FC9">
      <w:pPr>
        <w:pStyle w:val="ListParagraph"/>
        <w:spacing w:line="276" w:lineRule="auto"/>
        <w:ind w:left="568"/>
        <w:rPr>
          <w:rFonts w:ascii="Garamond" w:hAnsi="Garamond"/>
          <w:sz w:val="24"/>
          <w:szCs w:val="24"/>
          <w:u w:val="single"/>
          <w:lang w:val="en-US"/>
        </w:rPr>
      </w:pPr>
      <w:r w:rsidRPr="003F05C2">
        <w:rPr>
          <w:rFonts w:ascii="Garamond" w:hAnsi="Garamond"/>
          <w:sz w:val="24"/>
          <w:szCs w:val="24"/>
          <w:lang w:val="en-US"/>
        </w:rPr>
        <w:t>Challenge based l</w:t>
      </w:r>
      <w:r w:rsidR="006E11DD" w:rsidRPr="003F05C2">
        <w:rPr>
          <w:rFonts w:ascii="Garamond" w:hAnsi="Garamond"/>
          <w:sz w:val="24"/>
          <w:szCs w:val="24"/>
          <w:lang w:val="en-US"/>
        </w:rPr>
        <w:t>earning</w:t>
      </w:r>
      <w:r w:rsidR="004F20DB" w:rsidRPr="003F05C2">
        <w:rPr>
          <w:rFonts w:ascii="Garamond" w:hAnsi="Garamond"/>
          <w:sz w:val="24"/>
          <w:szCs w:val="24"/>
          <w:lang w:val="en-US"/>
        </w:rPr>
        <w:t xml:space="preserve"> (CBL)</w:t>
      </w:r>
      <w:r w:rsidRPr="003F05C2">
        <w:rPr>
          <w:rFonts w:ascii="Garamond" w:hAnsi="Garamond"/>
          <w:sz w:val="24"/>
          <w:szCs w:val="24"/>
          <w:lang w:val="en-US"/>
        </w:rPr>
        <w:t xml:space="preserve"> incorporating </w:t>
      </w:r>
      <w:r w:rsidR="00345E9D" w:rsidRPr="003F05C2">
        <w:rPr>
          <w:rFonts w:ascii="Garamond" w:hAnsi="Garamond"/>
          <w:sz w:val="24"/>
          <w:szCs w:val="24"/>
          <w:lang w:val="en-US"/>
        </w:rPr>
        <w:t>discussions with</w:t>
      </w:r>
      <w:r w:rsidRPr="003F05C2">
        <w:rPr>
          <w:rFonts w:ascii="Garamond" w:hAnsi="Garamond"/>
          <w:sz w:val="24"/>
          <w:szCs w:val="24"/>
          <w:lang w:val="en-US"/>
        </w:rPr>
        <w:t xml:space="preserve"> </w:t>
      </w:r>
      <w:r w:rsidRPr="003F05C2">
        <w:rPr>
          <w:rFonts w:ascii="Garamond" w:hAnsi="Garamond"/>
          <w:sz w:val="24"/>
          <w:szCs w:val="24"/>
        </w:rPr>
        <w:t>peers, teachers, and experts in their communities</w:t>
      </w:r>
      <w:r w:rsidRPr="003F05C2">
        <w:rPr>
          <w:rFonts w:ascii="Garamond" w:hAnsi="Garamond"/>
          <w:sz w:val="24"/>
          <w:szCs w:val="24"/>
          <w:lang w:val="en-US"/>
        </w:rPr>
        <w:t>, student-led research using technology and the development of business ideas and careers</w:t>
      </w:r>
      <w:r w:rsidR="00A67658" w:rsidRPr="003F05C2">
        <w:rPr>
          <w:rFonts w:ascii="Garamond" w:hAnsi="Garamond"/>
          <w:sz w:val="24"/>
          <w:szCs w:val="24"/>
          <w:lang w:val="en-US"/>
        </w:rPr>
        <w:t xml:space="preserve"> enables students to</w:t>
      </w:r>
      <w:r w:rsidR="00A67658" w:rsidRPr="003F05C2">
        <w:rPr>
          <w:rFonts w:ascii="Garamond" w:hAnsi="Garamond"/>
          <w:sz w:val="24"/>
          <w:szCs w:val="24"/>
        </w:rPr>
        <w:t xml:space="preserve"> ask good questions, develop deep subject area knowledge, identify and solve challenges, take action, and share their experience.</w:t>
      </w:r>
      <w:r w:rsidR="00630256" w:rsidRPr="003F05C2">
        <w:rPr>
          <w:rFonts w:ascii="Garamond" w:hAnsi="Garamond"/>
          <w:sz w:val="24"/>
          <w:szCs w:val="24"/>
        </w:rPr>
        <w:t xml:space="preserve"> </w:t>
      </w:r>
      <w:r w:rsidR="004F20DB" w:rsidRPr="003F05C2">
        <w:rPr>
          <w:rFonts w:ascii="Garamond" w:hAnsi="Garamond"/>
          <w:sz w:val="24"/>
          <w:szCs w:val="24"/>
        </w:rPr>
        <w:t xml:space="preserve">Explicit teaching must include pre-teaching of knowledge to ensure engagement with the challenge. Teacher feedback indicates that many teachers assume prior knowledge. They also commented that due to time constraints and a </w:t>
      </w:r>
      <w:r w:rsidR="00103769" w:rsidRPr="003F05C2">
        <w:rPr>
          <w:rFonts w:ascii="Garamond" w:hAnsi="Garamond"/>
          <w:sz w:val="24"/>
          <w:szCs w:val="24"/>
        </w:rPr>
        <w:t>sometimes-overcrowded</w:t>
      </w:r>
      <w:r w:rsidR="004F20DB" w:rsidRPr="003F05C2">
        <w:rPr>
          <w:rFonts w:ascii="Garamond" w:hAnsi="Garamond"/>
          <w:sz w:val="24"/>
          <w:szCs w:val="24"/>
        </w:rPr>
        <w:t xml:space="preserve"> curriculum, many did not fully address syllabus outcomes and used CBL as an opportunity</w:t>
      </w:r>
      <w:r w:rsidR="00103769" w:rsidRPr="003F05C2">
        <w:rPr>
          <w:rFonts w:ascii="Garamond" w:hAnsi="Garamond"/>
          <w:sz w:val="24"/>
          <w:szCs w:val="24"/>
        </w:rPr>
        <w:t xml:space="preserve"> to </w:t>
      </w:r>
      <w:r w:rsidR="00143709" w:rsidRPr="003F05C2">
        <w:rPr>
          <w:rFonts w:ascii="Garamond" w:hAnsi="Garamond"/>
          <w:sz w:val="24"/>
          <w:szCs w:val="24"/>
        </w:rPr>
        <w:t>tick off financial capabilities as complete when in fact they were not fully addressed.</w:t>
      </w:r>
    </w:p>
    <w:p w14:paraId="7A7D3670" w14:textId="1629F223" w:rsidR="008D2337" w:rsidRPr="003F05C2" w:rsidRDefault="008D2337" w:rsidP="00F57FC9">
      <w:pPr>
        <w:pStyle w:val="ListParagraph"/>
        <w:numPr>
          <w:ilvl w:val="0"/>
          <w:numId w:val="9"/>
        </w:numPr>
        <w:spacing w:line="276" w:lineRule="auto"/>
        <w:ind w:left="568" w:hanging="284"/>
        <w:rPr>
          <w:rFonts w:ascii="Garamond" w:hAnsi="Garamond"/>
          <w:sz w:val="24"/>
          <w:szCs w:val="24"/>
          <w:u w:val="single"/>
          <w:lang w:val="en-US"/>
        </w:rPr>
      </w:pPr>
      <w:r w:rsidRPr="003F05C2">
        <w:rPr>
          <w:rFonts w:ascii="Garamond" w:hAnsi="Garamond"/>
          <w:sz w:val="24"/>
          <w:szCs w:val="24"/>
          <w:lang w:val="en-US"/>
        </w:rPr>
        <w:t>Local competitions:</w:t>
      </w:r>
    </w:p>
    <w:p w14:paraId="309E61F2" w14:textId="77777777" w:rsidR="00B54F5F" w:rsidRPr="003F05C2" w:rsidRDefault="008D2337" w:rsidP="00F57FC9">
      <w:pPr>
        <w:pStyle w:val="ListParagraph"/>
        <w:spacing w:line="276" w:lineRule="auto"/>
        <w:ind w:left="568"/>
        <w:rPr>
          <w:rFonts w:ascii="Garamond" w:hAnsi="Garamond"/>
          <w:sz w:val="24"/>
          <w:szCs w:val="24"/>
          <w:lang w:val="en-US"/>
        </w:rPr>
      </w:pPr>
      <w:r w:rsidRPr="003F05C2">
        <w:rPr>
          <w:rFonts w:ascii="Garamond" w:hAnsi="Garamond"/>
          <w:sz w:val="24"/>
          <w:szCs w:val="24"/>
          <w:lang w:val="en-US"/>
        </w:rPr>
        <w:t>E</w:t>
      </w:r>
      <w:r w:rsidR="00B54F5F" w:rsidRPr="003F05C2">
        <w:rPr>
          <w:rFonts w:ascii="Garamond" w:hAnsi="Garamond"/>
          <w:sz w:val="24"/>
          <w:szCs w:val="24"/>
          <w:lang w:val="en-US"/>
        </w:rPr>
        <w:t>nterprise</w:t>
      </w:r>
      <w:r w:rsidR="00C92BC6" w:rsidRPr="003F05C2">
        <w:rPr>
          <w:rFonts w:ascii="Garamond" w:hAnsi="Garamond"/>
          <w:sz w:val="24"/>
          <w:szCs w:val="24"/>
          <w:lang w:val="en-US"/>
        </w:rPr>
        <w:t xml:space="preserve"> based local competitions (often run by financial institutions and local newspapers) allow students to formulate a business idea and execute it.</w:t>
      </w:r>
      <w:r w:rsidR="00DC7C24" w:rsidRPr="003F05C2">
        <w:rPr>
          <w:rFonts w:ascii="Garamond" w:hAnsi="Garamond"/>
          <w:sz w:val="24"/>
          <w:szCs w:val="24"/>
          <w:lang w:val="en-US"/>
        </w:rPr>
        <w:t xml:space="preserve"> Successfully completing competitions enabled students to connect theory and practice. </w:t>
      </w:r>
      <w:proofErr w:type="spellStart"/>
      <w:r w:rsidR="00707DAE" w:rsidRPr="003F05C2">
        <w:rPr>
          <w:rFonts w:ascii="Garamond" w:hAnsi="Garamond"/>
          <w:sz w:val="24"/>
          <w:szCs w:val="24"/>
          <w:lang w:val="en-US"/>
        </w:rPr>
        <w:t>Sanquhar</w:t>
      </w:r>
      <w:proofErr w:type="spellEnd"/>
      <w:r w:rsidR="00707DAE" w:rsidRPr="003F05C2">
        <w:rPr>
          <w:rFonts w:ascii="Garamond" w:hAnsi="Garamond"/>
          <w:sz w:val="24"/>
          <w:szCs w:val="24"/>
          <w:lang w:val="en-US"/>
        </w:rPr>
        <w:t xml:space="preserve"> Academy, a small rural school, achieved many successes through local </w:t>
      </w:r>
      <w:r w:rsidR="00F04E17" w:rsidRPr="003F05C2">
        <w:rPr>
          <w:rFonts w:ascii="Garamond" w:hAnsi="Garamond"/>
          <w:sz w:val="24"/>
          <w:szCs w:val="24"/>
          <w:lang w:val="en-US"/>
        </w:rPr>
        <w:t>competitions that</w:t>
      </w:r>
      <w:r w:rsidR="00707DAE" w:rsidRPr="003F05C2">
        <w:rPr>
          <w:rFonts w:ascii="Garamond" w:hAnsi="Garamond"/>
          <w:sz w:val="24"/>
          <w:szCs w:val="24"/>
          <w:lang w:val="en-US"/>
        </w:rPr>
        <w:t xml:space="preserve"> increased students</w:t>
      </w:r>
      <w:r w:rsidR="00803B19" w:rsidRPr="003F05C2">
        <w:rPr>
          <w:rFonts w:ascii="Garamond" w:hAnsi="Garamond"/>
          <w:sz w:val="24"/>
          <w:szCs w:val="24"/>
          <w:lang w:val="en-US"/>
        </w:rPr>
        <w:t>’</w:t>
      </w:r>
      <w:r w:rsidR="00707DAE" w:rsidRPr="003F05C2">
        <w:rPr>
          <w:rFonts w:ascii="Garamond" w:hAnsi="Garamond"/>
          <w:sz w:val="24"/>
          <w:szCs w:val="24"/>
          <w:lang w:val="en-US"/>
        </w:rPr>
        <w:t xml:space="preserve"> exposure to enterprise and helped motivate creativity.</w:t>
      </w:r>
      <w:r w:rsidR="00F04E17" w:rsidRPr="003F05C2">
        <w:rPr>
          <w:rFonts w:ascii="Garamond" w:hAnsi="Garamond"/>
          <w:sz w:val="24"/>
          <w:szCs w:val="24"/>
          <w:lang w:val="en-US"/>
        </w:rPr>
        <w:t xml:space="preserve"> Another innovative teachin</w:t>
      </w:r>
      <w:r w:rsidR="00A744E6" w:rsidRPr="003F05C2">
        <w:rPr>
          <w:rFonts w:ascii="Garamond" w:hAnsi="Garamond"/>
          <w:sz w:val="24"/>
          <w:szCs w:val="24"/>
          <w:lang w:val="en-US"/>
        </w:rPr>
        <w:t xml:space="preserve">g idea </w:t>
      </w:r>
      <w:r w:rsidR="00803B19" w:rsidRPr="003F05C2">
        <w:rPr>
          <w:rFonts w:ascii="Garamond" w:hAnsi="Garamond"/>
          <w:sz w:val="24"/>
          <w:szCs w:val="24"/>
          <w:lang w:val="en-US"/>
        </w:rPr>
        <w:t xml:space="preserve">that demonstrated private enterprise </w:t>
      </w:r>
      <w:r w:rsidR="00A744E6" w:rsidRPr="003F05C2">
        <w:rPr>
          <w:rFonts w:ascii="Garamond" w:hAnsi="Garamond"/>
          <w:sz w:val="24"/>
          <w:szCs w:val="24"/>
          <w:lang w:val="en-US"/>
        </w:rPr>
        <w:t xml:space="preserve">at </w:t>
      </w:r>
      <w:proofErr w:type="spellStart"/>
      <w:r w:rsidR="00A744E6" w:rsidRPr="003F05C2">
        <w:rPr>
          <w:rFonts w:ascii="Garamond" w:hAnsi="Garamond"/>
          <w:sz w:val="24"/>
          <w:szCs w:val="24"/>
          <w:lang w:val="en-US"/>
        </w:rPr>
        <w:t>Sanquhar</w:t>
      </w:r>
      <w:proofErr w:type="spellEnd"/>
      <w:r w:rsidR="00A744E6" w:rsidRPr="003F05C2">
        <w:rPr>
          <w:rFonts w:ascii="Garamond" w:hAnsi="Garamond"/>
          <w:sz w:val="24"/>
          <w:szCs w:val="24"/>
          <w:lang w:val="en-US"/>
        </w:rPr>
        <w:t xml:space="preserve"> Academy </w:t>
      </w:r>
      <w:r w:rsidR="00F04E17" w:rsidRPr="003F05C2">
        <w:rPr>
          <w:rFonts w:ascii="Garamond" w:hAnsi="Garamond"/>
          <w:sz w:val="24"/>
          <w:szCs w:val="24"/>
          <w:lang w:val="en-US"/>
        </w:rPr>
        <w:t>was their inter-school business competition. Students created and ran businesses that included the sale of shares in their business. If profit was achieved – it was distributed amongst shareholders.</w:t>
      </w:r>
    </w:p>
    <w:p w14:paraId="4720531C" w14:textId="77777777" w:rsidR="001B1951" w:rsidRPr="003F05C2" w:rsidRDefault="001B1951" w:rsidP="00F57FC9">
      <w:pPr>
        <w:pStyle w:val="ListParagraph"/>
        <w:numPr>
          <w:ilvl w:val="0"/>
          <w:numId w:val="9"/>
        </w:numPr>
        <w:spacing w:line="276" w:lineRule="auto"/>
        <w:ind w:left="568" w:hanging="284"/>
        <w:rPr>
          <w:rFonts w:ascii="Garamond" w:hAnsi="Garamond"/>
          <w:sz w:val="24"/>
          <w:szCs w:val="24"/>
          <w:u w:val="single"/>
          <w:lang w:val="en-US"/>
        </w:rPr>
      </w:pPr>
      <w:r w:rsidRPr="003F05C2">
        <w:rPr>
          <w:rFonts w:ascii="Garamond" w:hAnsi="Garamond"/>
          <w:sz w:val="24"/>
          <w:szCs w:val="24"/>
          <w:lang w:val="en-US"/>
        </w:rPr>
        <w:t>Links with business and industry:</w:t>
      </w:r>
    </w:p>
    <w:p w14:paraId="3E213CFA" w14:textId="77777777" w:rsidR="005E39F1" w:rsidRPr="003F05C2" w:rsidRDefault="00F04E17" w:rsidP="00F57FC9">
      <w:pPr>
        <w:pStyle w:val="ListParagraph"/>
        <w:spacing w:after="200" w:line="276" w:lineRule="auto"/>
        <w:ind w:left="568"/>
        <w:rPr>
          <w:rFonts w:ascii="Garamond" w:hAnsi="Garamond"/>
          <w:sz w:val="24"/>
          <w:szCs w:val="24"/>
          <w:lang w:val="en-US"/>
        </w:rPr>
      </w:pPr>
      <w:r w:rsidRPr="003F05C2">
        <w:rPr>
          <w:rFonts w:ascii="Garamond" w:hAnsi="Garamond"/>
          <w:sz w:val="24"/>
          <w:szCs w:val="24"/>
          <w:lang w:val="en-US"/>
        </w:rPr>
        <w:t>Schools have embraced local businesses and industry</w:t>
      </w:r>
      <w:r w:rsidR="00A744E6" w:rsidRPr="003F05C2">
        <w:rPr>
          <w:rFonts w:ascii="Garamond" w:hAnsi="Garamond"/>
          <w:sz w:val="24"/>
          <w:szCs w:val="24"/>
          <w:lang w:val="en-US"/>
        </w:rPr>
        <w:t>. This link provides</w:t>
      </w:r>
      <w:r w:rsidR="007A0804" w:rsidRPr="003F05C2">
        <w:rPr>
          <w:rFonts w:ascii="Garamond" w:hAnsi="Garamond"/>
          <w:sz w:val="24"/>
          <w:szCs w:val="24"/>
          <w:lang w:val="en-US"/>
        </w:rPr>
        <w:t xml:space="preserve"> an opportunity for students to unravel the complexities of enterprise and make connection between </w:t>
      </w:r>
      <w:r w:rsidR="00CD601A" w:rsidRPr="003F05C2">
        <w:rPr>
          <w:rFonts w:ascii="Garamond" w:hAnsi="Garamond"/>
          <w:sz w:val="24"/>
          <w:szCs w:val="24"/>
          <w:lang w:val="en-US"/>
        </w:rPr>
        <w:t>their theoretical knowledge and the practice of business.</w:t>
      </w:r>
    </w:p>
    <w:p w14:paraId="4CC84EF6" w14:textId="77777777" w:rsidR="003F05C2" w:rsidRPr="003F05C2" w:rsidRDefault="003F05C2" w:rsidP="00F57FC9">
      <w:pPr>
        <w:spacing w:after="200" w:line="276" w:lineRule="auto"/>
        <w:rPr>
          <w:rFonts w:ascii="Garamond" w:hAnsi="Garamond"/>
          <w:sz w:val="24"/>
          <w:szCs w:val="24"/>
        </w:rPr>
      </w:pPr>
      <w:r w:rsidRPr="003F05C2">
        <w:rPr>
          <w:rFonts w:ascii="Garamond" w:hAnsi="Garamond"/>
          <w:sz w:val="24"/>
          <w:szCs w:val="24"/>
        </w:rPr>
        <w:t>Teachers felt that an overcrowded curriculum meant that some learning outcomes were assumed after students participated in CBL activities and student participation in external competitions. Where possible, curriculum should not be overcrowded so that teachers are not forced to ‘rush through’ important cross-curriculum priorities, general capabilities and learning areas such as civics and citizenship and work and enterprise.</w:t>
      </w:r>
    </w:p>
    <w:p w14:paraId="3C06A675" w14:textId="77777777" w:rsidR="003F05C2" w:rsidRPr="003F05C2" w:rsidRDefault="003F05C2" w:rsidP="00F57FC9">
      <w:pPr>
        <w:spacing w:after="200" w:line="276" w:lineRule="auto"/>
        <w:rPr>
          <w:rFonts w:ascii="Garamond" w:hAnsi="Garamond"/>
          <w:sz w:val="24"/>
          <w:szCs w:val="24"/>
        </w:rPr>
      </w:pPr>
      <w:r w:rsidRPr="003F05C2">
        <w:rPr>
          <w:rFonts w:ascii="Garamond" w:hAnsi="Garamond"/>
          <w:sz w:val="24"/>
          <w:szCs w:val="24"/>
        </w:rPr>
        <w:t xml:space="preserve">Recognition of students underachieving against expected outcomes has led to the introduction of tailored programs for students who struggle. This shows the importance of teaching and learning financial capabilities and the adjustment of programs and practice to assist vulnerable students. The </w:t>
      </w:r>
      <w:r w:rsidRPr="003F05C2">
        <w:rPr>
          <w:rFonts w:ascii="Garamond" w:hAnsi="Garamond"/>
          <w:sz w:val="24"/>
          <w:szCs w:val="24"/>
        </w:rPr>
        <w:lastRenderedPageBreak/>
        <w:t>incorporation of financial capabilities across a national curriculum has added emphasis to this area. Teachers should adjust practice to suit the requirements of their class.</w:t>
      </w:r>
    </w:p>
    <w:p w14:paraId="62CC3DA0" w14:textId="3EEBD679" w:rsidR="00871AB7" w:rsidRPr="00A53689" w:rsidRDefault="00871AB7" w:rsidP="00F57FC9">
      <w:pPr>
        <w:spacing w:after="60" w:line="276" w:lineRule="auto"/>
        <w:rPr>
          <w:rFonts w:ascii="Garamond" w:hAnsi="Garamond"/>
          <w:sz w:val="24"/>
          <w:szCs w:val="24"/>
          <w:u w:val="single"/>
          <w:lang w:val="en-US"/>
        </w:rPr>
      </w:pPr>
      <w:r w:rsidRPr="00A53689">
        <w:rPr>
          <w:rFonts w:ascii="Garamond" w:hAnsi="Garamond"/>
          <w:sz w:val="24"/>
          <w:szCs w:val="24"/>
          <w:u w:val="single"/>
          <w:lang w:val="en-US"/>
        </w:rPr>
        <w:t>Government</w:t>
      </w:r>
      <w:r w:rsidR="003F05C2">
        <w:rPr>
          <w:rFonts w:ascii="Garamond" w:hAnsi="Garamond"/>
          <w:sz w:val="24"/>
          <w:szCs w:val="24"/>
          <w:u w:val="single"/>
          <w:lang w:val="en-US"/>
        </w:rPr>
        <w:t>:</w:t>
      </w:r>
    </w:p>
    <w:p w14:paraId="50650D39" w14:textId="77777777" w:rsidR="00032978" w:rsidRPr="003F05C2" w:rsidRDefault="00032978" w:rsidP="00F57FC9">
      <w:pPr>
        <w:spacing w:line="276" w:lineRule="auto"/>
        <w:rPr>
          <w:rFonts w:ascii="Garamond" w:hAnsi="Garamond"/>
          <w:i/>
          <w:sz w:val="24"/>
          <w:szCs w:val="24"/>
          <w:lang w:val="en-US"/>
        </w:rPr>
      </w:pPr>
      <w:r w:rsidRPr="003F05C2">
        <w:rPr>
          <w:rFonts w:ascii="Garamond" w:hAnsi="Garamond"/>
          <w:i/>
          <w:sz w:val="24"/>
          <w:szCs w:val="24"/>
          <w:lang w:val="en-US"/>
        </w:rPr>
        <w:t>Education Scotland, Glasgow, Scotland</w:t>
      </w:r>
    </w:p>
    <w:p w14:paraId="0CDA4816" w14:textId="77777777" w:rsidR="00871AB7" w:rsidRPr="00A53689" w:rsidRDefault="00374134" w:rsidP="00F57FC9">
      <w:pPr>
        <w:spacing w:after="200" w:line="276" w:lineRule="auto"/>
        <w:rPr>
          <w:rFonts w:ascii="Garamond" w:hAnsi="Garamond"/>
          <w:sz w:val="24"/>
          <w:szCs w:val="24"/>
          <w:lang w:val="en-US"/>
        </w:rPr>
      </w:pPr>
      <w:r w:rsidRPr="00A53689">
        <w:rPr>
          <w:rFonts w:ascii="Garamond" w:hAnsi="Garamond"/>
          <w:sz w:val="24"/>
          <w:szCs w:val="24"/>
          <w:lang w:val="en-US"/>
        </w:rPr>
        <w:t>The s</w:t>
      </w:r>
      <w:r w:rsidR="00F82B6F" w:rsidRPr="00A53689">
        <w:rPr>
          <w:rFonts w:ascii="Garamond" w:hAnsi="Garamond"/>
          <w:sz w:val="24"/>
          <w:szCs w:val="24"/>
          <w:lang w:val="en-US"/>
        </w:rPr>
        <w:t xml:space="preserve">trategic priorities of Education Scotland focus on building the capacities, attributes and capabilities to enable young people to become successful learners, confident individuals, responsible citizens and effective contributors to society. </w:t>
      </w:r>
      <w:r w:rsidR="0040324A" w:rsidRPr="00A53689">
        <w:rPr>
          <w:rFonts w:ascii="Garamond" w:hAnsi="Garamond"/>
          <w:sz w:val="24"/>
          <w:szCs w:val="24"/>
          <w:lang w:val="en-US"/>
        </w:rPr>
        <w:t xml:space="preserve">The Scottish government, </w:t>
      </w:r>
      <w:proofErr w:type="spellStart"/>
      <w:r w:rsidR="0040324A" w:rsidRPr="00A53689">
        <w:rPr>
          <w:rFonts w:ascii="Garamond" w:hAnsi="Garamond"/>
          <w:sz w:val="24"/>
          <w:szCs w:val="24"/>
          <w:lang w:val="en-US"/>
        </w:rPr>
        <w:t>recognising</w:t>
      </w:r>
      <w:proofErr w:type="spellEnd"/>
      <w:r w:rsidR="0040324A" w:rsidRPr="00A53689">
        <w:rPr>
          <w:rFonts w:ascii="Garamond" w:hAnsi="Garamond"/>
          <w:sz w:val="24"/>
          <w:szCs w:val="24"/>
          <w:lang w:val="en-US"/>
        </w:rPr>
        <w:t xml:space="preserve"> that parts of Scotland have the worst levels of financial exclusion in the United Kingdom, decided to focus on improving economic wellbeing by improving financial capabilities in schools.</w:t>
      </w:r>
      <w:r w:rsidR="00F82B6F" w:rsidRPr="00A53689">
        <w:rPr>
          <w:rFonts w:ascii="Garamond" w:hAnsi="Garamond"/>
          <w:sz w:val="24"/>
          <w:szCs w:val="24"/>
          <w:lang w:val="en-US"/>
        </w:rPr>
        <w:t xml:space="preserve"> To ensure that this was achieved Education Scotland incorporated syllabus outcomes that reflect the achievement of financial capabi</w:t>
      </w:r>
      <w:r w:rsidR="00A744E6" w:rsidRPr="00A53689">
        <w:rPr>
          <w:rFonts w:ascii="Garamond" w:hAnsi="Garamond"/>
          <w:sz w:val="24"/>
          <w:szCs w:val="24"/>
          <w:lang w:val="en-US"/>
        </w:rPr>
        <w:t xml:space="preserve">lities in the subject areas of </w:t>
      </w:r>
      <w:proofErr w:type="spellStart"/>
      <w:r w:rsidRPr="00A53689">
        <w:rPr>
          <w:rFonts w:ascii="Garamond" w:hAnsi="Garamond"/>
          <w:sz w:val="24"/>
          <w:szCs w:val="24"/>
          <w:lang w:val="en-US"/>
        </w:rPr>
        <w:t>M</w:t>
      </w:r>
      <w:r w:rsidR="00F82B6F" w:rsidRPr="00A53689">
        <w:rPr>
          <w:rFonts w:ascii="Garamond" w:hAnsi="Garamond"/>
          <w:sz w:val="24"/>
          <w:szCs w:val="24"/>
          <w:lang w:val="en-US"/>
        </w:rPr>
        <w:t>aths</w:t>
      </w:r>
      <w:proofErr w:type="spellEnd"/>
      <w:r w:rsidR="00F82B6F" w:rsidRPr="00A53689">
        <w:rPr>
          <w:rFonts w:ascii="Garamond" w:hAnsi="Garamond"/>
          <w:sz w:val="24"/>
          <w:szCs w:val="24"/>
          <w:lang w:val="en-US"/>
        </w:rPr>
        <w:t xml:space="preserve"> </w:t>
      </w:r>
      <w:r w:rsidR="00337D2B" w:rsidRPr="00A53689">
        <w:rPr>
          <w:rFonts w:ascii="Garamond" w:hAnsi="Garamond"/>
          <w:sz w:val="24"/>
          <w:szCs w:val="24"/>
          <w:lang w:val="en-US"/>
        </w:rPr>
        <w:t>N</w:t>
      </w:r>
      <w:r w:rsidR="00F82B6F" w:rsidRPr="00A53689">
        <w:rPr>
          <w:rFonts w:ascii="Garamond" w:hAnsi="Garamond"/>
          <w:sz w:val="24"/>
          <w:szCs w:val="24"/>
          <w:lang w:val="en-US"/>
        </w:rPr>
        <w:t xml:space="preserve">umeracy, </w:t>
      </w:r>
      <w:r w:rsidR="00337D2B" w:rsidRPr="00A53689">
        <w:rPr>
          <w:rFonts w:ascii="Garamond" w:hAnsi="Garamond"/>
          <w:sz w:val="24"/>
          <w:szCs w:val="24"/>
          <w:lang w:val="en-US"/>
        </w:rPr>
        <w:t>L</w:t>
      </w:r>
      <w:r w:rsidR="00F82B6F" w:rsidRPr="00A53689">
        <w:rPr>
          <w:rFonts w:ascii="Garamond" w:hAnsi="Garamond"/>
          <w:sz w:val="24"/>
          <w:szCs w:val="24"/>
          <w:lang w:val="en-US"/>
        </w:rPr>
        <w:t xml:space="preserve">iteracy, </w:t>
      </w:r>
      <w:r w:rsidR="00337D2B" w:rsidRPr="00A53689">
        <w:rPr>
          <w:rFonts w:ascii="Garamond" w:hAnsi="Garamond"/>
          <w:sz w:val="24"/>
          <w:szCs w:val="24"/>
          <w:lang w:val="en-US"/>
        </w:rPr>
        <w:t>S</w:t>
      </w:r>
      <w:r w:rsidR="00F82B6F" w:rsidRPr="00A53689">
        <w:rPr>
          <w:rFonts w:ascii="Garamond" w:hAnsi="Garamond"/>
          <w:sz w:val="24"/>
          <w:szCs w:val="24"/>
          <w:lang w:val="en-US"/>
        </w:rPr>
        <w:t xml:space="preserve">ocial </w:t>
      </w:r>
      <w:r w:rsidR="00337D2B" w:rsidRPr="00A53689">
        <w:rPr>
          <w:rFonts w:ascii="Garamond" w:hAnsi="Garamond"/>
          <w:sz w:val="24"/>
          <w:szCs w:val="24"/>
          <w:lang w:val="en-US"/>
        </w:rPr>
        <w:t>S</w:t>
      </w:r>
      <w:r w:rsidR="00F82B6F" w:rsidRPr="00A53689">
        <w:rPr>
          <w:rFonts w:ascii="Garamond" w:hAnsi="Garamond"/>
          <w:sz w:val="24"/>
          <w:szCs w:val="24"/>
          <w:lang w:val="en-US"/>
        </w:rPr>
        <w:t xml:space="preserve">tudies and </w:t>
      </w:r>
      <w:r w:rsidR="00337D2B" w:rsidRPr="00A53689">
        <w:rPr>
          <w:rFonts w:ascii="Garamond" w:hAnsi="Garamond"/>
          <w:sz w:val="24"/>
          <w:szCs w:val="24"/>
          <w:lang w:val="en-US"/>
        </w:rPr>
        <w:t>H</w:t>
      </w:r>
      <w:r w:rsidR="00F82B6F" w:rsidRPr="00A53689">
        <w:rPr>
          <w:rFonts w:ascii="Garamond" w:hAnsi="Garamond"/>
          <w:sz w:val="24"/>
          <w:szCs w:val="24"/>
          <w:lang w:val="en-US"/>
        </w:rPr>
        <w:t xml:space="preserve">ealth and </w:t>
      </w:r>
      <w:r w:rsidR="00337D2B" w:rsidRPr="00A53689">
        <w:rPr>
          <w:rFonts w:ascii="Garamond" w:hAnsi="Garamond"/>
          <w:sz w:val="24"/>
          <w:szCs w:val="24"/>
          <w:lang w:val="en-US"/>
        </w:rPr>
        <w:t>W</w:t>
      </w:r>
      <w:r w:rsidR="00F82B6F" w:rsidRPr="00A53689">
        <w:rPr>
          <w:rFonts w:ascii="Garamond" w:hAnsi="Garamond"/>
          <w:sz w:val="24"/>
          <w:szCs w:val="24"/>
          <w:lang w:val="en-US"/>
        </w:rPr>
        <w:t>ellbeing.</w:t>
      </w:r>
    </w:p>
    <w:p w14:paraId="4544C46C" w14:textId="77777777" w:rsidR="00103606" w:rsidRPr="00A53689" w:rsidRDefault="00103606" w:rsidP="00F57FC9">
      <w:pPr>
        <w:spacing w:after="200" w:line="276" w:lineRule="auto"/>
        <w:rPr>
          <w:rFonts w:ascii="Garamond" w:hAnsi="Garamond"/>
          <w:sz w:val="24"/>
          <w:szCs w:val="24"/>
          <w:lang w:val="en-US"/>
        </w:rPr>
      </w:pPr>
      <w:r w:rsidRPr="00A53689">
        <w:rPr>
          <w:rFonts w:ascii="Garamond" w:hAnsi="Garamond"/>
          <w:sz w:val="24"/>
          <w:szCs w:val="24"/>
          <w:lang w:val="en-US"/>
        </w:rPr>
        <w:t xml:space="preserve">Education Scotland works closely with government and industry, having regular and open communication about policy, direction, implementation and achievement of outcomes. By working collaboratively </w:t>
      </w:r>
      <w:r w:rsidR="00C05FD0" w:rsidRPr="00A53689">
        <w:rPr>
          <w:rFonts w:ascii="Garamond" w:hAnsi="Garamond"/>
          <w:sz w:val="24"/>
          <w:szCs w:val="24"/>
          <w:lang w:val="en-US"/>
        </w:rPr>
        <w:t>the best outcomes can be achieved. This three-pronged approach to improving economic wellbeing demonstrates best practice and what c</w:t>
      </w:r>
      <w:r w:rsidR="00D74E33" w:rsidRPr="00A53689">
        <w:rPr>
          <w:rFonts w:ascii="Garamond" w:hAnsi="Garamond"/>
          <w:sz w:val="24"/>
          <w:szCs w:val="24"/>
          <w:lang w:val="en-US"/>
        </w:rPr>
        <w:t>an be achieved with</w:t>
      </w:r>
      <w:r w:rsidR="005D32BC" w:rsidRPr="00A53689">
        <w:rPr>
          <w:rFonts w:ascii="Garamond" w:hAnsi="Garamond"/>
          <w:sz w:val="24"/>
          <w:szCs w:val="24"/>
          <w:lang w:val="en-US"/>
        </w:rPr>
        <w:t xml:space="preserve"> cooperation in order to achieve the national priorities of being a wealthier and fairer, smarter, healthier, safer and stronger, greener society.</w:t>
      </w:r>
    </w:p>
    <w:p w14:paraId="60B00340" w14:textId="77777777" w:rsidR="003F05C2" w:rsidRPr="003F05C2" w:rsidRDefault="003F05C2" w:rsidP="00F57FC9">
      <w:pPr>
        <w:spacing w:after="200" w:line="276" w:lineRule="auto"/>
        <w:rPr>
          <w:rFonts w:ascii="Garamond" w:hAnsi="Garamond"/>
          <w:sz w:val="24"/>
          <w:szCs w:val="24"/>
          <w:lang w:val="en-US"/>
        </w:rPr>
      </w:pPr>
      <w:r w:rsidRPr="003F05C2">
        <w:rPr>
          <w:rFonts w:ascii="Garamond" w:hAnsi="Garamond"/>
          <w:sz w:val="24"/>
          <w:szCs w:val="24"/>
          <w:lang w:val="en-US"/>
        </w:rPr>
        <w:t>Education Scotland provides for opportunities for strong links between teachers, industry and government. This best practice has proven successful – and NSW should follow this lead by establishing regular conferences between these key stakeholders.</w:t>
      </w:r>
    </w:p>
    <w:p w14:paraId="34A1CDA3" w14:textId="77777777" w:rsidR="00726017" w:rsidRPr="003F05C2" w:rsidRDefault="00726017" w:rsidP="00F57FC9">
      <w:pPr>
        <w:spacing w:line="276" w:lineRule="auto"/>
        <w:rPr>
          <w:rFonts w:ascii="Garamond" w:hAnsi="Garamond"/>
          <w:b/>
          <w:sz w:val="28"/>
          <w:szCs w:val="24"/>
          <w:lang w:val="en-US"/>
        </w:rPr>
      </w:pPr>
      <w:r w:rsidRPr="003F05C2">
        <w:rPr>
          <w:rFonts w:ascii="Garamond" w:hAnsi="Garamond"/>
          <w:b/>
          <w:sz w:val="28"/>
          <w:szCs w:val="24"/>
          <w:lang w:val="en-US"/>
        </w:rPr>
        <w:t>Conclusions</w:t>
      </w:r>
    </w:p>
    <w:p w14:paraId="36F493E2" w14:textId="77777777" w:rsidR="00024C5B" w:rsidRPr="00A53689" w:rsidRDefault="00024C5B" w:rsidP="00F57FC9">
      <w:pPr>
        <w:spacing w:after="200" w:line="276" w:lineRule="auto"/>
        <w:rPr>
          <w:rFonts w:ascii="Garamond" w:hAnsi="Garamond"/>
          <w:sz w:val="24"/>
          <w:szCs w:val="24"/>
          <w:lang w:val="en-US"/>
        </w:rPr>
      </w:pPr>
      <w:r w:rsidRPr="00A53689">
        <w:rPr>
          <w:rFonts w:ascii="Garamond" w:hAnsi="Garamond"/>
          <w:sz w:val="24"/>
          <w:szCs w:val="24"/>
          <w:lang w:val="en-US"/>
        </w:rPr>
        <w:t xml:space="preserve">In New South Wales, where there are defined syllabuses, areas of learning such as financial literacy, that are across the curriculum and with elements that fit in a number of syllabus areas that are the responsibility of a number of teachers, are often under-taught or fall through the gaps. </w:t>
      </w:r>
    </w:p>
    <w:p w14:paraId="4EBC4B65" w14:textId="77777777" w:rsidR="004A2F8A" w:rsidRPr="00A53689" w:rsidRDefault="00024C5B" w:rsidP="00F57FC9">
      <w:pPr>
        <w:spacing w:after="200" w:line="276" w:lineRule="auto"/>
        <w:rPr>
          <w:rFonts w:ascii="Garamond" w:hAnsi="Garamond"/>
          <w:sz w:val="24"/>
          <w:szCs w:val="24"/>
        </w:rPr>
      </w:pPr>
      <w:r w:rsidRPr="00A53689">
        <w:rPr>
          <w:rFonts w:ascii="Garamond" w:hAnsi="Garamond"/>
          <w:sz w:val="24"/>
          <w:szCs w:val="24"/>
        </w:rPr>
        <w:t xml:space="preserve">It has been argued that financial literacy is in the domain of teachers of mathematics and the OECD observes that certain level of numeracy (or mathematical literacy) is regarded as a necessary condition of financial literacy. On the other hand there are large areas where the content of mathematical literacy and financial literacy do not intersect. Knowledge about financial matters and capability in applying such knowledge and reasoning in financial contexts (in the absence of any specifically mathematical content) characterise much of financial literacy: money and transactions, planning and managing finances, risk and reward and financial landscape. </w:t>
      </w:r>
      <w:r w:rsidR="005B29EE" w:rsidRPr="00A53689">
        <w:rPr>
          <w:rFonts w:ascii="Garamond" w:hAnsi="Garamond"/>
          <w:sz w:val="24"/>
          <w:szCs w:val="24"/>
        </w:rPr>
        <w:t xml:space="preserve">For </w:t>
      </w:r>
      <w:r w:rsidRPr="00A53689">
        <w:rPr>
          <w:rFonts w:ascii="Garamond" w:hAnsi="Garamond"/>
          <w:sz w:val="24"/>
          <w:szCs w:val="24"/>
        </w:rPr>
        <w:t>a teacher of business studies, commerce, geography and history there are strong syllabus links that provide the opportunity for sound financial</w:t>
      </w:r>
      <w:r w:rsidR="00A744E6" w:rsidRPr="00A53689">
        <w:rPr>
          <w:rFonts w:ascii="Garamond" w:hAnsi="Garamond"/>
          <w:sz w:val="24"/>
          <w:szCs w:val="24"/>
        </w:rPr>
        <w:t xml:space="preserve"> education</w:t>
      </w:r>
      <w:r w:rsidRPr="00A53689">
        <w:rPr>
          <w:rFonts w:ascii="Garamond" w:hAnsi="Garamond"/>
          <w:sz w:val="24"/>
          <w:szCs w:val="24"/>
        </w:rPr>
        <w:t>.</w:t>
      </w:r>
    </w:p>
    <w:p w14:paraId="64E6EDB7" w14:textId="77777777" w:rsidR="00024C5B" w:rsidRPr="00A53689" w:rsidRDefault="00024C5B" w:rsidP="00F57FC9">
      <w:pPr>
        <w:spacing w:after="200" w:line="276" w:lineRule="auto"/>
        <w:rPr>
          <w:rFonts w:ascii="Garamond" w:hAnsi="Garamond"/>
          <w:sz w:val="24"/>
          <w:szCs w:val="24"/>
          <w:lang w:val="en-US"/>
        </w:rPr>
      </w:pPr>
      <w:r w:rsidRPr="00A53689">
        <w:rPr>
          <w:rFonts w:ascii="Garamond" w:hAnsi="Garamond"/>
          <w:sz w:val="24"/>
          <w:szCs w:val="24"/>
          <w:lang w:val="en-US"/>
        </w:rPr>
        <w:t xml:space="preserve">Financial literacy should be tied into the </w:t>
      </w:r>
      <w:r w:rsidR="00495D25" w:rsidRPr="00A53689">
        <w:rPr>
          <w:rFonts w:ascii="Garamond" w:hAnsi="Garamond"/>
          <w:sz w:val="24"/>
          <w:szCs w:val="24"/>
          <w:lang w:val="en-US"/>
        </w:rPr>
        <w:t xml:space="preserve">PDHPE and </w:t>
      </w:r>
      <w:r w:rsidRPr="00A53689">
        <w:rPr>
          <w:rFonts w:ascii="Garamond" w:hAnsi="Garamond"/>
          <w:sz w:val="24"/>
          <w:szCs w:val="24"/>
          <w:lang w:val="en-US"/>
        </w:rPr>
        <w:t>HSIE syllabus compulsory format throughout Stage 4 and 5. Commerce is an elective subject and students not studying this area are in danger of being deficient in the area of financial literacy.</w:t>
      </w:r>
    </w:p>
    <w:p w14:paraId="002D7303" w14:textId="77777777" w:rsidR="00024C5B" w:rsidRPr="00A53689" w:rsidRDefault="00024C5B" w:rsidP="00F57FC9">
      <w:pPr>
        <w:spacing w:after="200" w:line="276" w:lineRule="auto"/>
        <w:rPr>
          <w:rFonts w:ascii="Garamond" w:hAnsi="Garamond"/>
          <w:sz w:val="24"/>
          <w:szCs w:val="24"/>
        </w:rPr>
      </w:pPr>
      <w:r w:rsidRPr="00A53689">
        <w:rPr>
          <w:rFonts w:ascii="Garamond" w:hAnsi="Garamond"/>
          <w:sz w:val="24"/>
          <w:szCs w:val="24"/>
        </w:rPr>
        <w:t xml:space="preserve">Teachers in NSW are looking for a coherent and practical framework for classroom work, as well as inspirational kick starters, which consolidate fundamental aspects of financial literacy, sound pedagogy and also encompass the competencies that students need to negotiate in their world. </w:t>
      </w:r>
    </w:p>
    <w:p w14:paraId="578223A7" w14:textId="77777777" w:rsidR="00AA37BB" w:rsidRPr="00A53689" w:rsidRDefault="007C7D2F" w:rsidP="00F57FC9">
      <w:pPr>
        <w:spacing w:after="200" w:line="276" w:lineRule="auto"/>
        <w:rPr>
          <w:rFonts w:ascii="Garamond" w:hAnsi="Garamond"/>
          <w:sz w:val="24"/>
          <w:szCs w:val="24"/>
          <w:lang w:val="en-US"/>
        </w:rPr>
      </w:pPr>
      <w:r w:rsidRPr="00A53689">
        <w:rPr>
          <w:rFonts w:ascii="Garamond" w:hAnsi="Garamond"/>
          <w:sz w:val="24"/>
          <w:szCs w:val="24"/>
        </w:rPr>
        <w:t xml:space="preserve">NB: At the time of writing, the 2012 PISA results on financial capability </w:t>
      </w:r>
      <w:r w:rsidR="000102B3" w:rsidRPr="00A53689">
        <w:rPr>
          <w:rFonts w:ascii="Garamond" w:hAnsi="Garamond"/>
          <w:sz w:val="24"/>
          <w:szCs w:val="24"/>
        </w:rPr>
        <w:t>had not been released</w:t>
      </w:r>
      <w:r w:rsidRPr="00A53689">
        <w:rPr>
          <w:rFonts w:ascii="Garamond" w:hAnsi="Garamond"/>
          <w:sz w:val="24"/>
          <w:szCs w:val="24"/>
        </w:rPr>
        <w:t>.</w:t>
      </w:r>
    </w:p>
    <w:sectPr w:rsidR="00AA37BB" w:rsidRPr="00A53689" w:rsidSect="00F57FC9">
      <w:footerReference w:type="default" r:id="rId22"/>
      <w:pgSz w:w="11907" w:h="16840" w:code="9"/>
      <w:pgMar w:top="1134" w:right="1134" w:bottom="1134" w:left="1134" w:header="284" w:footer="2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B0BEC" w14:textId="77777777" w:rsidR="00BE4C3D" w:rsidRDefault="00BE4C3D">
      <w:r>
        <w:separator/>
      </w:r>
    </w:p>
  </w:endnote>
  <w:endnote w:type="continuationSeparator" w:id="0">
    <w:p w14:paraId="411CC29A" w14:textId="77777777" w:rsidR="00BE4C3D" w:rsidRDefault="00BE4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1EDCC" w14:textId="77777777" w:rsidR="00BE4C3D" w:rsidRDefault="00BE4C3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A2B23" w14:textId="77777777" w:rsidR="00BE4C3D" w:rsidRDefault="00BE4C3D">
      <w:r>
        <w:separator/>
      </w:r>
    </w:p>
  </w:footnote>
  <w:footnote w:type="continuationSeparator" w:id="0">
    <w:p w14:paraId="2F550D89" w14:textId="77777777" w:rsidR="00BE4C3D" w:rsidRDefault="00BE4C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E5F4F"/>
    <w:multiLevelType w:val="hybridMultilevel"/>
    <w:tmpl w:val="33A24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83F9B"/>
    <w:multiLevelType w:val="hybridMultilevel"/>
    <w:tmpl w:val="E82A0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3113E"/>
    <w:multiLevelType w:val="multilevel"/>
    <w:tmpl w:val="55A2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232EEE"/>
    <w:multiLevelType w:val="multilevel"/>
    <w:tmpl w:val="224AC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CC1E49"/>
    <w:multiLevelType w:val="hybridMultilevel"/>
    <w:tmpl w:val="35C88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6E5F7E"/>
    <w:multiLevelType w:val="hybridMultilevel"/>
    <w:tmpl w:val="337A5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6FF2EA3"/>
    <w:multiLevelType w:val="hybridMultilevel"/>
    <w:tmpl w:val="BBCE80DE"/>
    <w:lvl w:ilvl="0" w:tplc="0C090001">
      <w:start w:val="1"/>
      <w:numFmt w:val="bulle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7" w15:restartNumberingAfterBreak="0">
    <w:nsid w:val="5873796F"/>
    <w:multiLevelType w:val="multilevel"/>
    <w:tmpl w:val="B48CE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596120"/>
    <w:multiLevelType w:val="hybridMultilevel"/>
    <w:tmpl w:val="9236B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1"/>
  </w:num>
  <w:num w:numId="5">
    <w:abstractNumId w:val="4"/>
  </w:num>
  <w:num w:numId="6">
    <w:abstractNumId w:val="8"/>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63"/>
    <w:rsid w:val="00002A23"/>
    <w:rsid w:val="000102B3"/>
    <w:rsid w:val="000128F4"/>
    <w:rsid w:val="00014081"/>
    <w:rsid w:val="00024A12"/>
    <w:rsid w:val="00024C5B"/>
    <w:rsid w:val="00025582"/>
    <w:rsid w:val="00032978"/>
    <w:rsid w:val="000563B9"/>
    <w:rsid w:val="00062489"/>
    <w:rsid w:val="00064072"/>
    <w:rsid w:val="00064FBC"/>
    <w:rsid w:val="000665E0"/>
    <w:rsid w:val="00082792"/>
    <w:rsid w:val="000842D1"/>
    <w:rsid w:val="00097E64"/>
    <w:rsid w:val="000A21C1"/>
    <w:rsid w:val="000B041B"/>
    <w:rsid w:val="000B2B9B"/>
    <w:rsid w:val="000B3917"/>
    <w:rsid w:val="000C3288"/>
    <w:rsid w:val="000D4953"/>
    <w:rsid w:val="000E19AD"/>
    <w:rsid w:val="000E7316"/>
    <w:rsid w:val="000F27C2"/>
    <w:rsid w:val="000F3733"/>
    <w:rsid w:val="000F58AA"/>
    <w:rsid w:val="000F6524"/>
    <w:rsid w:val="00103606"/>
    <w:rsid w:val="00103769"/>
    <w:rsid w:val="00113501"/>
    <w:rsid w:val="00113B57"/>
    <w:rsid w:val="00126D0A"/>
    <w:rsid w:val="001346D5"/>
    <w:rsid w:val="00143709"/>
    <w:rsid w:val="001441F1"/>
    <w:rsid w:val="0014670E"/>
    <w:rsid w:val="001608EF"/>
    <w:rsid w:val="0016758D"/>
    <w:rsid w:val="0017122D"/>
    <w:rsid w:val="001A0995"/>
    <w:rsid w:val="001A587C"/>
    <w:rsid w:val="001B1951"/>
    <w:rsid w:val="001B4B25"/>
    <w:rsid w:val="001C29C7"/>
    <w:rsid w:val="001D56EC"/>
    <w:rsid w:val="001D5BE0"/>
    <w:rsid w:val="001E1ADE"/>
    <w:rsid w:val="002038DC"/>
    <w:rsid w:val="00217A14"/>
    <w:rsid w:val="0022344E"/>
    <w:rsid w:val="002474FD"/>
    <w:rsid w:val="00251918"/>
    <w:rsid w:val="00252C2F"/>
    <w:rsid w:val="00254D88"/>
    <w:rsid w:val="00256B9F"/>
    <w:rsid w:val="00256F59"/>
    <w:rsid w:val="00261709"/>
    <w:rsid w:val="00264417"/>
    <w:rsid w:val="00266C78"/>
    <w:rsid w:val="00282257"/>
    <w:rsid w:val="00290FA8"/>
    <w:rsid w:val="00291243"/>
    <w:rsid w:val="002926A4"/>
    <w:rsid w:val="00297D7C"/>
    <w:rsid w:val="002A72DD"/>
    <w:rsid w:val="002C1386"/>
    <w:rsid w:val="002C5D4A"/>
    <w:rsid w:val="002C787A"/>
    <w:rsid w:val="002E6E14"/>
    <w:rsid w:val="002F078D"/>
    <w:rsid w:val="002F23AB"/>
    <w:rsid w:val="002F377F"/>
    <w:rsid w:val="0030307B"/>
    <w:rsid w:val="00305C8F"/>
    <w:rsid w:val="00306115"/>
    <w:rsid w:val="00310322"/>
    <w:rsid w:val="00311A41"/>
    <w:rsid w:val="00322F8E"/>
    <w:rsid w:val="00324B13"/>
    <w:rsid w:val="003270E2"/>
    <w:rsid w:val="0033070E"/>
    <w:rsid w:val="00337D2B"/>
    <w:rsid w:val="00340179"/>
    <w:rsid w:val="00340728"/>
    <w:rsid w:val="00345888"/>
    <w:rsid w:val="00345E9D"/>
    <w:rsid w:val="00355176"/>
    <w:rsid w:val="00374134"/>
    <w:rsid w:val="0037455F"/>
    <w:rsid w:val="00396601"/>
    <w:rsid w:val="003A7B24"/>
    <w:rsid w:val="003C23CD"/>
    <w:rsid w:val="003C6E97"/>
    <w:rsid w:val="003D13EA"/>
    <w:rsid w:val="003E057F"/>
    <w:rsid w:val="003F05C2"/>
    <w:rsid w:val="003F74DA"/>
    <w:rsid w:val="0040324A"/>
    <w:rsid w:val="00422E77"/>
    <w:rsid w:val="004303C0"/>
    <w:rsid w:val="00440AED"/>
    <w:rsid w:val="00443161"/>
    <w:rsid w:val="004648CB"/>
    <w:rsid w:val="00494E60"/>
    <w:rsid w:val="00495D25"/>
    <w:rsid w:val="004A2F74"/>
    <w:rsid w:val="004A2F8A"/>
    <w:rsid w:val="004B188D"/>
    <w:rsid w:val="004B6C55"/>
    <w:rsid w:val="004D6B0F"/>
    <w:rsid w:val="004E6099"/>
    <w:rsid w:val="004F20DB"/>
    <w:rsid w:val="004F52BF"/>
    <w:rsid w:val="004F5555"/>
    <w:rsid w:val="00502472"/>
    <w:rsid w:val="00525ACA"/>
    <w:rsid w:val="00526DF7"/>
    <w:rsid w:val="00546C8D"/>
    <w:rsid w:val="00550D25"/>
    <w:rsid w:val="00552BFD"/>
    <w:rsid w:val="00565BD6"/>
    <w:rsid w:val="0057163A"/>
    <w:rsid w:val="00586A4F"/>
    <w:rsid w:val="00590D75"/>
    <w:rsid w:val="005A0C8D"/>
    <w:rsid w:val="005A0E92"/>
    <w:rsid w:val="005B29EE"/>
    <w:rsid w:val="005B4343"/>
    <w:rsid w:val="005C5A20"/>
    <w:rsid w:val="005D32BC"/>
    <w:rsid w:val="005D48C2"/>
    <w:rsid w:val="005D77E9"/>
    <w:rsid w:val="005E39F1"/>
    <w:rsid w:val="00601412"/>
    <w:rsid w:val="00603F51"/>
    <w:rsid w:val="00605E69"/>
    <w:rsid w:val="006118A8"/>
    <w:rsid w:val="0062012A"/>
    <w:rsid w:val="006224B8"/>
    <w:rsid w:val="00630256"/>
    <w:rsid w:val="00631A57"/>
    <w:rsid w:val="00634088"/>
    <w:rsid w:val="00641289"/>
    <w:rsid w:val="00657362"/>
    <w:rsid w:val="006638A5"/>
    <w:rsid w:val="00667CF9"/>
    <w:rsid w:val="006720E3"/>
    <w:rsid w:val="00687F9A"/>
    <w:rsid w:val="00696720"/>
    <w:rsid w:val="006B30B8"/>
    <w:rsid w:val="006B78CC"/>
    <w:rsid w:val="006D22F3"/>
    <w:rsid w:val="006D788E"/>
    <w:rsid w:val="006E11DD"/>
    <w:rsid w:val="006F0218"/>
    <w:rsid w:val="0070141E"/>
    <w:rsid w:val="00704DE1"/>
    <w:rsid w:val="00707DAE"/>
    <w:rsid w:val="00726017"/>
    <w:rsid w:val="00736EF1"/>
    <w:rsid w:val="007472A8"/>
    <w:rsid w:val="00750CFA"/>
    <w:rsid w:val="00763050"/>
    <w:rsid w:val="007708CB"/>
    <w:rsid w:val="00771B59"/>
    <w:rsid w:val="00774DD1"/>
    <w:rsid w:val="00791EF9"/>
    <w:rsid w:val="007A0804"/>
    <w:rsid w:val="007A2A5A"/>
    <w:rsid w:val="007A62AE"/>
    <w:rsid w:val="007B045B"/>
    <w:rsid w:val="007B6E5C"/>
    <w:rsid w:val="007C7D2F"/>
    <w:rsid w:val="007E3BF2"/>
    <w:rsid w:val="007E3F30"/>
    <w:rsid w:val="007F0668"/>
    <w:rsid w:val="00803B19"/>
    <w:rsid w:val="008206D0"/>
    <w:rsid w:val="0083076E"/>
    <w:rsid w:val="00831180"/>
    <w:rsid w:val="008327D1"/>
    <w:rsid w:val="00850723"/>
    <w:rsid w:val="008507FE"/>
    <w:rsid w:val="00854A5A"/>
    <w:rsid w:val="00864A8B"/>
    <w:rsid w:val="00871AB7"/>
    <w:rsid w:val="00884105"/>
    <w:rsid w:val="00884FAA"/>
    <w:rsid w:val="008912B4"/>
    <w:rsid w:val="008B24AA"/>
    <w:rsid w:val="008C151B"/>
    <w:rsid w:val="008C746C"/>
    <w:rsid w:val="008D2337"/>
    <w:rsid w:val="008E4B55"/>
    <w:rsid w:val="008E64C8"/>
    <w:rsid w:val="008F25D1"/>
    <w:rsid w:val="008F7CA8"/>
    <w:rsid w:val="009049A3"/>
    <w:rsid w:val="00920957"/>
    <w:rsid w:val="00924CB4"/>
    <w:rsid w:val="009259CA"/>
    <w:rsid w:val="00926961"/>
    <w:rsid w:val="00961263"/>
    <w:rsid w:val="009612AC"/>
    <w:rsid w:val="00964F57"/>
    <w:rsid w:val="00967149"/>
    <w:rsid w:val="0097623B"/>
    <w:rsid w:val="00983CCE"/>
    <w:rsid w:val="009A46A4"/>
    <w:rsid w:val="009A67AC"/>
    <w:rsid w:val="009B312B"/>
    <w:rsid w:val="009B58FE"/>
    <w:rsid w:val="009C2497"/>
    <w:rsid w:val="009C2C93"/>
    <w:rsid w:val="009C3D98"/>
    <w:rsid w:val="009C4F39"/>
    <w:rsid w:val="00A051D6"/>
    <w:rsid w:val="00A05BF4"/>
    <w:rsid w:val="00A06B47"/>
    <w:rsid w:val="00A24036"/>
    <w:rsid w:val="00A267F0"/>
    <w:rsid w:val="00A41DA7"/>
    <w:rsid w:val="00A53689"/>
    <w:rsid w:val="00A67658"/>
    <w:rsid w:val="00A744E6"/>
    <w:rsid w:val="00A836B0"/>
    <w:rsid w:val="00A965A1"/>
    <w:rsid w:val="00AA37BB"/>
    <w:rsid w:val="00AC1EAB"/>
    <w:rsid w:val="00AC318F"/>
    <w:rsid w:val="00AC48F9"/>
    <w:rsid w:val="00AD00FD"/>
    <w:rsid w:val="00AE057D"/>
    <w:rsid w:val="00AE559F"/>
    <w:rsid w:val="00AE7825"/>
    <w:rsid w:val="00B05ED2"/>
    <w:rsid w:val="00B200B9"/>
    <w:rsid w:val="00B36563"/>
    <w:rsid w:val="00B45F31"/>
    <w:rsid w:val="00B54F5F"/>
    <w:rsid w:val="00B64035"/>
    <w:rsid w:val="00B667D0"/>
    <w:rsid w:val="00B67389"/>
    <w:rsid w:val="00B70132"/>
    <w:rsid w:val="00B761B9"/>
    <w:rsid w:val="00B80022"/>
    <w:rsid w:val="00B86B6C"/>
    <w:rsid w:val="00BC4926"/>
    <w:rsid w:val="00BD0F58"/>
    <w:rsid w:val="00BD75EB"/>
    <w:rsid w:val="00BE4C3D"/>
    <w:rsid w:val="00C014E7"/>
    <w:rsid w:val="00C05FD0"/>
    <w:rsid w:val="00C109CC"/>
    <w:rsid w:val="00C1388A"/>
    <w:rsid w:val="00C14DBC"/>
    <w:rsid w:val="00C40E0E"/>
    <w:rsid w:val="00C51513"/>
    <w:rsid w:val="00C67015"/>
    <w:rsid w:val="00C70776"/>
    <w:rsid w:val="00C72ADA"/>
    <w:rsid w:val="00C81A69"/>
    <w:rsid w:val="00C92BC6"/>
    <w:rsid w:val="00C94149"/>
    <w:rsid w:val="00CA27B3"/>
    <w:rsid w:val="00CB6116"/>
    <w:rsid w:val="00CC0E2F"/>
    <w:rsid w:val="00CC5B32"/>
    <w:rsid w:val="00CC609A"/>
    <w:rsid w:val="00CD30C2"/>
    <w:rsid w:val="00CD5474"/>
    <w:rsid w:val="00CD601A"/>
    <w:rsid w:val="00CD6A6D"/>
    <w:rsid w:val="00CE18D4"/>
    <w:rsid w:val="00CE7514"/>
    <w:rsid w:val="00CF0C39"/>
    <w:rsid w:val="00CF160A"/>
    <w:rsid w:val="00CF2FA4"/>
    <w:rsid w:val="00CF30E3"/>
    <w:rsid w:val="00D03A78"/>
    <w:rsid w:val="00D06518"/>
    <w:rsid w:val="00D169D5"/>
    <w:rsid w:val="00D3385B"/>
    <w:rsid w:val="00D40CB0"/>
    <w:rsid w:val="00D4159D"/>
    <w:rsid w:val="00D47363"/>
    <w:rsid w:val="00D558E3"/>
    <w:rsid w:val="00D56A4D"/>
    <w:rsid w:val="00D648D8"/>
    <w:rsid w:val="00D64D6F"/>
    <w:rsid w:val="00D717F5"/>
    <w:rsid w:val="00D74E33"/>
    <w:rsid w:val="00D75499"/>
    <w:rsid w:val="00D822DF"/>
    <w:rsid w:val="00D845FF"/>
    <w:rsid w:val="00D912A0"/>
    <w:rsid w:val="00DA2AE2"/>
    <w:rsid w:val="00DB1200"/>
    <w:rsid w:val="00DB3C29"/>
    <w:rsid w:val="00DC7C24"/>
    <w:rsid w:val="00DD1E1C"/>
    <w:rsid w:val="00DE3D39"/>
    <w:rsid w:val="00DE7AB3"/>
    <w:rsid w:val="00E15E96"/>
    <w:rsid w:val="00E27258"/>
    <w:rsid w:val="00E32335"/>
    <w:rsid w:val="00E3732A"/>
    <w:rsid w:val="00E543AA"/>
    <w:rsid w:val="00E81740"/>
    <w:rsid w:val="00E86F84"/>
    <w:rsid w:val="00E879E5"/>
    <w:rsid w:val="00E96CB5"/>
    <w:rsid w:val="00EA1FB5"/>
    <w:rsid w:val="00EA289B"/>
    <w:rsid w:val="00EA76D5"/>
    <w:rsid w:val="00EB04A0"/>
    <w:rsid w:val="00EB5CBE"/>
    <w:rsid w:val="00EC1FE6"/>
    <w:rsid w:val="00F01736"/>
    <w:rsid w:val="00F04E17"/>
    <w:rsid w:val="00F15883"/>
    <w:rsid w:val="00F23101"/>
    <w:rsid w:val="00F246A9"/>
    <w:rsid w:val="00F30E3F"/>
    <w:rsid w:val="00F33102"/>
    <w:rsid w:val="00F36501"/>
    <w:rsid w:val="00F4433D"/>
    <w:rsid w:val="00F51948"/>
    <w:rsid w:val="00F564F0"/>
    <w:rsid w:val="00F57FC9"/>
    <w:rsid w:val="00F6516B"/>
    <w:rsid w:val="00F67286"/>
    <w:rsid w:val="00F72CE4"/>
    <w:rsid w:val="00F751B9"/>
    <w:rsid w:val="00F82B6F"/>
    <w:rsid w:val="00FA28CC"/>
    <w:rsid w:val="00FA5718"/>
    <w:rsid w:val="00FB1DCD"/>
    <w:rsid w:val="00FC13F3"/>
    <w:rsid w:val="00FC7AC5"/>
  </w:rsids>
  <m:mathPr>
    <m:mathFont m:val="Cambria Math"/>
    <m:brkBin m:val="before"/>
    <m:brkBinSub m:val="--"/>
    <m:smallFrac/>
    <m:dispDef/>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455B17"/>
  <w15:docId w15:val="{955DC5FF-C105-45B2-A6A2-7DB118E3E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563"/>
    <w:rPr>
      <w:rFonts w:ascii="Times New Roman" w:eastAsia="Times New Roman" w:hAnsi="Times New Roman" w:cs="Times New Roman"/>
      <w:sz w:val="20"/>
      <w:szCs w:val="20"/>
      <w:lang w:val="en-AU"/>
    </w:rPr>
  </w:style>
  <w:style w:type="paragraph" w:styleId="Heading1">
    <w:name w:val="heading 1"/>
    <w:basedOn w:val="Normal"/>
    <w:next w:val="Normal"/>
    <w:link w:val="Heading1Char"/>
    <w:uiPriority w:val="9"/>
    <w:qFormat/>
    <w:rsid w:val="00AC48F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1E1AD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3656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36563"/>
    <w:pPr>
      <w:spacing w:after="240"/>
      <w:outlineLvl w:val="0"/>
    </w:pPr>
    <w:rPr>
      <w:rFonts w:ascii="Trebuchet MS" w:hAnsi="Trebuchet MS"/>
      <w:b/>
      <w:kern w:val="28"/>
      <w:sz w:val="48"/>
    </w:rPr>
  </w:style>
  <w:style w:type="character" w:customStyle="1" w:styleId="TitleChar">
    <w:name w:val="Title Char"/>
    <w:basedOn w:val="DefaultParagraphFont"/>
    <w:link w:val="Title"/>
    <w:rsid w:val="00B36563"/>
    <w:rPr>
      <w:rFonts w:ascii="Trebuchet MS" w:eastAsia="Times New Roman" w:hAnsi="Trebuchet MS" w:cs="Times New Roman"/>
      <w:b/>
      <w:kern w:val="28"/>
      <w:sz w:val="48"/>
      <w:szCs w:val="20"/>
      <w:lang w:val="en-AU"/>
    </w:rPr>
  </w:style>
  <w:style w:type="paragraph" w:styleId="BodyText">
    <w:name w:val="Body Text"/>
    <w:basedOn w:val="Normal"/>
    <w:link w:val="BodyTextChar"/>
    <w:rsid w:val="00B36563"/>
    <w:pPr>
      <w:spacing w:after="120"/>
    </w:pPr>
    <w:rPr>
      <w:rFonts w:ascii="Garamond" w:hAnsi="Garamond"/>
      <w:sz w:val="24"/>
    </w:rPr>
  </w:style>
  <w:style w:type="character" w:customStyle="1" w:styleId="BodyTextChar">
    <w:name w:val="Body Text Char"/>
    <w:basedOn w:val="DefaultParagraphFont"/>
    <w:link w:val="BodyText"/>
    <w:rsid w:val="00B36563"/>
    <w:rPr>
      <w:rFonts w:ascii="Garamond" w:eastAsia="Times New Roman" w:hAnsi="Garamond" w:cs="Times New Roman"/>
      <w:szCs w:val="20"/>
      <w:lang w:val="en-AU"/>
    </w:rPr>
  </w:style>
  <w:style w:type="paragraph" w:customStyle="1" w:styleId="ScolName">
    <w:name w:val="ScolName"/>
    <w:basedOn w:val="Title"/>
    <w:rsid w:val="00B36563"/>
    <w:rPr>
      <w:sz w:val="32"/>
    </w:rPr>
  </w:style>
  <w:style w:type="paragraph" w:customStyle="1" w:styleId="Author">
    <w:name w:val="Author"/>
    <w:basedOn w:val="BodyText"/>
    <w:rsid w:val="00B36563"/>
    <w:rPr>
      <w:b/>
      <w:sz w:val="28"/>
    </w:rPr>
  </w:style>
  <w:style w:type="paragraph" w:customStyle="1" w:styleId="School">
    <w:name w:val="School"/>
    <w:basedOn w:val="Author"/>
    <w:rsid w:val="00B36563"/>
    <w:rPr>
      <w:b w:val="0"/>
    </w:rPr>
  </w:style>
  <w:style w:type="paragraph" w:styleId="Footer">
    <w:name w:val="footer"/>
    <w:basedOn w:val="BodyText"/>
    <w:link w:val="FooterChar"/>
    <w:rsid w:val="00B36563"/>
    <w:rPr>
      <w:rFonts w:eastAsia="Times"/>
    </w:rPr>
  </w:style>
  <w:style w:type="character" w:customStyle="1" w:styleId="FooterChar">
    <w:name w:val="Footer Char"/>
    <w:basedOn w:val="DefaultParagraphFont"/>
    <w:link w:val="Footer"/>
    <w:rsid w:val="00B36563"/>
    <w:rPr>
      <w:rFonts w:ascii="Garamond" w:eastAsia="Times" w:hAnsi="Garamond" w:cs="Times New Roman"/>
      <w:szCs w:val="20"/>
      <w:lang w:val="en-AU"/>
    </w:rPr>
  </w:style>
  <w:style w:type="paragraph" w:styleId="Header">
    <w:name w:val="header"/>
    <w:basedOn w:val="Heading3"/>
    <w:link w:val="HeaderChar"/>
    <w:rsid w:val="00B36563"/>
    <w:pPr>
      <w:autoSpaceDE w:val="0"/>
      <w:autoSpaceDN w:val="0"/>
      <w:adjustRightInd w:val="0"/>
      <w:spacing w:before="0"/>
      <w:outlineLvl w:val="0"/>
    </w:pPr>
    <w:rPr>
      <w:rFonts w:ascii="Trebuchet MS" w:eastAsia="Times New Roman" w:hAnsi="Trebuchet MS" w:cs="Times New Roman"/>
      <w:b w:val="0"/>
      <w:bCs w:val="0"/>
      <w:smallCaps/>
      <w:color w:val="000000"/>
      <w:kern w:val="28"/>
      <w:lang w:val="en-US"/>
    </w:rPr>
  </w:style>
  <w:style w:type="character" w:customStyle="1" w:styleId="HeaderChar">
    <w:name w:val="Header Char"/>
    <w:basedOn w:val="DefaultParagraphFont"/>
    <w:link w:val="Header"/>
    <w:rsid w:val="00B36563"/>
    <w:rPr>
      <w:rFonts w:ascii="Trebuchet MS" w:eastAsia="Times New Roman" w:hAnsi="Trebuchet MS" w:cs="Times New Roman"/>
      <w:smallCaps/>
      <w:color w:val="000000"/>
      <w:kern w:val="28"/>
      <w:sz w:val="20"/>
      <w:szCs w:val="20"/>
    </w:rPr>
  </w:style>
  <w:style w:type="character" w:customStyle="1" w:styleId="Heading3Char">
    <w:name w:val="Heading 3 Char"/>
    <w:basedOn w:val="DefaultParagraphFont"/>
    <w:link w:val="Heading3"/>
    <w:uiPriority w:val="9"/>
    <w:semiHidden/>
    <w:rsid w:val="00B36563"/>
    <w:rPr>
      <w:rFonts w:asciiTheme="majorHAnsi" w:eastAsiaTheme="majorEastAsia" w:hAnsiTheme="majorHAnsi" w:cstheme="majorBidi"/>
      <w:b/>
      <w:bCs/>
      <w:color w:val="4F81BD" w:themeColor="accent1"/>
      <w:sz w:val="20"/>
      <w:szCs w:val="20"/>
      <w:lang w:val="en-AU"/>
    </w:rPr>
  </w:style>
  <w:style w:type="paragraph" w:styleId="BalloonText">
    <w:name w:val="Balloon Text"/>
    <w:basedOn w:val="Normal"/>
    <w:link w:val="BalloonTextChar"/>
    <w:uiPriority w:val="99"/>
    <w:semiHidden/>
    <w:unhideWhenUsed/>
    <w:rsid w:val="00B365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6563"/>
    <w:rPr>
      <w:rFonts w:ascii="Lucida Grande" w:eastAsia="Times New Roman" w:hAnsi="Lucida Grande" w:cs="Lucida Grande"/>
      <w:sz w:val="18"/>
      <w:szCs w:val="18"/>
      <w:lang w:val="en-AU"/>
    </w:rPr>
  </w:style>
  <w:style w:type="character" w:styleId="Hyperlink">
    <w:name w:val="Hyperlink"/>
    <w:basedOn w:val="DefaultParagraphFont"/>
    <w:uiPriority w:val="99"/>
    <w:unhideWhenUsed/>
    <w:rsid w:val="007A2A5A"/>
    <w:rPr>
      <w:color w:val="0000FF" w:themeColor="hyperlink"/>
      <w:u w:val="single"/>
    </w:rPr>
  </w:style>
  <w:style w:type="character" w:styleId="FollowedHyperlink">
    <w:name w:val="FollowedHyperlink"/>
    <w:basedOn w:val="DefaultParagraphFont"/>
    <w:uiPriority w:val="99"/>
    <w:semiHidden/>
    <w:unhideWhenUsed/>
    <w:rsid w:val="007A2A5A"/>
    <w:rPr>
      <w:color w:val="800080" w:themeColor="followedHyperlink"/>
      <w:u w:val="single"/>
    </w:rPr>
  </w:style>
  <w:style w:type="paragraph" w:customStyle="1" w:styleId="article-title">
    <w:name w:val="article-title"/>
    <w:basedOn w:val="Normal"/>
    <w:rsid w:val="00F751B9"/>
    <w:pPr>
      <w:spacing w:before="100" w:beforeAutospacing="1" w:after="100" w:afterAutospacing="1"/>
    </w:pPr>
    <w:rPr>
      <w:rFonts w:ascii="Times" w:eastAsiaTheme="minorEastAsia" w:hAnsi="Times" w:cstheme="minorBidi"/>
    </w:rPr>
  </w:style>
  <w:style w:type="paragraph" w:styleId="NormalWeb">
    <w:name w:val="Normal (Web)"/>
    <w:basedOn w:val="Normal"/>
    <w:uiPriority w:val="99"/>
    <w:unhideWhenUsed/>
    <w:rsid w:val="00F751B9"/>
    <w:pPr>
      <w:spacing w:before="100" w:beforeAutospacing="1" w:after="100" w:afterAutospacing="1"/>
    </w:pPr>
    <w:rPr>
      <w:rFonts w:ascii="Times" w:eastAsiaTheme="minorEastAsia" w:hAnsi="Times"/>
    </w:rPr>
  </w:style>
  <w:style w:type="character" w:customStyle="1" w:styleId="Heading2Char">
    <w:name w:val="Heading 2 Char"/>
    <w:basedOn w:val="DefaultParagraphFont"/>
    <w:link w:val="Heading2"/>
    <w:uiPriority w:val="9"/>
    <w:semiHidden/>
    <w:rsid w:val="001E1ADE"/>
    <w:rPr>
      <w:rFonts w:asciiTheme="majorHAnsi" w:eastAsiaTheme="majorEastAsia" w:hAnsiTheme="majorHAnsi" w:cstheme="majorBidi"/>
      <w:b/>
      <w:bCs/>
      <w:color w:val="4F81BD" w:themeColor="accent1"/>
      <w:sz w:val="26"/>
      <w:szCs w:val="26"/>
      <w:lang w:val="en-AU"/>
    </w:rPr>
  </w:style>
  <w:style w:type="character" w:styleId="HTMLCite">
    <w:name w:val="HTML Cite"/>
    <w:basedOn w:val="DefaultParagraphFont"/>
    <w:uiPriority w:val="99"/>
    <w:semiHidden/>
    <w:unhideWhenUsed/>
    <w:rsid w:val="005D48C2"/>
    <w:rPr>
      <w:i/>
      <w:iCs/>
    </w:rPr>
  </w:style>
  <w:style w:type="character" w:customStyle="1" w:styleId="Heading1Char">
    <w:name w:val="Heading 1 Char"/>
    <w:basedOn w:val="DefaultParagraphFont"/>
    <w:link w:val="Heading1"/>
    <w:uiPriority w:val="9"/>
    <w:rsid w:val="00AC48F9"/>
    <w:rPr>
      <w:rFonts w:asciiTheme="majorHAnsi" w:eastAsiaTheme="majorEastAsia" w:hAnsiTheme="majorHAnsi" w:cstheme="majorBidi"/>
      <w:b/>
      <w:bCs/>
      <w:color w:val="345A8A" w:themeColor="accent1" w:themeShade="B5"/>
      <w:sz w:val="32"/>
      <w:szCs w:val="32"/>
      <w:lang w:val="en-AU"/>
    </w:rPr>
  </w:style>
  <w:style w:type="paragraph" w:styleId="ListParagraph">
    <w:name w:val="List Paragraph"/>
    <w:basedOn w:val="Normal"/>
    <w:uiPriority w:val="34"/>
    <w:qFormat/>
    <w:rsid w:val="00B54F5F"/>
    <w:pPr>
      <w:ind w:left="720"/>
      <w:contextualSpacing/>
    </w:pPr>
  </w:style>
  <w:style w:type="character" w:styleId="CommentReference">
    <w:name w:val="annotation reference"/>
    <w:basedOn w:val="DefaultParagraphFont"/>
    <w:uiPriority w:val="99"/>
    <w:semiHidden/>
    <w:unhideWhenUsed/>
    <w:rsid w:val="0014670E"/>
    <w:rPr>
      <w:sz w:val="16"/>
      <w:szCs w:val="16"/>
    </w:rPr>
  </w:style>
  <w:style w:type="paragraph" w:styleId="CommentText">
    <w:name w:val="annotation text"/>
    <w:basedOn w:val="Normal"/>
    <w:link w:val="CommentTextChar"/>
    <w:uiPriority w:val="99"/>
    <w:semiHidden/>
    <w:unhideWhenUsed/>
    <w:rsid w:val="0014670E"/>
  </w:style>
  <w:style w:type="character" w:customStyle="1" w:styleId="CommentTextChar">
    <w:name w:val="Comment Text Char"/>
    <w:basedOn w:val="DefaultParagraphFont"/>
    <w:link w:val="CommentText"/>
    <w:uiPriority w:val="99"/>
    <w:semiHidden/>
    <w:rsid w:val="0014670E"/>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14670E"/>
    <w:rPr>
      <w:b/>
      <w:bCs/>
    </w:rPr>
  </w:style>
  <w:style w:type="character" w:customStyle="1" w:styleId="CommentSubjectChar">
    <w:name w:val="Comment Subject Char"/>
    <w:basedOn w:val="CommentTextChar"/>
    <w:link w:val="CommentSubject"/>
    <w:uiPriority w:val="99"/>
    <w:semiHidden/>
    <w:rsid w:val="0014670E"/>
    <w:rPr>
      <w:rFonts w:ascii="Times New Roman" w:eastAsia="Times New Roman" w:hAnsi="Times New Roman" w:cs="Times New Roman"/>
      <w:b/>
      <w:bCs/>
      <w:sz w:val="20"/>
      <w:szCs w:val="20"/>
      <w:lang w:val="en-AU"/>
    </w:rPr>
  </w:style>
  <w:style w:type="paragraph" w:styleId="Revision">
    <w:name w:val="Revision"/>
    <w:hidden/>
    <w:uiPriority w:val="99"/>
    <w:semiHidden/>
    <w:rsid w:val="00A965A1"/>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092092">
      <w:bodyDiv w:val="1"/>
      <w:marLeft w:val="0"/>
      <w:marRight w:val="0"/>
      <w:marTop w:val="0"/>
      <w:marBottom w:val="0"/>
      <w:divBdr>
        <w:top w:val="none" w:sz="0" w:space="0" w:color="auto"/>
        <w:left w:val="none" w:sz="0" w:space="0" w:color="auto"/>
        <w:bottom w:val="none" w:sz="0" w:space="0" w:color="auto"/>
        <w:right w:val="none" w:sz="0" w:space="0" w:color="auto"/>
      </w:divBdr>
    </w:div>
    <w:div w:id="326982080">
      <w:bodyDiv w:val="1"/>
      <w:marLeft w:val="0"/>
      <w:marRight w:val="0"/>
      <w:marTop w:val="0"/>
      <w:marBottom w:val="0"/>
      <w:divBdr>
        <w:top w:val="none" w:sz="0" w:space="0" w:color="auto"/>
        <w:left w:val="none" w:sz="0" w:space="0" w:color="auto"/>
        <w:bottom w:val="none" w:sz="0" w:space="0" w:color="auto"/>
        <w:right w:val="none" w:sz="0" w:space="0" w:color="auto"/>
      </w:divBdr>
    </w:div>
    <w:div w:id="334841143">
      <w:bodyDiv w:val="1"/>
      <w:marLeft w:val="0"/>
      <w:marRight w:val="0"/>
      <w:marTop w:val="0"/>
      <w:marBottom w:val="0"/>
      <w:divBdr>
        <w:top w:val="none" w:sz="0" w:space="0" w:color="auto"/>
        <w:left w:val="none" w:sz="0" w:space="0" w:color="auto"/>
        <w:bottom w:val="none" w:sz="0" w:space="0" w:color="auto"/>
        <w:right w:val="none" w:sz="0" w:space="0" w:color="auto"/>
      </w:divBdr>
    </w:div>
    <w:div w:id="407315061">
      <w:bodyDiv w:val="1"/>
      <w:marLeft w:val="0"/>
      <w:marRight w:val="0"/>
      <w:marTop w:val="0"/>
      <w:marBottom w:val="0"/>
      <w:divBdr>
        <w:top w:val="none" w:sz="0" w:space="0" w:color="auto"/>
        <w:left w:val="none" w:sz="0" w:space="0" w:color="auto"/>
        <w:bottom w:val="none" w:sz="0" w:space="0" w:color="auto"/>
        <w:right w:val="none" w:sz="0" w:space="0" w:color="auto"/>
      </w:divBdr>
      <w:divsChild>
        <w:div w:id="233244496">
          <w:marLeft w:val="0"/>
          <w:marRight w:val="0"/>
          <w:marTop w:val="0"/>
          <w:marBottom w:val="0"/>
          <w:divBdr>
            <w:top w:val="none" w:sz="0" w:space="0" w:color="auto"/>
            <w:left w:val="none" w:sz="0" w:space="0" w:color="auto"/>
            <w:bottom w:val="none" w:sz="0" w:space="0" w:color="auto"/>
            <w:right w:val="none" w:sz="0" w:space="0" w:color="auto"/>
          </w:divBdr>
          <w:divsChild>
            <w:div w:id="517499114">
              <w:marLeft w:val="0"/>
              <w:marRight w:val="0"/>
              <w:marTop w:val="0"/>
              <w:marBottom w:val="0"/>
              <w:divBdr>
                <w:top w:val="none" w:sz="0" w:space="0" w:color="auto"/>
                <w:left w:val="none" w:sz="0" w:space="0" w:color="auto"/>
                <w:bottom w:val="none" w:sz="0" w:space="0" w:color="auto"/>
                <w:right w:val="none" w:sz="0" w:space="0" w:color="auto"/>
              </w:divBdr>
              <w:divsChild>
                <w:div w:id="165302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767968">
      <w:bodyDiv w:val="1"/>
      <w:marLeft w:val="0"/>
      <w:marRight w:val="0"/>
      <w:marTop w:val="0"/>
      <w:marBottom w:val="0"/>
      <w:divBdr>
        <w:top w:val="none" w:sz="0" w:space="0" w:color="auto"/>
        <w:left w:val="none" w:sz="0" w:space="0" w:color="auto"/>
        <w:bottom w:val="none" w:sz="0" w:space="0" w:color="auto"/>
        <w:right w:val="none" w:sz="0" w:space="0" w:color="auto"/>
      </w:divBdr>
    </w:div>
    <w:div w:id="611984473">
      <w:bodyDiv w:val="1"/>
      <w:marLeft w:val="0"/>
      <w:marRight w:val="0"/>
      <w:marTop w:val="0"/>
      <w:marBottom w:val="0"/>
      <w:divBdr>
        <w:top w:val="none" w:sz="0" w:space="0" w:color="auto"/>
        <w:left w:val="none" w:sz="0" w:space="0" w:color="auto"/>
        <w:bottom w:val="none" w:sz="0" w:space="0" w:color="auto"/>
        <w:right w:val="none" w:sz="0" w:space="0" w:color="auto"/>
      </w:divBdr>
    </w:div>
    <w:div w:id="627704877">
      <w:bodyDiv w:val="1"/>
      <w:marLeft w:val="0"/>
      <w:marRight w:val="0"/>
      <w:marTop w:val="0"/>
      <w:marBottom w:val="0"/>
      <w:divBdr>
        <w:top w:val="none" w:sz="0" w:space="0" w:color="auto"/>
        <w:left w:val="none" w:sz="0" w:space="0" w:color="auto"/>
        <w:bottom w:val="none" w:sz="0" w:space="0" w:color="auto"/>
        <w:right w:val="none" w:sz="0" w:space="0" w:color="auto"/>
      </w:divBdr>
    </w:div>
    <w:div w:id="695350557">
      <w:bodyDiv w:val="1"/>
      <w:marLeft w:val="0"/>
      <w:marRight w:val="0"/>
      <w:marTop w:val="0"/>
      <w:marBottom w:val="0"/>
      <w:divBdr>
        <w:top w:val="none" w:sz="0" w:space="0" w:color="auto"/>
        <w:left w:val="none" w:sz="0" w:space="0" w:color="auto"/>
        <w:bottom w:val="none" w:sz="0" w:space="0" w:color="auto"/>
        <w:right w:val="none" w:sz="0" w:space="0" w:color="auto"/>
      </w:divBdr>
    </w:div>
    <w:div w:id="747194558">
      <w:bodyDiv w:val="1"/>
      <w:marLeft w:val="0"/>
      <w:marRight w:val="0"/>
      <w:marTop w:val="0"/>
      <w:marBottom w:val="0"/>
      <w:divBdr>
        <w:top w:val="none" w:sz="0" w:space="0" w:color="auto"/>
        <w:left w:val="none" w:sz="0" w:space="0" w:color="auto"/>
        <w:bottom w:val="none" w:sz="0" w:space="0" w:color="auto"/>
        <w:right w:val="none" w:sz="0" w:space="0" w:color="auto"/>
      </w:divBdr>
    </w:div>
    <w:div w:id="786001395">
      <w:bodyDiv w:val="1"/>
      <w:marLeft w:val="0"/>
      <w:marRight w:val="0"/>
      <w:marTop w:val="0"/>
      <w:marBottom w:val="0"/>
      <w:divBdr>
        <w:top w:val="none" w:sz="0" w:space="0" w:color="auto"/>
        <w:left w:val="none" w:sz="0" w:space="0" w:color="auto"/>
        <w:bottom w:val="none" w:sz="0" w:space="0" w:color="auto"/>
        <w:right w:val="none" w:sz="0" w:space="0" w:color="auto"/>
      </w:divBdr>
    </w:div>
    <w:div w:id="825367093">
      <w:bodyDiv w:val="1"/>
      <w:marLeft w:val="0"/>
      <w:marRight w:val="0"/>
      <w:marTop w:val="0"/>
      <w:marBottom w:val="0"/>
      <w:divBdr>
        <w:top w:val="none" w:sz="0" w:space="0" w:color="auto"/>
        <w:left w:val="none" w:sz="0" w:space="0" w:color="auto"/>
        <w:bottom w:val="none" w:sz="0" w:space="0" w:color="auto"/>
        <w:right w:val="none" w:sz="0" w:space="0" w:color="auto"/>
      </w:divBdr>
    </w:div>
    <w:div w:id="848106296">
      <w:bodyDiv w:val="1"/>
      <w:marLeft w:val="0"/>
      <w:marRight w:val="0"/>
      <w:marTop w:val="0"/>
      <w:marBottom w:val="0"/>
      <w:divBdr>
        <w:top w:val="none" w:sz="0" w:space="0" w:color="auto"/>
        <w:left w:val="none" w:sz="0" w:space="0" w:color="auto"/>
        <w:bottom w:val="none" w:sz="0" w:space="0" w:color="auto"/>
        <w:right w:val="none" w:sz="0" w:space="0" w:color="auto"/>
      </w:divBdr>
      <w:divsChild>
        <w:div w:id="591917">
          <w:marLeft w:val="0"/>
          <w:marRight w:val="0"/>
          <w:marTop w:val="0"/>
          <w:marBottom w:val="0"/>
          <w:divBdr>
            <w:top w:val="none" w:sz="0" w:space="0" w:color="auto"/>
            <w:left w:val="none" w:sz="0" w:space="0" w:color="auto"/>
            <w:bottom w:val="none" w:sz="0" w:space="0" w:color="auto"/>
            <w:right w:val="none" w:sz="0" w:space="0" w:color="auto"/>
          </w:divBdr>
          <w:divsChild>
            <w:div w:id="2247812">
              <w:marLeft w:val="0"/>
              <w:marRight w:val="0"/>
              <w:marTop w:val="0"/>
              <w:marBottom w:val="0"/>
              <w:divBdr>
                <w:top w:val="none" w:sz="0" w:space="0" w:color="auto"/>
                <w:left w:val="none" w:sz="0" w:space="0" w:color="auto"/>
                <w:bottom w:val="none" w:sz="0" w:space="0" w:color="auto"/>
                <w:right w:val="none" w:sz="0" w:space="0" w:color="auto"/>
              </w:divBdr>
              <w:divsChild>
                <w:div w:id="32841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46070">
      <w:bodyDiv w:val="1"/>
      <w:marLeft w:val="0"/>
      <w:marRight w:val="0"/>
      <w:marTop w:val="0"/>
      <w:marBottom w:val="0"/>
      <w:divBdr>
        <w:top w:val="none" w:sz="0" w:space="0" w:color="auto"/>
        <w:left w:val="none" w:sz="0" w:space="0" w:color="auto"/>
        <w:bottom w:val="none" w:sz="0" w:space="0" w:color="auto"/>
        <w:right w:val="none" w:sz="0" w:space="0" w:color="auto"/>
      </w:divBdr>
    </w:div>
    <w:div w:id="947737644">
      <w:bodyDiv w:val="1"/>
      <w:marLeft w:val="0"/>
      <w:marRight w:val="0"/>
      <w:marTop w:val="0"/>
      <w:marBottom w:val="0"/>
      <w:divBdr>
        <w:top w:val="none" w:sz="0" w:space="0" w:color="auto"/>
        <w:left w:val="none" w:sz="0" w:space="0" w:color="auto"/>
        <w:bottom w:val="none" w:sz="0" w:space="0" w:color="auto"/>
        <w:right w:val="none" w:sz="0" w:space="0" w:color="auto"/>
      </w:divBdr>
    </w:div>
    <w:div w:id="1061365733">
      <w:bodyDiv w:val="1"/>
      <w:marLeft w:val="0"/>
      <w:marRight w:val="0"/>
      <w:marTop w:val="0"/>
      <w:marBottom w:val="0"/>
      <w:divBdr>
        <w:top w:val="none" w:sz="0" w:space="0" w:color="auto"/>
        <w:left w:val="none" w:sz="0" w:space="0" w:color="auto"/>
        <w:bottom w:val="none" w:sz="0" w:space="0" w:color="auto"/>
        <w:right w:val="none" w:sz="0" w:space="0" w:color="auto"/>
      </w:divBdr>
    </w:div>
    <w:div w:id="1135567439">
      <w:bodyDiv w:val="1"/>
      <w:marLeft w:val="0"/>
      <w:marRight w:val="0"/>
      <w:marTop w:val="0"/>
      <w:marBottom w:val="0"/>
      <w:divBdr>
        <w:top w:val="none" w:sz="0" w:space="0" w:color="auto"/>
        <w:left w:val="none" w:sz="0" w:space="0" w:color="auto"/>
        <w:bottom w:val="none" w:sz="0" w:space="0" w:color="auto"/>
        <w:right w:val="none" w:sz="0" w:space="0" w:color="auto"/>
      </w:divBdr>
    </w:div>
    <w:div w:id="1188642606">
      <w:bodyDiv w:val="1"/>
      <w:marLeft w:val="0"/>
      <w:marRight w:val="0"/>
      <w:marTop w:val="0"/>
      <w:marBottom w:val="0"/>
      <w:divBdr>
        <w:top w:val="none" w:sz="0" w:space="0" w:color="auto"/>
        <w:left w:val="none" w:sz="0" w:space="0" w:color="auto"/>
        <w:bottom w:val="none" w:sz="0" w:space="0" w:color="auto"/>
        <w:right w:val="none" w:sz="0" w:space="0" w:color="auto"/>
      </w:divBdr>
    </w:div>
    <w:div w:id="1421441691">
      <w:bodyDiv w:val="1"/>
      <w:marLeft w:val="0"/>
      <w:marRight w:val="0"/>
      <w:marTop w:val="0"/>
      <w:marBottom w:val="0"/>
      <w:divBdr>
        <w:top w:val="none" w:sz="0" w:space="0" w:color="auto"/>
        <w:left w:val="none" w:sz="0" w:space="0" w:color="auto"/>
        <w:bottom w:val="none" w:sz="0" w:space="0" w:color="auto"/>
        <w:right w:val="none" w:sz="0" w:space="0" w:color="auto"/>
      </w:divBdr>
    </w:div>
    <w:div w:id="1525510787">
      <w:bodyDiv w:val="1"/>
      <w:marLeft w:val="0"/>
      <w:marRight w:val="0"/>
      <w:marTop w:val="0"/>
      <w:marBottom w:val="0"/>
      <w:divBdr>
        <w:top w:val="none" w:sz="0" w:space="0" w:color="auto"/>
        <w:left w:val="none" w:sz="0" w:space="0" w:color="auto"/>
        <w:bottom w:val="none" w:sz="0" w:space="0" w:color="auto"/>
        <w:right w:val="none" w:sz="0" w:space="0" w:color="auto"/>
      </w:divBdr>
    </w:div>
    <w:div w:id="1732849357">
      <w:bodyDiv w:val="1"/>
      <w:marLeft w:val="0"/>
      <w:marRight w:val="0"/>
      <w:marTop w:val="0"/>
      <w:marBottom w:val="0"/>
      <w:divBdr>
        <w:top w:val="none" w:sz="0" w:space="0" w:color="auto"/>
        <w:left w:val="none" w:sz="0" w:space="0" w:color="auto"/>
        <w:bottom w:val="none" w:sz="0" w:space="0" w:color="auto"/>
        <w:right w:val="none" w:sz="0" w:space="0" w:color="auto"/>
      </w:divBdr>
    </w:div>
    <w:div w:id="1754087855">
      <w:bodyDiv w:val="1"/>
      <w:marLeft w:val="0"/>
      <w:marRight w:val="0"/>
      <w:marTop w:val="0"/>
      <w:marBottom w:val="0"/>
      <w:divBdr>
        <w:top w:val="none" w:sz="0" w:space="0" w:color="auto"/>
        <w:left w:val="none" w:sz="0" w:space="0" w:color="auto"/>
        <w:bottom w:val="none" w:sz="0" w:space="0" w:color="auto"/>
        <w:right w:val="none" w:sz="0" w:space="0" w:color="auto"/>
      </w:divBdr>
    </w:div>
    <w:div w:id="1839885734">
      <w:bodyDiv w:val="1"/>
      <w:marLeft w:val="0"/>
      <w:marRight w:val="0"/>
      <w:marTop w:val="0"/>
      <w:marBottom w:val="0"/>
      <w:divBdr>
        <w:top w:val="none" w:sz="0" w:space="0" w:color="auto"/>
        <w:left w:val="none" w:sz="0" w:space="0" w:color="auto"/>
        <w:bottom w:val="none" w:sz="0" w:space="0" w:color="auto"/>
        <w:right w:val="none" w:sz="0" w:space="0" w:color="auto"/>
      </w:divBdr>
    </w:div>
    <w:div w:id="1884706677">
      <w:bodyDiv w:val="1"/>
      <w:marLeft w:val="0"/>
      <w:marRight w:val="0"/>
      <w:marTop w:val="0"/>
      <w:marBottom w:val="0"/>
      <w:divBdr>
        <w:top w:val="none" w:sz="0" w:space="0" w:color="auto"/>
        <w:left w:val="none" w:sz="0" w:space="0" w:color="auto"/>
        <w:bottom w:val="none" w:sz="0" w:space="0" w:color="auto"/>
        <w:right w:val="none" w:sz="0" w:space="0" w:color="auto"/>
      </w:divBdr>
      <w:divsChild>
        <w:div w:id="1820413407">
          <w:marLeft w:val="0"/>
          <w:marRight w:val="0"/>
          <w:marTop w:val="0"/>
          <w:marBottom w:val="0"/>
          <w:divBdr>
            <w:top w:val="none" w:sz="0" w:space="0" w:color="auto"/>
            <w:left w:val="none" w:sz="0" w:space="0" w:color="auto"/>
            <w:bottom w:val="none" w:sz="0" w:space="0" w:color="auto"/>
            <w:right w:val="none" w:sz="0" w:space="0" w:color="auto"/>
          </w:divBdr>
          <w:divsChild>
            <w:div w:id="1138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4148">
      <w:bodyDiv w:val="1"/>
      <w:marLeft w:val="0"/>
      <w:marRight w:val="0"/>
      <w:marTop w:val="0"/>
      <w:marBottom w:val="0"/>
      <w:divBdr>
        <w:top w:val="none" w:sz="0" w:space="0" w:color="auto"/>
        <w:left w:val="none" w:sz="0" w:space="0" w:color="auto"/>
        <w:bottom w:val="none" w:sz="0" w:space="0" w:color="auto"/>
        <w:right w:val="none" w:sz="0" w:space="0" w:color="auto"/>
      </w:divBdr>
    </w:div>
    <w:div w:id="19385576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mh.com.au/national/disadvantaged-caught-in-the-lender-trap-20131116-2xnhb.html" TargetMode="External"/><Relationship Id="rId18" Type="http://schemas.openxmlformats.org/officeDocument/2006/relationships/hyperlink" Target="https://www.chicagofed.org/education/econ-explorers" TargetMode="External"/><Relationship Id="rId3" Type="http://schemas.openxmlformats.org/officeDocument/2006/relationships/styles" Target="styles.xml"/><Relationship Id="rId21" Type="http://schemas.openxmlformats.org/officeDocument/2006/relationships/hyperlink" Target="https://moneythink.org/the-problem/" TargetMode="External"/><Relationship Id="rId7" Type="http://schemas.openxmlformats.org/officeDocument/2006/relationships/endnotes" Target="endnotes.xml"/><Relationship Id="rId12" Type="http://schemas.openxmlformats.org/officeDocument/2006/relationships/hyperlink" Target="http://www.canberratimes.com.au/comment/credit-cards-a-case-of-too-much-interest-but-too-little-attention-20131221-2zrq4.html" TargetMode="External"/><Relationship Id="rId17" Type="http://schemas.openxmlformats.org/officeDocument/2006/relationships/hyperlink" Target="https://www.chicagofed.org/education/money-museum/virtual-money-museum" TargetMode="External"/><Relationship Id="rId2" Type="http://schemas.openxmlformats.org/officeDocument/2006/relationships/numbering" Target="numbering.xml"/><Relationship Id="rId16" Type="http://schemas.openxmlformats.org/officeDocument/2006/relationships/hyperlink" Target="https://www.chicagofed.org/education/money-museum/index" TargetMode="External"/><Relationship Id="rId20" Type="http://schemas.openxmlformats.org/officeDocument/2006/relationships/hyperlink" Target="https://moneythink.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neysmart.gov.au/borrowing-and-credit/credit-cards/credit-card-debt-cloc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oaf.org/publications-collections" TargetMode="External"/><Relationship Id="rId23" Type="http://schemas.openxmlformats.org/officeDocument/2006/relationships/fontTable" Target="fontTable.xml"/><Relationship Id="rId10" Type="http://schemas.openxmlformats.org/officeDocument/2006/relationships/hyperlink" Target="https://www.nab.com.au/content/dam/nabrwd/documents/reports/financial/2013-measuring-financial-exclusion-in-australia.pdf" TargetMode="External"/><Relationship Id="rId19" Type="http://schemas.openxmlformats.org/officeDocument/2006/relationships/hyperlink" Target="http://themoneycharity.org.uk/resources/" TargetMode="External"/><Relationship Id="rId4" Type="http://schemas.openxmlformats.org/officeDocument/2006/relationships/settings" Target="settings.xml"/><Relationship Id="rId9" Type="http://schemas.openxmlformats.org/officeDocument/2006/relationships/hyperlink" Target="http://www.abc.net.au/news/2013-10-30/study-work-fulltime-australians-youth-unemployment/5056224" TargetMode="External"/><Relationship Id="rId14" Type="http://schemas.openxmlformats.org/officeDocument/2006/relationships/hyperlink" Target="https://www.moaf.or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B2580-378C-4208-983D-BDEDAEBD4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8</Pages>
  <Words>3752</Words>
  <Characters>21391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SPMC</Company>
  <LinksUpToDate>false</LinksUpToDate>
  <CharactersWithSpaces>25093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Gray</dc:creator>
  <cp:lastModifiedBy>Kylie Hoss</cp:lastModifiedBy>
  <cp:revision>4</cp:revision>
  <dcterms:created xsi:type="dcterms:W3CDTF">2020-05-21T01:20:00Z</dcterms:created>
  <dcterms:modified xsi:type="dcterms:W3CDTF">2020-06-11T03:48:00Z</dcterms:modified>
</cp:coreProperties>
</file>