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D6" w:rsidRDefault="00EC0ED6" w:rsidP="00EC0ED6">
      <w:bookmarkStart w:id="0" w:name="_GoBack"/>
      <w:bookmarkEnd w:id="0"/>
      <w:r>
        <w:rPr>
          <w:noProof/>
          <w:lang w:eastAsia="en-AU"/>
        </w:rPr>
        <w:drawing>
          <wp:inline distT="0" distB="0" distL="0" distR="0" wp14:anchorId="3220112F" wp14:editId="1340130A">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477517" w:rsidP="0090533A">
      <w:pPr>
        <w:pStyle w:val="Pre-Title"/>
      </w:pPr>
      <w:r>
        <w:t>Pre</w:t>
      </w:r>
      <w:r w:rsidR="00216069">
        <w:t>mier’s Anika Foundation Youth Depression Awareness Scholarship</w:t>
      </w:r>
    </w:p>
    <w:p w:rsidR="00ED3B04" w:rsidRPr="00C509F6" w:rsidRDefault="00216069" w:rsidP="00C509F6">
      <w:pPr>
        <w:pStyle w:val="Title"/>
      </w:pPr>
      <w:r>
        <w:t xml:space="preserve">It’s </w:t>
      </w:r>
      <w:proofErr w:type="gramStart"/>
      <w:r>
        <w:t>Not</w:t>
      </w:r>
      <w:proofErr w:type="gramEnd"/>
      <w:r>
        <w:t xml:space="preserve"> all in the Mind</w:t>
      </w:r>
    </w:p>
    <w:p w:rsidR="00ED3B04" w:rsidRPr="001450C0" w:rsidRDefault="00216069" w:rsidP="00ED3B04">
      <w:pPr>
        <w:pStyle w:val="Subtitle"/>
        <w:rPr>
          <w:rFonts w:eastAsia="Tahoma"/>
        </w:rPr>
      </w:pPr>
      <w:r>
        <w:rPr>
          <w:rFonts w:eastAsia="Tahoma"/>
        </w:rPr>
        <w:t>Depression is a brain and body based condition</w:t>
      </w:r>
    </w:p>
    <w:p w:rsidR="00ED3B04" w:rsidRPr="00943538" w:rsidRDefault="00216069" w:rsidP="006E2817">
      <w:pPr>
        <w:pStyle w:val="Author"/>
      </w:pPr>
      <w:r>
        <w:t>Sandra Scott</w:t>
      </w:r>
    </w:p>
    <w:p w:rsidR="00ED3B04" w:rsidRDefault="00216069" w:rsidP="00ED3B04">
      <w:r>
        <w:t>School Counsellor, North Sydney Girls High School</w:t>
      </w:r>
    </w:p>
    <w:p w:rsidR="00ED3B04" w:rsidRDefault="00ED3B04" w:rsidP="006E2817">
      <w:pPr>
        <w:pStyle w:val="Sponsor"/>
      </w:pPr>
      <w:r w:rsidRPr="001450C0">
        <w:t>Sponsored by</w:t>
      </w:r>
    </w:p>
    <w:p w:rsidR="00EC0ED6" w:rsidRDefault="00BB1567" w:rsidP="000255B4">
      <w:sdt>
        <w:sdtPr>
          <w:rPr>
            <w:noProof/>
            <w:lang w:eastAsia="en-AU"/>
          </w:rPr>
          <w:id w:val="56749334"/>
          <w:picture/>
        </w:sdtPr>
        <w:sdtEndPr/>
        <w:sdtContent>
          <w:r w:rsidR="00216069">
            <w:rPr>
              <w:noProof/>
              <w:lang w:eastAsia="en-AU"/>
            </w:rPr>
            <w:drawing>
              <wp:inline distT="0" distB="0" distL="0" distR="0" wp14:anchorId="24D0462A" wp14:editId="6520865B">
                <wp:extent cx="1580591" cy="596900"/>
                <wp:effectExtent l="0" t="0" r="635" b="0"/>
                <wp:docPr id="4" name="Picture 4" descr="The Anika Foundaton, Supporting research into adolescent depression" title="Anik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ka foundation logo with hand.jpg"/>
                        <pic:cNvPicPr/>
                      </pic:nvPicPr>
                      <pic:blipFill>
                        <a:blip r:embed="rId9">
                          <a:extLst>
                            <a:ext uri="{28A0092B-C50C-407E-A947-70E740481C1C}">
                              <a14:useLocalDpi xmlns:a14="http://schemas.microsoft.com/office/drawing/2010/main" val="0"/>
                            </a:ext>
                          </a:extLst>
                        </a:blip>
                        <a:stretch>
                          <a:fillRect/>
                        </a:stretch>
                      </pic:blipFill>
                      <pic:spPr>
                        <a:xfrm>
                          <a:off x="0" y="0"/>
                          <a:ext cx="1617748" cy="610932"/>
                        </a:xfrm>
                        <a:prstGeom prst="rect">
                          <a:avLst/>
                        </a:prstGeom>
                      </pic:spPr>
                    </pic:pic>
                  </a:graphicData>
                </a:graphic>
              </wp:inline>
            </w:drawing>
          </w:r>
        </w:sdtContent>
      </w:sdt>
    </w:p>
    <w:p w:rsidR="00F1653C" w:rsidRPr="00EC0ED6" w:rsidRDefault="00F1653C" w:rsidP="000255B4">
      <w:pPr>
        <w:sectPr w:rsidR="00F1653C" w:rsidRPr="00EC0ED6" w:rsidSect="000255B4">
          <w:footerReference w:type="default" r:id="rId10"/>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216069" w:rsidRPr="00303AFB" w:rsidRDefault="00216069" w:rsidP="00216069">
      <w:r>
        <w:t xml:space="preserve">The project title and premise </w:t>
      </w:r>
      <w:proofErr w:type="gramStart"/>
      <w:r w:rsidRPr="0059123B">
        <w:t>It’s</w:t>
      </w:r>
      <w:proofErr w:type="gramEnd"/>
      <w:r w:rsidRPr="0059123B">
        <w:t xml:space="preserve"> Not all in the Mind</w:t>
      </w:r>
      <w:r>
        <w:t xml:space="preserve"> seeks to broaden awareness of depression as both a brain and body based condition. Research on causation has developed well beyond the serotonin model, a simple chemical imbalance, to recognise a complex interaction of body systems, especially implicating the influence of the gut-brain axis, the hypothalamus-pituitary-adrenal-axis, immune and mitochondrial function. Genetics is a factor, especially in the most resistant presentations, but epigenetics, the impact of environment on gene expression is explaining how </w:t>
      </w:r>
      <w:r w:rsidRPr="0059123B">
        <w:t>we may all have much greater agency over physical and mental health outcomes than previously thought</w:t>
      </w:r>
      <w:r w:rsidRPr="00303AFB">
        <w:t>.</w:t>
      </w:r>
    </w:p>
    <w:p w:rsidR="00216069" w:rsidRPr="0059123B" w:rsidRDefault="00216069" w:rsidP="00216069">
      <w:r>
        <w:t xml:space="preserve">Resilience to depression is achieved, not only through attention to our thought processes, feelings and behaviours, but at the fundamental level of cellular health. Raising awareness of the bidirectional mind/body influence, is important to challenging the pervading myth and stigma that mental illness is a trait </w:t>
      </w:r>
      <w:proofErr w:type="gramStart"/>
      <w:r>
        <w:t>of  a</w:t>
      </w:r>
      <w:proofErr w:type="gramEnd"/>
      <w:r>
        <w:t xml:space="preserve"> weak mind or indulgence to be resolved by a change of attitude. Better psycho-education about everyday environmental factors which contribute to an individual’s</w:t>
      </w:r>
      <w:r w:rsidR="00C55021">
        <w:t xml:space="preserve"> stress burden and risk profile</w:t>
      </w:r>
      <w:r>
        <w:t xml:space="preserve"> may assist in normalising mental illness. </w:t>
      </w:r>
      <w:r w:rsidRPr="0059123B">
        <w:t xml:space="preserve">Access to a wider variety of socially palatable prevention and treatment modalities is required to </w:t>
      </w:r>
      <w:proofErr w:type="spellStart"/>
      <w:r w:rsidRPr="0059123B">
        <w:t>depathologise</w:t>
      </w:r>
      <w:proofErr w:type="spellEnd"/>
      <w:r w:rsidRPr="0059123B">
        <w:t xml:space="preserve">, destigmatise and give agency back to the individual. </w:t>
      </w:r>
    </w:p>
    <w:p w:rsidR="00216069" w:rsidRDefault="00216069" w:rsidP="00216069">
      <w:r w:rsidRPr="0059123B">
        <w:t>The education sector must step up as a major player, not only in prevention, but effective triage and ongoing support after mental health related school absence.</w:t>
      </w:r>
      <w:r>
        <w:t xml:space="preserve"> T</w:t>
      </w:r>
      <w:r w:rsidRPr="00733619">
        <w:t xml:space="preserve">he number of young Australians seeking help </w:t>
      </w:r>
      <w:r>
        <w:t xml:space="preserve">has </w:t>
      </w:r>
      <w:r w:rsidRPr="00733619">
        <w:t xml:space="preserve">doubled compared with 15 years ago, and </w:t>
      </w:r>
      <w:r w:rsidRPr="000F1BA9">
        <w:t>positive activities such as sports, exercise and healthy eating are now beating alcohol, drugs and smoking as the preferred way to handle mental health issues for the majority of teens</w:t>
      </w:r>
      <w:r>
        <w:t xml:space="preserve"> (Ley, 2015). Adolescents at an impressionable and self-conscious age of identity formation, need and want positive and socially engaged ways to cope with their challenges. </w:t>
      </w:r>
      <w:r w:rsidRPr="0059123B">
        <w:t xml:space="preserve">Our current, </w:t>
      </w:r>
      <w:proofErr w:type="spellStart"/>
      <w:r w:rsidRPr="0059123B">
        <w:t>pathologizing</w:t>
      </w:r>
      <w:proofErr w:type="spellEnd"/>
      <w:r w:rsidRPr="0059123B">
        <w:t xml:space="preserve"> mode</w:t>
      </w:r>
      <w:r w:rsidR="00C55021">
        <w:t>l of care is not youth friendly</w:t>
      </w:r>
      <w:r w:rsidRPr="0059123B">
        <w:t xml:space="preserve"> nor culturally sensitive and it needs to change</w:t>
      </w:r>
      <w:r w:rsidRPr="00216069">
        <w:t>.</w:t>
      </w:r>
      <w:r>
        <w:t xml:space="preserve"> Funnelling young people through medical practitioners for individual mental health care plans </w:t>
      </w:r>
      <w:r w:rsidR="006E2DB6">
        <w:t xml:space="preserve">(MHCP) </w:t>
      </w:r>
      <w:r>
        <w:t>and hospital emergency departments to access psychological services is highly confronting. Psychology has more to of</w:t>
      </w:r>
      <w:r w:rsidR="00524CC4">
        <w:t xml:space="preserve">fer young people than </w:t>
      </w:r>
      <w:r w:rsidR="00524CC4" w:rsidRPr="00524CC4">
        <w:t>pathology;</w:t>
      </w:r>
      <w:r w:rsidRPr="00524CC4">
        <w:t xml:space="preserve"> it’s time</w:t>
      </w:r>
      <w:r>
        <w:t xml:space="preserve"> for a full range of positive psychology </w:t>
      </w:r>
      <w:r w:rsidR="00C55021">
        <w:t xml:space="preserve">and active prevention approaches that </w:t>
      </w:r>
      <w:r w:rsidRPr="0059123B">
        <w:t>coach young people towards brain fitness</w:t>
      </w:r>
      <w:r>
        <w:t xml:space="preserve">. </w:t>
      </w:r>
    </w:p>
    <w:p w:rsidR="00216069" w:rsidRPr="00ED3B04" w:rsidRDefault="00216069" w:rsidP="00216069">
      <w:r>
        <w:t>B</w:t>
      </w:r>
      <w:r w:rsidRPr="00C12CFA">
        <w:t>y 2030, depression will represent the wor</w:t>
      </w:r>
      <w:r>
        <w:t>ld’s largest health burden (WHO, 2011</w:t>
      </w:r>
      <w:r w:rsidRPr="00C12CFA">
        <w:t>)</w:t>
      </w:r>
      <w:r>
        <w:t xml:space="preserve"> and </w:t>
      </w:r>
      <w:r w:rsidRPr="008D7ED8">
        <w:t>society requires large scale support to combat this trend</w:t>
      </w:r>
      <w:r w:rsidRPr="00216069">
        <w:t xml:space="preserve">. </w:t>
      </w:r>
      <w:r w:rsidRPr="0059123B">
        <w:t xml:space="preserve">Daily </w:t>
      </w:r>
      <w:r w:rsidRPr="00216069">
        <w:t xml:space="preserve">access to eating and activity behaviours makes a lifestyle approach highly unique from other potential prevention options (Hoare, 2016). </w:t>
      </w:r>
      <w:r>
        <w:t>Education is a microcosm of society, where views are formed, and behaviours established. To prevent depression and optimise wellbeing, the potential and positive peer to peer influence of teens needs to be harnessed and facilitated in schools. The fundamentals: nutrition, sleep and exercise should not only be ta</w:t>
      </w:r>
      <w:r w:rsidR="00BA1183">
        <w:t xml:space="preserve">ught, but modelled, prescribed </w:t>
      </w:r>
      <w:r>
        <w:t>and practised as a matter of routine.</w:t>
      </w:r>
    </w:p>
    <w:p w:rsidR="00D4688D" w:rsidRDefault="00D4688D">
      <w:pPr>
        <w:pBdr>
          <w:top w:val="none" w:sz="0" w:space="0" w:color="auto"/>
          <w:left w:val="none" w:sz="0" w:space="0" w:color="auto"/>
          <w:bottom w:val="none" w:sz="0" w:space="0" w:color="auto"/>
          <w:right w:val="none" w:sz="0" w:space="0" w:color="auto"/>
          <w:between w:val="none" w:sz="0" w:space="0" w:color="auto"/>
        </w:pBdr>
        <w:spacing w:before="0" w:after="200"/>
        <w:rPr>
          <w:rFonts w:asciiTheme="majorHAnsi" w:eastAsiaTheme="majorEastAsia" w:hAnsiTheme="majorHAnsi" w:cstheme="majorBidi"/>
          <w:b/>
          <w:bCs/>
          <w:color w:val="000000" w:themeColor="text1"/>
          <w:sz w:val="36"/>
          <w:szCs w:val="28"/>
        </w:rPr>
      </w:pPr>
      <w:r>
        <w:br w:type="page"/>
      </w:r>
    </w:p>
    <w:p w:rsidR="00ED3B04" w:rsidRPr="00ED3B04" w:rsidRDefault="005935DB" w:rsidP="00ED3B04">
      <w:pPr>
        <w:pStyle w:val="Heading1"/>
      </w:pPr>
      <w:r>
        <w:lastRenderedPageBreak/>
        <w:t>Focus of Study</w:t>
      </w:r>
    </w:p>
    <w:p w:rsidR="00216069" w:rsidRPr="00216069" w:rsidRDefault="00216069" w:rsidP="00216069">
      <w:pPr>
        <w:rPr>
          <w:shd w:val="clear" w:color="auto" w:fill="FFFFFF"/>
        </w:rPr>
      </w:pPr>
      <w:r w:rsidRPr="00216069">
        <w:rPr>
          <w:shd w:val="clear" w:color="auto" w:fill="FFFFFF"/>
        </w:rPr>
        <w:t xml:space="preserve">The aim of this Anika Scholarship project is to promote radical cultural change around how we perceive and respond to adolescent depression. Young people need to experience better options than their own </w:t>
      </w:r>
      <w:r w:rsidR="00524CC4">
        <w:rPr>
          <w:shd w:val="clear" w:color="auto" w:fill="FFFFFF"/>
        </w:rPr>
        <w:t>popularised</w:t>
      </w:r>
      <w:r w:rsidRPr="00216069">
        <w:rPr>
          <w:shd w:val="clear" w:color="auto" w:fill="FFFFFF"/>
        </w:rPr>
        <w:t xml:space="preserve"> models for coping: such as self-injury and substance use, and the depersonalised medical model dominating the professional response.</w:t>
      </w:r>
    </w:p>
    <w:p w:rsidR="00216069" w:rsidRPr="00216069" w:rsidRDefault="00216069" w:rsidP="00216069">
      <w:pPr>
        <w:rPr>
          <w:shd w:val="clear" w:color="auto" w:fill="FFFFFF"/>
        </w:rPr>
      </w:pPr>
      <w:r w:rsidRPr="00216069">
        <w:rPr>
          <w:shd w:val="clear" w:color="auto" w:fill="FFFFFF"/>
        </w:rPr>
        <w:t>Conclusions from the joint Mission Australia Black Dog Institute Youth Survey (2016) support the premise that the best way to reach out to adolescents is to harness the most influential models of behaviour, the young people themselves.  This project set out to consider three key questions:</w:t>
      </w:r>
    </w:p>
    <w:p w:rsidR="00216069" w:rsidRPr="00216069" w:rsidRDefault="00216069" w:rsidP="00216069">
      <w:pPr>
        <w:pStyle w:val="ListParagraph"/>
        <w:numPr>
          <w:ilvl w:val="0"/>
          <w:numId w:val="28"/>
        </w:numPr>
        <w:rPr>
          <w:highlight w:val="white"/>
        </w:rPr>
      </w:pPr>
      <w:r w:rsidRPr="00216069">
        <w:rPr>
          <w:highlight w:val="white"/>
        </w:rPr>
        <w:t>what may schools teach young people about nutrition, exercise and sleep and their own agency in preventing and managing depression</w:t>
      </w:r>
    </w:p>
    <w:p w:rsidR="00216069" w:rsidRPr="00216069" w:rsidRDefault="00216069" w:rsidP="00216069">
      <w:pPr>
        <w:pStyle w:val="ListParagraph"/>
        <w:numPr>
          <w:ilvl w:val="0"/>
          <w:numId w:val="28"/>
        </w:numPr>
        <w:rPr>
          <w:highlight w:val="white"/>
        </w:rPr>
      </w:pPr>
      <w:r w:rsidRPr="00216069">
        <w:rPr>
          <w:highlight w:val="white"/>
        </w:rPr>
        <w:t>how might schools support young people as ambassadors for radical cultural change</w:t>
      </w:r>
    </w:p>
    <w:p w:rsidR="00216069" w:rsidRPr="00216069" w:rsidRDefault="00216069" w:rsidP="00216069">
      <w:pPr>
        <w:pStyle w:val="ListParagraph"/>
        <w:numPr>
          <w:ilvl w:val="0"/>
          <w:numId w:val="28"/>
        </w:numPr>
        <w:rPr>
          <w:highlight w:val="white"/>
        </w:rPr>
      </w:pPr>
      <w:proofErr w:type="gramStart"/>
      <w:r w:rsidRPr="00216069">
        <w:rPr>
          <w:highlight w:val="white"/>
        </w:rPr>
        <w:t>how</w:t>
      </w:r>
      <w:proofErr w:type="gramEnd"/>
      <w:r w:rsidRPr="00216069">
        <w:rPr>
          <w:highlight w:val="white"/>
        </w:rPr>
        <w:t xml:space="preserve"> might education and health sectors better support youth access to and from psychological services?</w:t>
      </w:r>
    </w:p>
    <w:p w:rsidR="00ED3B04" w:rsidRPr="00ED3B04" w:rsidRDefault="005935DB" w:rsidP="00943538">
      <w:pPr>
        <w:pStyle w:val="Heading1"/>
      </w:pPr>
      <w:r>
        <w:t>Significant Learning</w:t>
      </w:r>
    </w:p>
    <w:p w:rsidR="00D4688D" w:rsidRPr="00D4688D" w:rsidRDefault="00D4688D" w:rsidP="00D4688D">
      <w:pPr>
        <w:pStyle w:val="Heading3"/>
      </w:pPr>
      <w:r w:rsidRPr="00D4688D">
        <w:t>The importance and scope of nutrition, exercise and sleep in preventative mental health</w:t>
      </w:r>
    </w:p>
    <w:p w:rsidR="00D4688D" w:rsidRDefault="00D4688D" w:rsidP="00D4688D">
      <w:pPr>
        <w:rPr>
          <w:shd w:val="clear" w:color="auto" w:fill="FFFFFF"/>
        </w:rPr>
      </w:pPr>
      <w:r>
        <w:rPr>
          <w:shd w:val="clear" w:color="auto" w:fill="FFFFFF"/>
        </w:rPr>
        <w:t xml:space="preserve">“Adolescence </w:t>
      </w:r>
      <w:r w:rsidRPr="002D254A">
        <w:rPr>
          <w:shd w:val="clear" w:color="auto" w:fill="FFFFFF"/>
        </w:rPr>
        <w:t>is a period characterized by a combination of significant brain alterations, high levels of stress, and emergence of psychopathology</w:t>
      </w:r>
      <w:r>
        <w:rPr>
          <w:shd w:val="clear" w:color="auto" w:fill="FFFFFF"/>
        </w:rPr>
        <w:t>” (</w:t>
      </w:r>
      <w:proofErr w:type="spellStart"/>
      <w:r>
        <w:rPr>
          <w:shd w:val="clear" w:color="auto" w:fill="FFFFFF"/>
        </w:rPr>
        <w:t>Sheth</w:t>
      </w:r>
      <w:proofErr w:type="spellEnd"/>
      <w:r>
        <w:rPr>
          <w:shd w:val="clear" w:color="auto" w:fill="FFFFFF"/>
        </w:rPr>
        <w:t xml:space="preserve"> et al, 2017)</w:t>
      </w:r>
      <w:r w:rsidRPr="002D254A">
        <w:rPr>
          <w:shd w:val="clear" w:color="auto" w:fill="FFFFFF"/>
        </w:rPr>
        <w:t xml:space="preserve">. </w:t>
      </w:r>
      <w:r w:rsidR="00524CC4" w:rsidRPr="002D254A">
        <w:rPr>
          <w:shd w:val="clear" w:color="auto" w:fill="FFFFFF"/>
        </w:rPr>
        <w:t xml:space="preserve">In 2016, </w:t>
      </w:r>
      <w:r w:rsidR="00524CC4" w:rsidRPr="00440E2F">
        <w:rPr>
          <w:shd w:val="clear" w:color="auto" w:fill="FFFFFF"/>
        </w:rPr>
        <w:t>the top three issues of personal concern for young people</w:t>
      </w:r>
      <w:r w:rsidR="00524CC4" w:rsidRPr="002D254A">
        <w:rPr>
          <w:shd w:val="clear" w:color="auto" w:fill="FFFFFF"/>
        </w:rPr>
        <w:t xml:space="preserve"> meeting the criteria for a probable serious mental illness were</w:t>
      </w:r>
      <w:r w:rsidR="00524CC4" w:rsidRPr="00D4688D">
        <w:rPr>
          <w:shd w:val="clear" w:color="auto" w:fill="FFFFFF"/>
        </w:rPr>
        <w:t xml:space="preserve"> </w:t>
      </w:r>
      <w:r w:rsidR="00524CC4" w:rsidRPr="00951300">
        <w:rPr>
          <w:shd w:val="clear" w:color="auto" w:fill="FFFFFF"/>
        </w:rPr>
        <w:t>coping with stress, school or study problems and depression</w:t>
      </w:r>
      <w:r w:rsidR="00524CC4" w:rsidRPr="000C4545">
        <w:rPr>
          <w:shd w:val="clear" w:color="auto" w:fill="FFFFFF"/>
        </w:rPr>
        <w:t xml:space="preserve"> </w:t>
      </w:r>
      <w:r w:rsidR="00524CC4">
        <w:rPr>
          <w:shd w:val="clear" w:color="auto" w:fill="FFFFFF"/>
        </w:rPr>
        <w:t xml:space="preserve">(p 5, Youth Mental Health Report, 2016). </w:t>
      </w:r>
      <w:r>
        <w:rPr>
          <w:shd w:val="clear" w:color="auto" w:fill="FFFFFF"/>
        </w:rPr>
        <w:t xml:space="preserve">Chronic stress can induce changes </w:t>
      </w:r>
      <w:r w:rsidRPr="002D254A">
        <w:rPr>
          <w:shd w:val="clear" w:color="auto" w:fill="FFFFFF"/>
        </w:rPr>
        <w:t>in neurobi</w:t>
      </w:r>
      <w:r>
        <w:rPr>
          <w:shd w:val="clear" w:color="auto" w:fill="FFFFFF"/>
        </w:rPr>
        <w:t xml:space="preserve">ology, hence, high school is an </w:t>
      </w:r>
      <w:r w:rsidRPr="002D254A">
        <w:rPr>
          <w:shd w:val="clear" w:color="auto" w:fill="FFFFFF"/>
        </w:rPr>
        <w:t>inopportune</w:t>
      </w:r>
      <w:r>
        <w:rPr>
          <w:shd w:val="clear" w:color="auto" w:fill="FFFFFF"/>
        </w:rPr>
        <w:t xml:space="preserve"> time </w:t>
      </w:r>
      <w:r w:rsidR="00EC7265">
        <w:rPr>
          <w:shd w:val="clear" w:color="auto" w:fill="FFFFFF"/>
        </w:rPr>
        <w:t>for</w:t>
      </w:r>
      <w:r>
        <w:rPr>
          <w:shd w:val="clear" w:color="auto" w:fill="FFFFFF"/>
        </w:rPr>
        <w:t xml:space="preserve"> sustained activation of the stress system via highly competitive, academic processes. </w:t>
      </w:r>
    </w:p>
    <w:p w:rsidR="00D4688D" w:rsidRDefault="00D4688D" w:rsidP="00D4688D">
      <w:pPr>
        <w:rPr>
          <w:shd w:val="clear" w:color="auto" w:fill="FFFFFF"/>
        </w:rPr>
      </w:pPr>
      <w:r>
        <w:rPr>
          <w:shd w:val="clear" w:color="auto" w:fill="FFFFFF"/>
        </w:rPr>
        <w:t xml:space="preserve">It is well established that regular physical activity is extremely important to reducing the impact of stress. </w:t>
      </w:r>
      <w:r w:rsidR="00524CC4" w:rsidRPr="00D4688D">
        <w:rPr>
          <w:shd w:val="clear" w:color="auto" w:fill="FFFFFF"/>
        </w:rPr>
        <w:t>Evidence has been accumulating for some time, especially in regard to the significant influence of exercise on depressive symptoms and relapse prevention. Research from the Black Dog Institute has indicated that just one hour of exercise per week can help prevent up to 12% of future cases of depression (Harvey et al, 2017)</w:t>
      </w:r>
      <w:r w:rsidR="00524CC4">
        <w:rPr>
          <w:shd w:val="clear" w:color="auto" w:fill="FFFFFF"/>
        </w:rPr>
        <w:t xml:space="preserve">. </w:t>
      </w:r>
      <w:r>
        <w:rPr>
          <w:shd w:val="clear" w:color="auto" w:fill="FFFFFF"/>
        </w:rPr>
        <w:t xml:space="preserve">Alongside this critical period for the stress system, is increased nutrient requirement. </w:t>
      </w:r>
      <w:r w:rsidRPr="00D4688D">
        <w:rPr>
          <w:shd w:val="clear" w:color="auto" w:fill="FFFFFF"/>
        </w:rPr>
        <w:t>The essential role of nutrition begins in utero, and remains throughout childhood, but total nutrient needs are higher during adolescence than at any other time in the life cycle (</w:t>
      </w:r>
      <w:hyperlink r:id="rId11" w:history="1">
        <w:r w:rsidRPr="00D4688D">
          <w:t>Marino DD</w:t>
        </w:r>
      </w:hyperlink>
      <w:r w:rsidRPr="00D4688D">
        <w:rPr>
          <w:shd w:val="clear" w:color="auto" w:fill="FFFFFF"/>
        </w:rPr>
        <w:t>, </w:t>
      </w:r>
      <w:hyperlink r:id="rId12" w:history="1">
        <w:r w:rsidRPr="00D4688D">
          <w:t>King JC</w:t>
        </w:r>
      </w:hyperlink>
      <w:r w:rsidRPr="00D4688D">
        <w:rPr>
          <w:shd w:val="clear" w:color="auto" w:fill="FFFFFF"/>
        </w:rPr>
        <w:t>, 1980).</w:t>
      </w:r>
      <w:r w:rsidR="00524CC4">
        <w:rPr>
          <w:shd w:val="clear" w:color="auto" w:fill="FFFFFF"/>
        </w:rPr>
        <w:t xml:space="preserve"> S</w:t>
      </w:r>
      <w:r w:rsidR="00524CC4" w:rsidRPr="00D4688D">
        <w:rPr>
          <w:shd w:val="clear" w:color="auto" w:fill="FFFFFF"/>
        </w:rPr>
        <w:t xml:space="preserve">tudies have </w:t>
      </w:r>
      <w:r w:rsidR="00A20E8A">
        <w:rPr>
          <w:shd w:val="clear" w:color="auto" w:fill="FFFFFF"/>
        </w:rPr>
        <w:t>shown</w:t>
      </w:r>
      <w:r w:rsidR="00524CC4" w:rsidRPr="00D4688D">
        <w:rPr>
          <w:shd w:val="clear" w:color="auto" w:fill="FFFFFF"/>
        </w:rPr>
        <w:t xml:space="preserve"> </w:t>
      </w:r>
      <w:r w:rsidR="00524CC4">
        <w:rPr>
          <w:shd w:val="clear" w:color="auto" w:fill="FFFFFF"/>
        </w:rPr>
        <w:t xml:space="preserve">the </w:t>
      </w:r>
      <w:r w:rsidR="00524CC4" w:rsidRPr="00D4688D">
        <w:rPr>
          <w:shd w:val="clear" w:color="auto" w:fill="FFFFFF"/>
        </w:rPr>
        <w:t xml:space="preserve">beneficial effects of combining antidepressants or psychotherapy with key nutrients to achieve better </w:t>
      </w:r>
      <w:r w:rsidR="00524CC4">
        <w:rPr>
          <w:shd w:val="clear" w:color="auto" w:fill="FFFFFF"/>
        </w:rPr>
        <w:t xml:space="preserve">results. </w:t>
      </w:r>
      <w:r w:rsidRPr="00D4688D">
        <w:rPr>
          <w:shd w:val="clear" w:color="auto" w:fill="FFFFFF"/>
        </w:rPr>
        <w:t xml:space="preserve">Sleep is of course the other significant variable and adolescents require more sleep than they commonly achieve. </w:t>
      </w:r>
      <w:r w:rsidR="00EC7265">
        <w:rPr>
          <w:shd w:val="clear" w:color="auto" w:fill="FFFFFF"/>
        </w:rPr>
        <w:t>The cyclical relationship between depression and sleep, and correlation between sleep disorder and suicide makes sleep an obvious and urgent target for intervention. Since n</w:t>
      </w:r>
      <w:r w:rsidRPr="00D4688D">
        <w:rPr>
          <w:shd w:val="clear" w:color="auto" w:fill="FFFFFF"/>
        </w:rPr>
        <w:t>utrition, exercise and sleep are all the mo</w:t>
      </w:r>
      <w:r w:rsidR="00EC7265">
        <w:rPr>
          <w:shd w:val="clear" w:color="auto" w:fill="FFFFFF"/>
        </w:rPr>
        <w:t xml:space="preserve">re critical during adolescence they deserve a more active </w:t>
      </w:r>
      <w:r w:rsidRPr="00D4688D">
        <w:rPr>
          <w:shd w:val="clear" w:color="auto" w:fill="FFFFFF"/>
        </w:rPr>
        <w:t xml:space="preserve">response from education </w:t>
      </w:r>
      <w:r w:rsidR="00EC7265">
        <w:rPr>
          <w:shd w:val="clear" w:color="auto" w:fill="FFFFFF"/>
        </w:rPr>
        <w:t xml:space="preserve">and health </w:t>
      </w:r>
      <w:r w:rsidRPr="00D4688D">
        <w:rPr>
          <w:shd w:val="clear" w:color="auto" w:fill="FFFFFF"/>
        </w:rPr>
        <w:t xml:space="preserve">services. </w:t>
      </w:r>
    </w:p>
    <w:p w:rsidR="00D4688D" w:rsidRPr="00D4688D" w:rsidRDefault="00D4688D" w:rsidP="00D4688D">
      <w:pPr>
        <w:pStyle w:val="Heading3"/>
      </w:pPr>
      <w:r w:rsidRPr="00D4688D">
        <w:lastRenderedPageBreak/>
        <w:t xml:space="preserve">Eminent work in the field </w:t>
      </w:r>
    </w:p>
    <w:p w:rsidR="00D4688D" w:rsidRPr="00D4688D" w:rsidRDefault="00D4688D" w:rsidP="00D4688D">
      <w:pPr>
        <w:rPr>
          <w:shd w:val="clear" w:color="auto" w:fill="FFFFFF"/>
        </w:rPr>
      </w:pPr>
      <w:r w:rsidRPr="00D4688D">
        <w:rPr>
          <w:shd w:val="clear" w:color="auto" w:fill="FFFFFF"/>
        </w:rPr>
        <w:t>The Food Mood Centre at Deakin University Victoria is leading the world in research into the impact of diet on depression. Key findings from a prospective study of diet quality and adoles</w:t>
      </w:r>
      <w:r w:rsidR="00CB48F8">
        <w:rPr>
          <w:shd w:val="clear" w:color="auto" w:fill="FFFFFF"/>
        </w:rPr>
        <w:t>cent mental health (2011) noted</w:t>
      </w:r>
      <w:r w:rsidRPr="00D4688D">
        <w:rPr>
          <w:shd w:val="clear" w:color="auto" w:fill="FFFFFF"/>
        </w:rPr>
        <w:t xml:space="preserve"> an association between diet quality and adolescent mental health; improvements in diet quality were matched by i</w:t>
      </w:r>
      <w:r w:rsidR="0069455C">
        <w:rPr>
          <w:shd w:val="clear" w:color="auto" w:fill="FFFFFF"/>
        </w:rPr>
        <w:t xml:space="preserve">mprovements in mental health and </w:t>
      </w:r>
      <w:r w:rsidRPr="00D4688D">
        <w:rPr>
          <w:shd w:val="clear" w:color="auto" w:fill="FFFFFF"/>
        </w:rPr>
        <w:t>reductions in diet quality were associated with declining psychological functioning</w:t>
      </w:r>
      <w:r w:rsidR="0069455C">
        <w:rPr>
          <w:shd w:val="clear" w:color="auto" w:fill="FFFFFF"/>
        </w:rPr>
        <w:t>.</w:t>
      </w:r>
      <w:r w:rsidR="00502627">
        <w:rPr>
          <w:shd w:val="clear" w:color="auto" w:fill="FFFFFF"/>
        </w:rPr>
        <w:t xml:space="preserve"> </w:t>
      </w:r>
      <w:r w:rsidRPr="00D4688D">
        <w:rPr>
          <w:shd w:val="clear" w:color="auto" w:fill="FFFFFF"/>
        </w:rPr>
        <w:t>There are many biological pathways by which an insufficiency of healthful foods and/or an excessive intake of unhealthy and processed foods could increase the risk for mental health problems in adolescents (</w:t>
      </w:r>
      <w:proofErr w:type="spellStart"/>
      <w:r w:rsidRPr="00D4688D">
        <w:rPr>
          <w:shd w:val="clear" w:color="auto" w:fill="FFFFFF"/>
        </w:rPr>
        <w:t>Jacka</w:t>
      </w:r>
      <w:proofErr w:type="spellEnd"/>
      <w:r w:rsidRPr="00D4688D">
        <w:rPr>
          <w:shd w:val="clear" w:color="auto" w:fill="FFFFFF"/>
        </w:rPr>
        <w:t xml:space="preserve"> et al 2011). </w:t>
      </w:r>
      <w:r w:rsidR="00502627">
        <w:rPr>
          <w:shd w:val="clear" w:color="auto" w:fill="FFFFFF"/>
        </w:rPr>
        <w:t xml:space="preserve"> </w:t>
      </w:r>
      <w:r w:rsidR="00E50BD0">
        <w:rPr>
          <w:shd w:val="clear" w:color="auto" w:fill="FFFFFF"/>
        </w:rPr>
        <w:t>We need substantial investment in</w:t>
      </w:r>
      <w:r w:rsidR="00E50BD0" w:rsidRPr="00D4688D">
        <w:rPr>
          <w:shd w:val="clear" w:color="auto" w:fill="FFFFFF"/>
        </w:rPr>
        <w:t xml:space="preserve"> understanding the nutrient deficiencies or imbalances which might</w:t>
      </w:r>
      <w:r w:rsidR="00E50BD0">
        <w:rPr>
          <w:shd w:val="clear" w:color="auto" w:fill="FFFFFF"/>
        </w:rPr>
        <w:t xml:space="preserve"> be more likely to create or </w:t>
      </w:r>
      <w:r w:rsidR="00E50BD0" w:rsidRPr="00D4688D">
        <w:rPr>
          <w:shd w:val="clear" w:color="auto" w:fill="FFFFFF"/>
        </w:rPr>
        <w:t xml:space="preserve">exacerbate </w:t>
      </w:r>
      <w:r w:rsidR="00714232">
        <w:rPr>
          <w:shd w:val="clear" w:color="auto" w:fill="FFFFFF"/>
        </w:rPr>
        <w:t xml:space="preserve">mental </w:t>
      </w:r>
      <w:r w:rsidR="00E50BD0" w:rsidRPr="00D4688D">
        <w:rPr>
          <w:shd w:val="clear" w:color="auto" w:fill="FFFFFF"/>
        </w:rPr>
        <w:t>illness symptoms.</w:t>
      </w:r>
    </w:p>
    <w:p w:rsidR="00D4688D" w:rsidRPr="00D4688D" w:rsidRDefault="00E50BD0" w:rsidP="00D4688D">
      <w:pPr>
        <w:rPr>
          <w:shd w:val="clear" w:color="auto" w:fill="FFFFFF"/>
        </w:rPr>
      </w:pPr>
      <w:r>
        <w:rPr>
          <w:shd w:val="clear" w:color="auto" w:fill="FFFFFF"/>
        </w:rPr>
        <w:t xml:space="preserve">Prominent </w:t>
      </w:r>
      <w:proofErr w:type="gramStart"/>
      <w:r>
        <w:rPr>
          <w:shd w:val="clear" w:color="auto" w:fill="FFFFFF"/>
        </w:rPr>
        <w:t xml:space="preserve">researcher </w:t>
      </w:r>
      <w:r w:rsidR="00FA3AEF">
        <w:rPr>
          <w:shd w:val="clear" w:color="auto" w:fill="FFFFFF"/>
        </w:rPr>
        <w:t xml:space="preserve"> </w:t>
      </w:r>
      <w:r w:rsidR="00D4688D" w:rsidRPr="00D4688D">
        <w:rPr>
          <w:shd w:val="clear" w:color="auto" w:fill="FFFFFF"/>
        </w:rPr>
        <w:t>Dr</w:t>
      </w:r>
      <w:proofErr w:type="gramEnd"/>
      <w:r w:rsidR="00D4688D" w:rsidRPr="00D4688D">
        <w:rPr>
          <w:shd w:val="clear" w:color="auto" w:fill="FFFFFF"/>
        </w:rPr>
        <w:t xml:space="preserve"> William Walsh </w:t>
      </w:r>
      <w:r w:rsidR="00D4688D">
        <w:rPr>
          <w:shd w:val="clear" w:color="auto" w:fill="FFFFFF"/>
        </w:rPr>
        <w:t xml:space="preserve">of the not for profit Walsh Research Institute, </w:t>
      </w:r>
      <w:r>
        <w:rPr>
          <w:shd w:val="clear" w:color="auto" w:fill="FFFFFF"/>
        </w:rPr>
        <w:t>is</w:t>
      </w:r>
      <w:r w:rsidR="00D4688D">
        <w:rPr>
          <w:shd w:val="clear" w:color="auto" w:fill="FFFFFF"/>
        </w:rPr>
        <w:t xml:space="preserve"> a global pioneer in educating psychiatrists about the impact of nutrition on mental health.</w:t>
      </w:r>
      <w:r w:rsidR="00D4688D" w:rsidRPr="00D4688D">
        <w:rPr>
          <w:shd w:val="clear" w:color="auto" w:fill="FFFFFF"/>
        </w:rPr>
        <w:t xml:space="preserve"> He has identified five high incidence biotypes of clinical depression that he says represent about 95% of cases. His extensive classification system is based on studies of 2,800 patients, including more than 250,000 blood/urine chemistry results and an in-depth medical history. Until now, he suggests, most mainstream experts have regarded depression as a single condition with variations along a central theme, i.e. low activity at serotonin receptors.</w:t>
      </w:r>
    </w:p>
    <w:p w:rsidR="00D4688D" w:rsidRPr="00A31D00" w:rsidRDefault="00D4688D" w:rsidP="00D4688D">
      <w:pPr>
        <w:ind w:left="720"/>
        <w:rPr>
          <w:color w:val="auto"/>
          <w:shd w:val="clear" w:color="auto" w:fill="FFFFFF"/>
        </w:rPr>
      </w:pPr>
      <w:r w:rsidRPr="00A31D00">
        <w:rPr>
          <w:color w:val="auto"/>
          <w:shd w:val="clear" w:color="auto" w:fill="FFFFFF"/>
        </w:rPr>
        <w:t>“We have observed low serotonin activity in</w:t>
      </w:r>
      <w:r w:rsidRPr="00141FB6">
        <w:rPr>
          <w:b/>
          <w:color w:val="auto"/>
          <w:shd w:val="clear" w:color="auto" w:fill="FFFFFF"/>
        </w:rPr>
        <w:t xml:space="preserve"> two</w:t>
      </w:r>
      <w:r w:rsidRPr="00A31D00">
        <w:rPr>
          <w:color w:val="auto"/>
          <w:shd w:val="clear" w:color="auto" w:fill="FFFFFF"/>
        </w:rPr>
        <w:t xml:space="preserve"> of the biotypes, with </w:t>
      </w:r>
      <w:r w:rsidRPr="00141FB6">
        <w:rPr>
          <w:b/>
          <w:color w:val="auto"/>
          <w:shd w:val="clear" w:color="auto" w:fill="FFFFFF"/>
        </w:rPr>
        <w:t xml:space="preserve">different </w:t>
      </w:r>
      <w:r w:rsidRPr="00A31D00">
        <w:rPr>
          <w:color w:val="auto"/>
          <w:shd w:val="clear" w:color="auto" w:fill="FFFFFF"/>
        </w:rPr>
        <w:t>brain disor</w:t>
      </w:r>
      <w:r w:rsidR="0069455C">
        <w:rPr>
          <w:color w:val="auto"/>
          <w:shd w:val="clear" w:color="auto" w:fill="FFFFFF"/>
        </w:rPr>
        <w:t>ders dominating the other cases</w:t>
      </w:r>
      <w:r w:rsidRPr="00A31D00">
        <w:rPr>
          <w:color w:val="auto"/>
          <w:shd w:val="clear" w:color="auto" w:fill="FFFFFF"/>
        </w:rPr>
        <w:t xml:space="preserve">.” </w:t>
      </w:r>
    </w:p>
    <w:p w:rsidR="00D4688D" w:rsidRPr="006407ED" w:rsidRDefault="00D4688D" w:rsidP="00D4688D">
      <w:pPr>
        <w:rPr>
          <w:shd w:val="clear" w:color="auto" w:fill="FFFFFF"/>
        </w:rPr>
      </w:pPr>
      <w:r>
        <w:rPr>
          <w:shd w:val="clear" w:color="auto" w:fill="FFFFFF"/>
        </w:rPr>
        <w:t>His republished book “</w:t>
      </w:r>
      <w:r w:rsidRPr="0059123B">
        <w:rPr>
          <w:shd w:val="clear" w:color="auto" w:fill="FFFFFF"/>
        </w:rPr>
        <w:t>Nutrient Power</w:t>
      </w:r>
      <w:r w:rsidRPr="00D4688D">
        <w:rPr>
          <w:shd w:val="clear" w:color="auto" w:fill="FFFFFF"/>
        </w:rPr>
        <w:t>”</w:t>
      </w:r>
      <w:r>
        <w:rPr>
          <w:shd w:val="clear" w:color="auto" w:fill="FFFFFF"/>
        </w:rPr>
        <w:t xml:space="preserve"> (2018) presents to the lay reader his interesting theory about the biotypes of depression, elucidating possible reasons why some people might respond better to antidepressants and adjunctive nutrient support better than others. </w:t>
      </w:r>
    </w:p>
    <w:p w:rsidR="00D4688D" w:rsidRPr="00D4688D" w:rsidRDefault="00D4688D" w:rsidP="00D4688D">
      <w:pPr>
        <w:rPr>
          <w:shd w:val="clear" w:color="auto" w:fill="FFFFFF"/>
        </w:rPr>
      </w:pPr>
      <w:r w:rsidRPr="0086709D">
        <w:rPr>
          <w:noProof/>
          <w:shd w:val="clear" w:color="auto" w:fill="FFFFFF"/>
          <w:lang w:eastAsia="en-AU"/>
        </w:rPr>
        <mc:AlternateContent>
          <mc:Choice Requires="wps">
            <w:drawing>
              <wp:anchor distT="45720" distB="45720" distL="114300" distR="114300" simplePos="0" relativeHeight="251659264" behindDoc="0" locked="0" layoutInCell="1" allowOverlap="1" wp14:anchorId="691F7AB5" wp14:editId="77B352C8">
                <wp:simplePos x="0" y="0"/>
                <wp:positionH relativeFrom="margin">
                  <wp:posOffset>3759200</wp:posOffset>
                </wp:positionH>
                <wp:positionV relativeFrom="paragraph">
                  <wp:posOffset>168275</wp:posOffset>
                </wp:positionV>
                <wp:extent cx="2228850" cy="16383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28850" cy="1638300"/>
                        </a:xfrm>
                        <a:prstGeom prst="rect">
                          <a:avLst/>
                        </a:prstGeom>
                        <a:solidFill>
                          <a:srgbClr val="FFFFFF"/>
                        </a:solidFill>
                        <a:ln w="9525">
                          <a:solidFill>
                            <a:srgbClr val="000000"/>
                          </a:solidFill>
                          <a:miter lim="800000"/>
                          <a:headEnd/>
                          <a:tailEnd/>
                        </a:ln>
                      </wps:spPr>
                      <wps:txbx>
                        <w:txbxContent>
                          <w:p w:rsidR="00D4688D" w:rsidRPr="0086709D" w:rsidRDefault="00D4688D" w:rsidP="00D4688D">
                            <w:pPr>
                              <w:rPr>
                                <w:color w:val="4F81BD" w:themeColor="accent1"/>
                              </w:rPr>
                            </w:pPr>
                            <w:r w:rsidRPr="0086709D">
                              <w:rPr>
                                <w:color w:val="4F81BD" w:themeColor="accent1"/>
                              </w:rPr>
                              <w:t>Biochemical individuality is an important consideration for health professionals and indeed for researchers who may struggle to truly identify pure control and treatment groups based on superficial mental health labels.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F7AB5" id="_x0000_t202" coordsize="21600,21600" o:spt="202" path="m,l,21600r21600,l21600,xe">
                <v:stroke joinstyle="miter"/>
                <v:path gradientshapeok="t" o:connecttype="rect"/>
              </v:shapetype>
              <v:shape id="Text Box 2" o:spid="_x0000_s1026" type="#_x0000_t202" style="position:absolute;margin-left:296pt;margin-top:13.25pt;width:175.5pt;height:129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">
                <v:textbox>
                  <w:txbxContent>
                    <w:p w:rsidR="00D4688D" w:rsidRPr="0086709D" w:rsidRDefault="00D4688D" w:rsidP="00D4688D">
                      <w:pPr>
                        <w:rPr>
                          <w:color w:val="4F81BD" w:themeColor="accent1"/>
                        </w:rPr>
                      </w:pPr>
                      <w:r w:rsidRPr="0086709D">
                        <w:rPr>
                          <w:color w:val="4F81BD" w:themeColor="accent1"/>
                        </w:rPr>
                        <w:t>Biochemical individuality is an important consideration for health professionals and indeed for researchers who may struggle to truly identify pure control and treatment groups based on superficial mental health labels.</w:t>
                      </w:r>
                    </w:p>
                  </w:txbxContent>
                </v:textbox>
                <w10:wrap type="square" anchorx="margin"/>
              </v:shape>
            </w:pict>
          </mc:Fallback>
        </mc:AlternateContent>
      </w:r>
      <w:r>
        <w:rPr>
          <w:noProof/>
          <w:shd w:val="clear" w:color="auto" w:fill="FFFFFF"/>
          <w:lang w:eastAsia="en-AU"/>
        </w:rPr>
        <w:drawing>
          <wp:inline distT="0" distB="0" distL="0" distR="0" wp14:anchorId="72FE440F" wp14:editId="1F85E8DD">
            <wp:extent cx="3300276" cy="2552700"/>
            <wp:effectExtent l="0" t="0" r="0" b="0"/>
            <wp:docPr id="5" name="Picture 5" descr="Pie chart showing different biotypes" title="Depression Bi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biotypes.jpg"/>
                    <pic:cNvPicPr/>
                  </pic:nvPicPr>
                  <pic:blipFill>
                    <a:blip r:embed="rId13">
                      <a:extLst>
                        <a:ext uri="{28A0092B-C50C-407E-A947-70E740481C1C}">
                          <a14:useLocalDpi xmlns:a14="http://schemas.microsoft.com/office/drawing/2010/main" val="0"/>
                        </a:ext>
                      </a:extLst>
                    </a:blip>
                    <a:stretch>
                      <a:fillRect/>
                    </a:stretch>
                  </pic:blipFill>
                  <pic:spPr>
                    <a:xfrm>
                      <a:off x="0" y="0"/>
                      <a:ext cx="3306602" cy="2557593"/>
                    </a:xfrm>
                    <a:prstGeom prst="rect">
                      <a:avLst/>
                    </a:prstGeom>
                  </pic:spPr>
                </pic:pic>
              </a:graphicData>
            </a:graphic>
          </wp:inline>
        </w:drawing>
      </w:r>
    </w:p>
    <w:p w:rsidR="00216069" w:rsidRPr="00D4688D" w:rsidRDefault="00D4688D" w:rsidP="001C0A56">
      <w:pPr>
        <w:rPr>
          <w:b/>
          <w:bCs/>
          <w:color w:val="1F497D" w:themeColor="text2"/>
          <w:sz w:val="18"/>
          <w:szCs w:val="18"/>
        </w:rPr>
      </w:pPr>
      <w:r w:rsidRPr="00D4688D">
        <w:rPr>
          <w:b/>
          <w:bCs/>
          <w:color w:val="1F497D" w:themeColor="text2"/>
          <w:sz w:val="18"/>
          <w:szCs w:val="18"/>
        </w:rPr>
        <w:t xml:space="preserve">Figure </w:t>
      </w:r>
      <w:r w:rsidRPr="00D4688D">
        <w:rPr>
          <w:b/>
          <w:bCs/>
          <w:color w:val="1F497D" w:themeColor="text2"/>
          <w:sz w:val="18"/>
          <w:szCs w:val="18"/>
        </w:rPr>
        <w:fldChar w:fldCharType="begin"/>
      </w:r>
      <w:r w:rsidRPr="00D4688D">
        <w:rPr>
          <w:b/>
          <w:bCs/>
          <w:color w:val="1F497D" w:themeColor="text2"/>
          <w:sz w:val="18"/>
          <w:szCs w:val="18"/>
        </w:rPr>
        <w:instrText xml:space="preserve"> SEQ Figure \* ARABIC </w:instrText>
      </w:r>
      <w:r w:rsidRPr="00D4688D">
        <w:rPr>
          <w:b/>
          <w:bCs/>
          <w:color w:val="1F497D" w:themeColor="text2"/>
          <w:sz w:val="18"/>
          <w:szCs w:val="18"/>
        </w:rPr>
        <w:fldChar w:fldCharType="separate"/>
      </w:r>
      <w:r w:rsidR="001D3E2B">
        <w:rPr>
          <w:b/>
          <w:bCs/>
          <w:noProof/>
          <w:color w:val="1F497D" w:themeColor="text2"/>
          <w:sz w:val="18"/>
          <w:szCs w:val="18"/>
        </w:rPr>
        <w:t>1</w:t>
      </w:r>
      <w:r w:rsidRPr="00D4688D">
        <w:rPr>
          <w:b/>
          <w:bCs/>
          <w:color w:val="1F497D" w:themeColor="text2"/>
          <w:sz w:val="18"/>
          <w:szCs w:val="18"/>
        </w:rPr>
        <w:fldChar w:fldCharType="end"/>
      </w:r>
      <w:r w:rsidRPr="00D4688D">
        <w:rPr>
          <w:b/>
          <w:bCs/>
          <w:color w:val="1F497D" w:themeColor="text2"/>
          <w:sz w:val="18"/>
          <w:szCs w:val="18"/>
        </w:rPr>
        <w:t xml:space="preserve">: </w:t>
      </w:r>
      <w:r>
        <w:rPr>
          <w:b/>
          <w:bCs/>
          <w:color w:val="1F497D" w:themeColor="text2"/>
          <w:sz w:val="18"/>
          <w:szCs w:val="18"/>
        </w:rPr>
        <w:t>Dr William Walsh: Fi</w:t>
      </w:r>
      <w:r w:rsidR="0069455C">
        <w:rPr>
          <w:b/>
          <w:bCs/>
          <w:color w:val="1F497D" w:themeColor="text2"/>
          <w:sz w:val="18"/>
          <w:szCs w:val="18"/>
        </w:rPr>
        <w:t>v</w:t>
      </w:r>
      <w:r>
        <w:rPr>
          <w:b/>
          <w:bCs/>
          <w:color w:val="1F497D" w:themeColor="text2"/>
          <w:sz w:val="18"/>
          <w:szCs w:val="18"/>
        </w:rPr>
        <w:t>e, high incidence biotypes of depression</w:t>
      </w:r>
    </w:p>
    <w:p w:rsidR="00D4688D" w:rsidRDefault="00D4688D" w:rsidP="00D4688D">
      <w:pPr>
        <w:rPr>
          <w:shd w:val="clear" w:color="auto" w:fill="FFFFFF"/>
        </w:rPr>
      </w:pPr>
      <w:r>
        <w:rPr>
          <w:shd w:val="clear" w:color="auto" w:fill="FFFFFF"/>
        </w:rPr>
        <w:t>The success of renowned child and adolescent p</w:t>
      </w:r>
      <w:r w:rsidR="0069455C">
        <w:rPr>
          <w:shd w:val="clear" w:color="auto" w:fill="FFFFFF"/>
        </w:rPr>
        <w:t>sychiatrist Dr James Greenblatt</w:t>
      </w:r>
      <w:r>
        <w:rPr>
          <w:shd w:val="clear" w:color="auto" w:fill="FFFFFF"/>
        </w:rPr>
        <w:t xml:space="preserve"> in treating attention deficit hyperactivity disorder and depression is noteworthy</w:t>
      </w:r>
      <w:r w:rsidR="0069455C">
        <w:rPr>
          <w:shd w:val="clear" w:color="auto" w:fill="FFFFFF"/>
        </w:rPr>
        <w:t>,</w:t>
      </w:r>
      <w:r>
        <w:rPr>
          <w:shd w:val="clear" w:color="auto" w:fill="FFFFFF"/>
        </w:rPr>
        <w:t xml:space="preserve"> and reinforces what Deakin University Mood Food Centre has published. </w:t>
      </w:r>
    </w:p>
    <w:p w:rsidR="00D4688D" w:rsidRPr="00BB608B" w:rsidRDefault="00D4688D" w:rsidP="00D4688D">
      <w:pPr>
        <w:rPr>
          <w:shd w:val="clear" w:color="auto" w:fill="FFFFFF"/>
        </w:rPr>
      </w:pPr>
      <w:r>
        <w:rPr>
          <w:shd w:val="clear" w:color="auto" w:fill="FFFFFF"/>
        </w:rPr>
        <w:t>“</w:t>
      </w:r>
      <w:r w:rsidRPr="0059123B">
        <w:rPr>
          <w:shd w:val="clear" w:color="auto" w:fill="FFFFFF"/>
        </w:rPr>
        <w:t xml:space="preserve">There is sufficient evidence to consider a </w:t>
      </w:r>
      <w:r w:rsidRPr="00FE7F67">
        <w:rPr>
          <w:shd w:val="clear" w:color="auto" w:fill="FFFFFF"/>
        </w:rPr>
        <w:t>nutrient</w:t>
      </w:r>
      <w:r w:rsidRPr="0059123B">
        <w:rPr>
          <w:shd w:val="clear" w:color="auto" w:fill="FFFFFF"/>
        </w:rPr>
        <w:t xml:space="preserve"> as a viable monotherapy in the treatment of ADHD, whilst depression remains somewhat more reliably treated with a combination of antidepressants and nutrients”.</w:t>
      </w:r>
      <w:r w:rsidRPr="00BB608B">
        <w:rPr>
          <w:shd w:val="clear" w:color="auto" w:fill="FFFFFF"/>
        </w:rPr>
        <w:t xml:space="preserve"> </w:t>
      </w:r>
    </w:p>
    <w:p w:rsidR="00D4688D" w:rsidRPr="00BB608B" w:rsidRDefault="007227AD" w:rsidP="00D4688D">
      <w:pPr>
        <w:rPr>
          <w:shd w:val="clear" w:color="auto" w:fill="FFFFFF"/>
        </w:rPr>
      </w:pPr>
      <w:r>
        <w:rPr>
          <w:shd w:val="clear" w:color="auto" w:fill="FFFFFF"/>
        </w:rPr>
        <w:lastRenderedPageBreak/>
        <w:t xml:space="preserve">Whilst exercise and good sleep is generally acknowledged by the medical community as important to mental health, emerging information about key nutrients and brain-gut interaction </w:t>
      </w:r>
      <w:r w:rsidR="00120132">
        <w:rPr>
          <w:shd w:val="clear" w:color="auto" w:fill="FFFFFF"/>
        </w:rPr>
        <w:t>is challenging</w:t>
      </w:r>
      <w:r w:rsidR="00D4688D">
        <w:rPr>
          <w:shd w:val="clear" w:color="auto" w:fill="FFFFFF"/>
        </w:rPr>
        <w:t xml:space="preserve"> current perceptions</w:t>
      </w:r>
      <w:r>
        <w:rPr>
          <w:shd w:val="clear" w:color="auto" w:fill="FFFFFF"/>
        </w:rPr>
        <w:t xml:space="preserve">. </w:t>
      </w:r>
      <w:r w:rsidR="00D4688D">
        <w:rPr>
          <w:shd w:val="clear" w:color="auto" w:fill="FFFFFF"/>
        </w:rPr>
        <w:t xml:space="preserve"> Dr Greenblatt’s book </w:t>
      </w:r>
      <w:r w:rsidR="0069455C">
        <w:rPr>
          <w:shd w:val="clear" w:color="auto" w:fill="FFFFFF"/>
        </w:rPr>
        <w:t>“</w:t>
      </w:r>
      <w:r w:rsidR="00D4688D" w:rsidRPr="00134953">
        <w:rPr>
          <w:shd w:val="clear" w:color="auto" w:fill="FFFFFF"/>
        </w:rPr>
        <w:t>Depression Solution</w:t>
      </w:r>
      <w:r w:rsidR="0069455C">
        <w:rPr>
          <w:shd w:val="clear" w:color="auto" w:fill="FFFFFF"/>
        </w:rPr>
        <w:t>”</w:t>
      </w:r>
      <w:r w:rsidR="00D4688D">
        <w:rPr>
          <w:shd w:val="clear" w:color="auto" w:fill="FFFFFF"/>
        </w:rPr>
        <w:t xml:space="preserve"> adds immensely to the literature on holistic treatment</w:t>
      </w:r>
      <w:r w:rsidR="0016662C">
        <w:rPr>
          <w:shd w:val="clear" w:color="auto" w:fill="FFFFFF"/>
        </w:rPr>
        <w:t xml:space="preserve"> and his</w:t>
      </w:r>
      <w:r w:rsidR="00D4688D">
        <w:rPr>
          <w:shd w:val="clear" w:color="auto" w:fill="FFFFFF"/>
        </w:rPr>
        <w:t xml:space="preserve"> functional medical approach is achieving signi</w:t>
      </w:r>
      <w:r w:rsidR="0016662C">
        <w:rPr>
          <w:shd w:val="clear" w:color="auto" w:fill="FFFFFF"/>
        </w:rPr>
        <w:t xml:space="preserve">ficant results for his patients. </w:t>
      </w:r>
      <w:r w:rsidR="00714232">
        <w:rPr>
          <w:shd w:val="clear" w:color="auto" w:fill="FFFFFF"/>
        </w:rPr>
        <w:t>Whilst a</w:t>
      </w:r>
      <w:r w:rsidR="0016662C">
        <w:rPr>
          <w:shd w:val="clear" w:color="auto" w:fill="FFFFFF"/>
        </w:rPr>
        <w:t>necdotal case study evidence cannot provide standardised protocols derived from large scale randomised controls,</w:t>
      </w:r>
      <w:r w:rsidR="00417F49">
        <w:rPr>
          <w:shd w:val="clear" w:color="auto" w:fill="FFFFFF"/>
        </w:rPr>
        <w:t xml:space="preserve"> improved</w:t>
      </w:r>
      <w:r w:rsidR="0016662C">
        <w:rPr>
          <w:shd w:val="clear" w:color="auto" w:fill="FFFFFF"/>
        </w:rPr>
        <w:t xml:space="preserve"> individual outcomes are </w:t>
      </w:r>
      <w:r w:rsidR="00D4688D">
        <w:rPr>
          <w:shd w:val="clear" w:color="auto" w:fill="FFFFFF"/>
        </w:rPr>
        <w:t xml:space="preserve">demonstrating that </w:t>
      </w:r>
      <w:r w:rsidR="00D4688D" w:rsidRPr="00951300">
        <w:rPr>
          <w:shd w:val="clear" w:color="auto" w:fill="FFFFFF"/>
        </w:rPr>
        <w:t>personalised psychiatry is the way of the future</w:t>
      </w:r>
      <w:r w:rsidR="00D4688D" w:rsidRPr="00D4688D">
        <w:rPr>
          <w:shd w:val="clear" w:color="auto" w:fill="FFFFFF"/>
        </w:rPr>
        <w:t>.</w:t>
      </w:r>
      <w:r w:rsidR="00D4688D">
        <w:rPr>
          <w:shd w:val="clear" w:color="auto" w:fill="FFFFFF"/>
        </w:rPr>
        <w:t xml:space="preserve"> T</w:t>
      </w:r>
      <w:r w:rsidR="00D4688D" w:rsidRPr="00D4688D">
        <w:rPr>
          <w:shd w:val="clear" w:color="auto" w:fill="FFFFFF"/>
        </w:rPr>
        <w:t xml:space="preserve">he recently established International Society for Nutritional Psychiatry Research (ISNPR) headed by Australia’s Associate Professor </w:t>
      </w:r>
      <w:proofErr w:type="spellStart"/>
      <w:r w:rsidR="00D4688D" w:rsidRPr="00D4688D">
        <w:rPr>
          <w:shd w:val="clear" w:color="auto" w:fill="FFFFFF"/>
        </w:rPr>
        <w:t>Felice</w:t>
      </w:r>
      <w:proofErr w:type="spellEnd"/>
      <w:r w:rsidR="00D4688D" w:rsidRPr="00D4688D">
        <w:rPr>
          <w:shd w:val="clear" w:color="auto" w:fill="FFFFFF"/>
        </w:rPr>
        <w:t xml:space="preserve"> </w:t>
      </w:r>
      <w:proofErr w:type="spellStart"/>
      <w:r w:rsidR="00D4688D" w:rsidRPr="00D4688D">
        <w:rPr>
          <w:shd w:val="clear" w:color="auto" w:fill="FFFFFF"/>
        </w:rPr>
        <w:t>Jacka</w:t>
      </w:r>
      <w:proofErr w:type="spellEnd"/>
      <w:r w:rsidR="00D4688D" w:rsidRPr="00D4688D">
        <w:rPr>
          <w:shd w:val="clear" w:color="auto" w:fill="FFFFFF"/>
        </w:rPr>
        <w:t xml:space="preserve">, is now promoting nutritional medicine as mainstream in psychiatry. </w:t>
      </w:r>
    </w:p>
    <w:p w:rsidR="00D4688D" w:rsidRPr="00D4688D" w:rsidRDefault="00D4688D" w:rsidP="00D4688D">
      <w:pPr>
        <w:rPr>
          <w:shd w:val="clear" w:color="auto" w:fill="FFFFFF"/>
        </w:rPr>
      </w:pPr>
      <w:r w:rsidRPr="00D4688D">
        <w:rPr>
          <w:shd w:val="clear" w:color="auto" w:fill="FFFFFF"/>
        </w:rPr>
        <w:t>General professional consensus regarding what youth need to know about nutrition as prevention and treatment for mental health, includes:</w:t>
      </w:r>
    </w:p>
    <w:p w:rsidR="00D4688D" w:rsidRPr="00951300" w:rsidRDefault="00D4688D" w:rsidP="00D4688D">
      <w:pPr>
        <w:pStyle w:val="ListParagraph"/>
        <w:numPr>
          <w:ilvl w:val="0"/>
          <w:numId w:val="27"/>
        </w:numPr>
      </w:pPr>
      <w:r>
        <w:t>p</w:t>
      </w:r>
      <w:r w:rsidRPr="00951300">
        <w:t>oor diet creates nutrient deficiencies which can contribute to depressive symptoms</w:t>
      </w:r>
    </w:p>
    <w:p w:rsidR="00D4688D" w:rsidRPr="00951300" w:rsidRDefault="00D4688D" w:rsidP="00D4688D">
      <w:pPr>
        <w:pStyle w:val="ListParagraph"/>
        <w:numPr>
          <w:ilvl w:val="0"/>
          <w:numId w:val="27"/>
        </w:numPr>
      </w:pPr>
      <w:r>
        <w:t>a</w:t>
      </w:r>
      <w:r w:rsidRPr="00951300">
        <w:t xml:space="preserve"> </w:t>
      </w:r>
      <w:r w:rsidRPr="00877FDC">
        <w:t>Mediterranean</w:t>
      </w:r>
      <w:r w:rsidRPr="00951300">
        <w:t xml:space="preserve"> type diet appears most effective in prevention and treatment</w:t>
      </w:r>
    </w:p>
    <w:p w:rsidR="00D4688D" w:rsidRPr="00951300" w:rsidRDefault="00D4688D" w:rsidP="00D4688D">
      <w:pPr>
        <w:pStyle w:val="ListParagraph"/>
        <w:numPr>
          <w:ilvl w:val="0"/>
          <w:numId w:val="27"/>
        </w:numPr>
      </w:pPr>
      <w:r>
        <w:t>n</w:t>
      </w:r>
      <w:r w:rsidRPr="00951300">
        <w:t>utrients derived from a wide variety of colourful fresh foods are the most recognisable to body systems and provide a synergistic combination of vitamins, minerals and micronutrients which may not be easy to replicate in tablet form</w:t>
      </w:r>
    </w:p>
    <w:p w:rsidR="00D4688D" w:rsidRPr="00951300" w:rsidRDefault="00D4688D" w:rsidP="00D4688D">
      <w:pPr>
        <w:pStyle w:val="ListParagraph"/>
        <w:numPr>
          <w:ilvl w:val="0"/>
          <w:numId w:val="27"/>
        </w:numPr>
      </w:pPr>
      <w:r>
        <w:t>i</w:t>
      </w:r>
      <w:r w:rsidRPr="00951300">
        <w:t>ndividual requirements are not necessarily met via common multivitamin supplements</w:t>
      </w:r>
    </w:p>
    <w:p w:rsidR="00D4688D" w:rsidRPr="00951300" w:rsidRDefault="00D4688D" w:rsidP="00D4688D">
      <w:pPr>
        <w:pStyle w:val="ListParagraph"/>
        <w:numPr>
          <w:ilvl w:val="0"/>
          <w:numId w:val="27"/>
        </w:numPr>
      </w:pPr>
      <w:r>
        <w:t>n</w:t>
      </w:r>
      <w:r w:rsidRPr="00951300">
        <w:t>utrient requirements may not always be met through dietary measures alone</w:t>
      </w:r>
    </w:p>
    <w:p w:rsidR="00D4688D" w:rsidRPr="00951300" w:rsidRDefault="00D4688D" w:rsidP="00D4688D">
      <w:pPr>
        <w:pStyle w:val="ListParagraph"/>
        <w:numPr>
          <w:ilvl w:val="0"/>
          <w:numId w:val="27"/>
        </w:numPr>
      </w:pPr>
      <w:r>
        <w:t>n</w:t>
      </w:r>
      <w:r w:rsidRPr="00951300">
        <w:t>utrients may be an important adjunctive support to the efficacy of antidepressants</w:t>
      </w:r>
    </w:p>
    <w:p w:rsidR="00D4688D" w:rsidRPr="00951300" w:rsidRDefault="00D4688D" w:rsidP="00D4688D">
      <w:pPr>
        <w:pStyle w:val="ListParagraph"/>
        <w:numPr>
          <w:ilvl w:val="0"/>
          <w:numId w:val="27"/>
        </w:numPr>
      </w:pPr>
      <w:r>
        <w:t>v</w:t>
      </w:r>
      <w:r w:rsidRPr="00951300">
        <w:t xml:space="preserve">itamins and other nutrients are not benign substances, and incorrect supplementation can create imbalances </w:t>
      </w:r>
    </w:p>
    <w:p w:rsidR="00502627" w:rsidRDefault="00D4688D" w:rsidP="004C7686">
      <w:pPr>
        <w:pStyle w:val="ListParagraph"/>
        <w:numPr>
          <w:ilvl w:val="0"/>
          <w:numId w:val="27"/>
        </w:numPr>
      </w:pPr>
      <w:proofErr w:type="gramStart"/>
      <w:r>
        <w:t>c</w:t>
      </w:r>
      <w:r w:rsidRPr="00951300">
        <w:t>hanges</w:t>
      </w:r>
      <w:proofErr w:type="gramEnd"/>
      <w:r w:rsidRPr="00951300">
        <w:t xml:space="preserve"> in diet or supplementation should be supervised by a qualified health practitioner.</w:t>
      </w:r>
    </w:p>
    <w:p w:rsidR="004C7686" w:rsidRDefault="004C7686" w:rsidP="004C7686">
      <w:pPr>
        <w:pStyle w:val="ListParagraph"/>
      </w:pPr>
    </w:p>
    <w:p w:rsidR="00502627" w:rsidRPr="00502627" w:rsidRDefault="00417F49" w:rsidP="00502627">
      <w:pPr>
        <w:rPr>
          <w:shd w:val="clear" w:color="auto" w:fill="FFFFFF"/>
        </w:rPr>
      </w:pPr>
      <w:r>
        <w:rPr>
          <w:shd w:val="clear" w:color="auto" w:fill="FFFFFF"/>
        </w:rPr>
        <w:t>P</w:t>
      </w:r>
      <w:r w:rsidR="00502627" w:rsidRPr="00D4688D">
        <w:rPr>
          <w:shd w:val="clear" w:color="auto" w:fill="FFFFFF"/>
        </w:rPr>
        <w:t xml:space="preserve">ractitioners </w:t>
      </w:r>
      <w:r w:rsidR="00502627">
        <w:rPr>
          <w:shd w:val="clear" w:color="auto" w:fill="FFFFFF"/>
        </w:rPr>
        <w:t>need to</w:t>
      </w:r>
      <w:r w:rsidR="00502627" w:rsidRPr="00D4688D">
        <w:rPr>
          <w:shd w:val="clear" w:color="auto" w:fill="FFFFFF"/>
        </w:rPr>
        <w:t xml:space="preserve"> become educated in </w:t>
      </w:r>
      <w:r w:rsidR="00502627" w:rsidRPr="004C7686">
        <w:rPr>
          <w:shd w:val="clear" w:color="auto" w:fill="FFFFFF"/>
        </w:rPr>
        <w:t>how</w:t>
      </w:r>
      <w:r w:rsidR="00502627" w:rsidRPr="00D4688D">
        <w:rPr>
          <w:shd w:val="clear" w:color="auto" w:fill="FFFFFF"/>
        </w:rPr>
        <w:t xml:space="preserve"> nutrition, exercise and sle</w:t>
      </w:r>
      <w:r w:rsidR="00502627">
        <w:rPr>
          <w:shd w:val="clear" w:color="auto" w:fill="FFFFFF"/>
        </w:rPr>
        <w:t>ep impact mental functioning</w:t>
      </w:r>
      <w:r>
        <w:rPr>
          <w:shd w:val="clear" w:color="auto" w:fill="FFFFFF"/>
        </w:rPr>
        <w:t>,</w:t>
      </w:r>
      <w:r w:rsidR="00502627" w:rsidRPr="00D4688D">
        <w:rPr>
          <w:shd w:val="clear" w:color="auto" w:fill="FFFFFF"/>
        </w:rPr>
        <w:t xml:space="preserve"> </w:t>
      </w:r>
      <w:r w:rsidR="00502627">
        <w:rPr>
          <w:shd w:val="clear" w:color="auto" w:fill="FFFFFF"/>
        </w:rPr>
        <w:t>and</w:t>
      </w:r>
      <w:r w:rsidR="00502627" w:rsidRPr="00D4688D">
        <w:rPr>
          <w:shd w:val="clear" w:color="auto" w:fill="FFFFFF"/>
        </w:rPr>
        <w:t xml:space="preserve"> resource clients to make </w:t>
      </w:r>
      <w:r w:rsidR="00502627">
        <w:rPr>
          <w:shd w:val="clear" w:color="auto" w:fill="FFFFFF"/>
        </w:rPr>
        <w:t>the</w:t>
      </w:r>
      <w:r w:rsidR="00502627" w:rsidRPr="00D4688D">
        <w:rPr>
          <w:shd w:val="clear" w:color="auto" w:fill="FFFFFF"/>
        </w:rPr>
        <w:t xml:space="preserve"> lifestyle changes </w:t>
      </w:r>
      <w:r w:rsidR="00502627">
        <w:rPr>
          <w:shd w:val="clear" w:color="auto" w:fill="FFFFFF"/>
        </w:rPr>
        <w:t xml:space="preserve">required </w:t>
      </w:r>
      <w:r w:rsidR="00502627" w:rsidRPr="00D4688D">
        <w:rPr>
          <w:shd w:val="clear" w:color="auto" w:fill="FFFFFF"/>
        </w:rPr>
        <w:t xml:space="preserve">to sustain improvements in their own mental health. </w:t>
      </w:r>
    </w:p>
    <w:p w:rsidR="00D4688D" w:rsidRPr="00D4688D" w:rsidRDefault="00D4688D" w:rsidP="00D4688D">
      <w:pPr>
        <w:pStyle w:val="Heading3"/>
      </w:pPr>
      <w:r w:rsidRPr="00D4688D">
        <w:t>Meaningful engagement through psycho-education and experiential learning</w:t>
      </w:r>
    </w:p>
    <w:p w:rsidR="00D4688D" w:rsidRPr="00D4688D" w:rsidRDefault="00D4688D" w:rsidP="00D4688D">
      <w:pPr>
        <w:rPr>
          <w:shd w:val="clear" w:color="auto" w:fill="FFFFFF"/>
        </w:rPr>
      </w:pPr>
      <w:r w:rsidRPr="00D4688D">
        <w:rPr>
          <w:shd w:val="clear" w:color="auto" w:fill="FFFFFF"/>
        </w:rPr>
        <w:t>Neuroscience informed psychoeducation has the potential to take current pedagogy to a higher, more personally relev</w:t>
      </w:r>
      <w:r w:rsidR="00E76B5C">
        <w:rPr>
          <w:shd w:val="clear" w:color="auto" w:fill="FFFFFF"/>
        </w:rPr>
        <w:t xml:space="preserve">ant level and make intelligent </w:t>
      </w:r>
      <w:r w:rsidRPr="00D4688D">
        <w:rPr>
          <w:shd w:val="clear" w:color="auto" w:fill="FFFFFF"/>
        </w:rPr>
        <w:t xml:space="preserve">sense out of tired concepts. Whilst almost everybody knows that good nutrition, sleep and exercise support mental health, most people do not understand why or how. Until education invests itself in the detail and the implementation of best practice, our words about these important topics will remain ineffectual. </w:t>
      </w:r>
    </w:p>
    <w:p w:rsidR="00D4688D" w:rsidRPr="00D4688D" w:rsidRDefault="00D4688D" w:rsidP="00D4688D">
      <w:pPr>
        <w:rPr>
          <w:shd w:val="clear" w:color="auto" w:fill="FFFFFF"/>
        </w:rPr>
      </w:pPr>
      <w:r w:rsidRPr="00D4688D">
        <w:rPr>
          <w:shd w:val="clear" w:color="auto" w:fill="FFFFFF"/>
        </w:rPr>
        <w:t xml:space="preserve">It is a credit to the New South Wales Government and education system that many programs have already been established towards the promotion of healthy eating and exercise. The majority, however, have application in the primary school setting, up until </w:t>
      </w:r>
      <w:r w:rsidRPr="00D4688D">
        <w:rPr>
          <w:shd w:val="clear" w:color="auto" w:fill="FFFFFF"/>
        </w:rPr>
        <w:lastRenderedPageBreak/>
        <w:t>Year 10, for uptake outside of school hours, or designed for those with weight management issues. There is need for better understanding that healthy lifestyle habits are to be pursued not only, nor primarily to attain a certain body mass index, but that these habits are critical to brain function and mental health. For this reason, there should be an equal, if not greater emphasis for these kinds of programs to extend to later adolescence and take precedence within the secondary education setting.</w:t>
      </w:r>
      <w:r w:rsidR="009816E5">
        <w:rPr>
          <w:shd w:val="clear" w:color="auto" w:fill="FFFFFF"/>
        </w:rPr>
        <w:t xml:space="preserve"> </w:t>
      </w:r>
    </w:p>
    <w:p w:rsidR="00D4688D" w:rsidRPr="00D4688D" w:rsidRDefault="00D21A79" w:rsidP="00D4688D">
      <w:pPr>
        <w:rPr>
          <w:shd w:val="clear" w:color="auto" w:fill="FFFFFF"/>
        </w:rPr>
      </w:pPr>
      <w:r>
        <w:rPr>
          <w:shd w:val="clear" w:color="auto" w:fill="FFFFFF"/>
        </w:rPr>
        <w:t xml:space="preserve">The NSW Department of </w:t>
      </w:r>
      <w:r w:rsidR="00D4688D" w:rsidRPr="00D4688D">
        <w:rPr>
          <w:shd w:val="clear" w:color="auto" w:fill="FFFFFF"/>
        </w:rPr>
        <w:t>E</w:t>
      </w:r>
      <w:r>
        <w:rPr>
          <w:shd w:val="clear" w:color="auto" w:fill="FFFFFF"/>
        </w:rPr>
        <w:t>ducation</w:t>
      </w:r>
      <w:r w:rsidR="00D4688D" w:rsidRPr="00D4688D">
        <w:rPr>
          <w:shd w:val="clear" w:color="auto" w:fill="FFFFFF"/>
        </w:rPr>
        <w:t xml:space="preserve"> Healthy Schools Canteen Strategy is an important advance towards practising what we preach. All government schools to </w:t>
      </w:r>
      <w:proofErr w:type="gramStart"/>
      <w:r w:rsidR="00D4688D" w:rsidRPr="00D4688D">
        <w:rPr>
          <w:shd w:val="clear" w:color="auto" w:fill="FFFFFF"/>
        </w:rPr>
        <w:t>are</w:t>
      </w:r>
      <w:proofErr w:type="gramEnd"/>
      <w:r w:rsidR="00D4688D" w:rsidRPr="00D4688D">
        <w:rPr>
          <w:shd w:val="clear" w:color="auto" w:fill="FFFFFF"/>
        </w:rPr>
        <w:t xml:space="preserve"> expected to comply by the 2019 target, but healthy eating policy will remain ineffectual if compliance is not effectively monitored and high sugar and saturated-fat laden foods remain front and centre to tempt children. Schools should </w:t>
      </w:r>
      <w:r w:rsidR="006E2DB6">
        <w:rPr>
          <w:shd w:val="clear" w:color="auto" w:fill="FFFFFF"/>
        </w:rPr>
        <w:t xml:space="preserve">actively promote </w:t>
      </w:r>
      <w:r w:rsidR="00D4688D" w:rsidRPr="00D4688D">
        <w:rPr>
          <w:shd w:val="clear" w:color="auto" w:fill="FFFFFF"/>
        </w:rPr>
        <w:t>healthy eating messages.</w:t>
      </w:r>
    </w:p>
    <w:p w:rsidR="00216069" w:rsidRDefault="00D4688D" w:rsidP="001C0A56">
      <w:pPr>
        <w:rPr>
          <w:shd w:val="clear" w:color="auto" w:fill="FFFFFF"/>
        </w:rPr>
      </w:pPr>
      <w:r>
        <w:rPr>
          <w:noProof/>
          <w:lang w:eastAsia="en-AU"/>
        </w:rPr>
        <mc:AlternateContent>
          <mc:Choice Requires="wps">
            <w:drawing>
              <wp:anchor distT="45720" distB="45720" distL="114300" distR="114300" simplePos="0" relativeHeight="251661312" behindDoc="0" locked="0" layoutInCell="1" allowOverlap="1" wp14:anchorId="3737CE9D" wp14:editId="72FE2749">
                <wp:simplePos x="0" y="0"/>
                <wp:positionH relativeFrom="column">
                  <wp:posOffset>3331210</wp:posOffset>
                </wp:positionH>
                <wp:positionV relativeFrom="paragraph">
                  <wp:posOffset>118110</wp:posOffset>
                </wp:positionV>
                <wp:extent cx="1581150" cy="1876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876425"/>
                        </a:xfrm>
                        <a:prstGeom prst="rect">
                          <a:avLst/>
                        </a:prstGeom>
                        <a:solidFill>
                          <a:srgbClr val="FFFFFF"/>
                        </a:solidFill>
                        <a:ln w="9525">
                          <a:solidFill>
                            <a:srgbClr val="000000"/>
                          </a:solidFill>
                          <a:miter lim="800000"/>
                          <a:headEnd/>
                          <a:tailEnd/>
                        </a:ln>
                      </wps:spPr>
                      <wps:txbx>
                        <w:txbxContent>
                          <w:p w:rsidR="00D4688D" w:rsidRPr="002955ED" w:rsidRDefault="00D4688D" w:rsidP="00D4688D">
                            <w:pPr>
                              <w:jc w:val="center"/>
                              <w:rPr>
                                <w:color w:val="0070C0"/>
                                <w:szCs w:val="22"/>
                                <w:shd w:val="clear" w:color="auto" w:fill="FFFFFF"/>
                              </w:rPr>
                            </w:pPr>
                            <w:r>
                              <w:rPr>
                                <w:color w:val="0070C0"/>
                                <w:szCs w:val="22"/>
                                <w:shd w:val="clear" w:color="auto" w:fill="FFFFFF"/>
                              </w:rPr>
                              <w:t>Education</w:t>
                            </w:r>
                            <w:r w:rsidRPr="002955ED">
                              <w:rPr>
                                <w:color w:val="0070C0"/>
                                <w:szCs w:val="22"/>
                                <w:shd w:val="clear" w:color="auto" w:fill="FFFFFF"/>
                              </w:rPr>
                              <w:t xml:space="preserve"> is </w:t>
                            </w:r>
                            <w:r>
                              <w:rPr>
                                <w:color w:val="0070C0"/>
                                <w:szCs w:val="22"/>
                                <w:shd w:val="clear" w:color="auto" w:fill="FFFFFF"/>
                              </w:rPr>
                              <w:t>the</w:t>
                            </w:r>
                            <w:r w:rsidRPr="002955ED">
                              <w:rPr>
                                <w:color w:val="0070C0"/>
                                <w:szCs w:val="22"/>
                                <w:shd w:val="clear" w:color="auto" w:fill="FFFFFF"/>
                              </w:rPr>
                              <w:t xml:space="preserve"> place to</w:t>
                            </w:r>
                            <w:r>
                              <w:rPr>
                                <w:color w:val="0070C0"/>
                                <w:szCs w:val="22"/>
                                <w:shd w:val="clear" w:color="auto" w:fill="FFFFFF"/>
                              </w:rPr>
                              <w:t xml:space="preserve"> listen to important research and </w:t>
                            </w:r>
                            <w:r w:rsidRPr="002955ED">
                              <w:rPr>
                                <w:color w:val="0070C0"/>
                                <w:szCs w:val="22"/>
                                <w:shd w:val="clear" w:color="auto" w:fill="FFFFFF"/>
                              </w:rPr>
                              <w:t>model best-practice</w:t>
                            </w:r>
                          </w:p>
                          <w:p w:rsidR="00D4688D" w:rsidRPr="00F85ED4" w:rsidRDefault="00D4688D" w:rsidP="00D4688D">
                            <w:pPr>
                              <w:jc w:val="center"/>
                              <w:rPr>
                                <w:color w:val="0070C0"/>
                                <w:szCs w:val="22"/>
                                <w:shd w:val="clear" w:color="auto" w:fill="FFFFFF"/>
                              </w:rPr>
                            </w:pPr>
                            <w:r w:rsidRPr="00F85ED4">
                              <w:rPr>
                                <w:color w:val="0070C0"/>
                                <w:szCs w:val="22"/>
                                <w:shd w:val="clear" w:color="auto" w:fill="FFFFFF"/>
                              </w:rPr>
                              <w:t>Not</w:t>
                            </w:r>
                          </w:p>
                          <w:p w:rsidR="00D4688D" w:rsidRPr="002955ED" w:rsidRDefault="00D4688D" w:rsidP="00D4688D">
                            <w:pPr>
                              <w:jc w:val="center"/>
                              <w:rPr>
                                <w:color w:val="0070C0"/>
                                <w:szCs w:val="22"/>
                                <w:shd w:val="clear" w:color="auto" w:fill="FFFFFF"/>
                              </w:rPr>
                            </w:pPr>
                            <w:proofErr w:type="gramStart"/>
                            <w:r w:rsidRPr="002955ED">
                              <w:rPr>
                                <w:color w:val="0070C0"/>
                                <w:szCs w:val="22"/>
                                <w:shd w:val="clear" w:color="auto" w:fill="FFFFFF"/>
                              </w:rPr>
                              <w:t>the</w:t>
                            </w:r>
                            <w:proofErr w:type="gramEnd"/>
                            <w:r w:rsidRPr="002955ED">
                              <w:rPr>
                                <w:color w:val="0070C0"/>
                                <w:szCs w:val="22"/>
                                <w:shd w:val="clear" w:color="auto" w:fill="FFFFFF"/>
                              </w:rPr>
                              <w:t xml:space="preserve"> place to endorse junk food options</w:t>
                            </w:r>
                            <w:r>
                              <w:rPr>
                                <w:color w:val="0070C0"/>
                                <w:szCs w:val="22"/>
                                <w:shd w:val="clear" w:color="auto" w:fill="FFFFFF"/>
                              </w:rPr>
                              <w:t xml:space="preserve"> for developing minds</w:t>
                            </w:r>
                          </w:p>
                          <w:p w:rsidR="00D4688D" w:rsidRDefault="00D4688D" w:rsidP="00D46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7CE9D" id="_x0000_s1027" type="#_x0000_t202" style="position:absolute;margin-left:262.3pt;margin-top:9.3pt;width:124.5pt;height:14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">
                <v:textbox>
                  <w:txbxContent>
                    <w:p w:rsidR="00D4688D" w:rsidRPr="002955ED" w:rsidRDefault="00D4688D" w:rsidP="00D4688D">
                      <w:pPr>
                        <w:jc w:val="center"/>
                        <w:rPr>
                          <w:color w:val="0070C0"/>
                          <w:szCs w:val="22"/>
                          <w:shd w:val="clear" w:color="auto" w:fill="FFFFFF"/>
                        </w:rPr>
                      </w:pPr>
                      <w:r>
                        <w:rPr>
                          <w:color w:val="0070C0"/>
                          <w:szCs w:val="22"/>
                          <w:shd w:val="clear" w:color="auto" w:fill="FFFFFF"/>
                        </w:rPr>
                        <w:t>Education</w:t>
                      </w:r>
                      <w:r w:rsidRPr="002955ED">
                        <w:rPr>
                          <w:color w:val="0070C0"/>
                          <w:szCs w:val="22"/>
                          <w:shd w:val="clear" w:color="auto" w:fill="FFFFFF"/>
                        </w:rPr>
                        <w:t xml:space="preserve"> is </w:t>
                      </w:r>
                      <w:r>
                        <w:rPr>
                          <w:color w:val="0070C0"/>
                          <w:szCs w:val="22"/>
                          <w:shd w:val="clear" w:color="auto" w:fill="FFFFFF"/>
                        </w:rPr>
                        <w:t>the</w:t>
                      </w:r>
                      <w:r w:rsidRPr="002955ED">
                        <w:rPr>
                          <w:color w:val="0070C0"/>
                          <w:szCs w:val="22"/>
                          <w:shd w:val="clear" w:color="auto" w:fill="FFFFFF"/>
                        </w:rPr>
                        <w:t xml:space="preserve"> place to</w:t>
                      </w:r>
                      <w:r>
                        <w:rPr>
                          <w:color w:val="0070C0"/>
                          <w:szCs w:val="22"/>
                          <w:shd w:val="clear" w:color="auto" w:fill="FFFFFF"/>
                        </w:rPr>
                        <w:t xml:space="preserve"> listen to important research and </w:t>
                      </w:r>
                      <w:r w:rsidRPr="002955ED">
                        <w:rPr>
                          <w:color w:val="0070C0"/>
                          <w:szCs w:val="22"/>
                          <w:shd w:val="clear" w:color="auto" w:fill="FFFFFF"/>
                        </w:rPr>
                        <w:t>model best-practice</w:t>
                      </w:r>
                    </w:p>
                    <w:p w:rsidR="00D4688D" w:rsidRPr="00F85ED4" w:rsidRDefault="00D4688D" w:rsidP="00D4688D">
                      <w:pPr>
                        <w:jc w:val="center"/>
                        <w:rPr>
                          <w:color w:val="0070C0"/>
                          <w:szCs w:val="22"/>
                          <w:shd w:val="clear" w:color="auto" w:fill="FFFFFF"/>
                        </w:rPr>
                      </w:pPr>
                      <w:r w:rsidRPr="00F85ED4">
                        <w:rPr>
                          <w:color w:val="0070C0"/>
                          <w:szCs w:val="22"/>
                          <w:shd w:val="clear" w:color="auto" w:fill="FFFFFF"/>
                        </w:rPr>
                        <w:t>Not</w:t>
                      </w:r>
                    </w:p>
                    <w:p w:rsidR="00D4688D" w:rsidRPr="002955ED" w:rsidRDefault="00D4688D" w:rsidP="00D4688D">
                      <w:pPr>
                        <w:jc w:val="center"/>
                        <w:rPr>
                          <w:color w:val="0070C0"/>
                          <w:szCs w:val="22"/>
                          <w:shd w:val="clear" w:color="auto" w:fill="FFFFFF"/>
                        </w:rPr>
                      </w:pPr>
                      <w:r w:rsidRPr="002955ED">
                        <w:rPr>
                          <w:color w:val="0070C0"/>
                          <w:szCs w:val="22"/>
                          <w:shd w:val="clear" w:color="auto" w:fill="FFFFFF"/>
                        </w:rPr>
                        <w:t>the place to endorse junk food options</w:t>
                      </w:r>
                      <w:r>
                        <w:rPr>
                          <w:color w:val="0070C0"/>
                          <w:szCs w:val="22"/>
                          <w:shd w:val="clear" w:color="auto" w:fill="FFFFFF"/>
                        </w:rPr>
                        <w:t xml:space="preserve"> for developing minds</w:t>
                      </w:r>
                    </w:p>
                    <w:p w:rsidR="00D4688D" w:rsidRDefault="00D4688D" w:rsidP="00D4688D"/>
                  </w:txbxContent>
                </v:textbox>
                <w10:wrap type="square"/>
              </v:shape>
            </w:pict>
          </mc:Fallback>
        </mc:AlternateContent>
      </w:r>
      <w:r>
        <w:rPr>
          <w:noProof/>
          <w:shd w:val="clear" w:color="auto" w:fill="FFFFFF"/>
          <w:lang w:eastAsia="en-AU"/>
        </w:rPr>
        <w:drawing>
          <wp:inline distT="0" distB="0" distL="0" distR="0" wp14:anchorId="1C00E217" wp14:editId="68EE472C">
            <wp:extent cx="2638425" cy="2133600"/>
            <wp:effectExtent l="0" t="0" r="9525" b="0"/>
            <wp:docPr id="6" name="Picture 6" descr="school canteen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canteen food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425" cy="2133600"/>
                    </a:xfrm>
                    <a:prstGeom prst="rect">
                      <a:avLst/>
                    </a:prstGeom>
                    <a:noFill/>
                    <a:ln>
                      <a:noFill/>
                    </a:ln>
                  </pic:spPr>
                </pic:pic>
              </a:graphicData>
            </a:graphic>
          </wp:inline>
        </w:drawing>
      </w:r>
    </w:p>
    <w:p w:rsidR="00D4688D" w:rsidRDefault="00D4688D" w:rsidP="00D4688D">
      <w:pPr>
        <w:pStyle w:val="Caption"/>
        <w:rPr>
          <w:shd w:val="clear" w:color="auto" w:fill="FFFFFF"/>
        </w:rPr>
      </w:pPr>
      <w:r>
        <w:t>Figure 2: Junk Food (Photo provided by a school counsellor 2018)</w:t>
      </w:r>
    </w:p>
    <w:p w:rsidR="00D4688D" w:rsidRPr="00D4688D" w:rsidRDefault="00D4688D" w:rsidP="00D4688D">
      <w:pPr>
        <w:rPr>
          <w:shd w:val="clear" w:color="auto" w:fill="FFFFFF"/>
        </w:rPr>
      </w:pPr>
      <w:proofErr w:type="spellStart"/>
      <w:r w:rsidRPr="00D4688D">
        <w:rPr>
          <w:shd w:val="clear" w:color="auto" w:fill="FFFFFF"/>
        </w:rPr>
        <w:t>BRAiNgro</w:t>
      </w:r>
      <w:r w:rsidR="009816E5">
        <w:rPr>
          <w:shd w:val="clear" w:color="auto" w:fill="FFFFFF"/>
        </w:rPr>
        <w:t>w</w:t>
      </w:r>
      <w:proofErr w:type="spellEnd"/>
      <w:r w:rsidRPr="00D4688D">
        <w:rPr>
          <w:shd w:val="clear" w:color="auto" w:fill="FFFFFF"/>
        </w:rPr>
        <w:t xml:space="preserve"> is a whole school K-12 wellbeing program that uses the latest neuroscience research to provide students with a range of tools to improve social, emotional and educational learning. An Australian initiative, </w:t>
      </w:r>
      <w:proofErr w:type="spellStart"/>
      <w:r w:rsidRPr="00D4688D">
        <w:rPr>
          <w:shd w:val="clear" w:color="auto" w:fill="FFFFFF"/>
        </w:rPr>
        <w:t>BRAiNgro</w:t>
      </w:r>
      <w:r w:rsidR="009816E5">
        <w:rPr>
          <w:shd w:val="clear" w:color="auto" w:fill="FFFFFF"/>
        </w:rPr>
        <w:t>w</w:t>
      </w:r>
      <w:proofErr w:type="spellEnd"/>
      <w:r w:rsidRPr="00D4688D">
        <w:rPr>
          <w:shd w:val="clear" w:color="auto" w:fill="FFFFFF"/>
        </w:rPr>
        <w:t xml:space="preserve"> has been successfully trialled in schools </w:t>
      </w:r>
      <w:r w:rsidR="00001472">
        <w:rPr>
          <w:shd w:val="clear" w:color="auto" w:fill="FFFFFF"/>
        </w:rPr>
        <w:t xml:space="preserve">nationally and internationally. </w:t>
      </w:r>
      <w:r w:rsidRPr="00D4688D">
        <w:rPr>
          <w:shd w:val="clear" w:color="auto" w:fill="FFFFFF"/>
        </w:rPr>
        <w:t xml:space="preserve">Castle Cove Public School is set to take up a trial of the program commencing 2019. The importance of </w:t>
      </w:r>
      <w:proofErr w:type="spellStart"/>
      <w:r w:rsidRPr="00D4688D">
        <w:rPr>
          <w:shd w:val="clear" w:color="auto" w:fill="FFFFFF"/>
        </w:rPr>
        <w:t>BRAiNgro</w:t>
      </w:r>
      <w:r w:rsidR="00001472">
        <w:rPr>
          <w:shd w:val="clear" w:color="auto" w:fill="FFFFFF"/>
        </w:rPr>
        <w:t>w</w:t>
      </w:r>
      <w:proofErr w:type="spellEnd"/>
      <w:r w:rsidRPr="00D4688D">
        <w:rPr>
          <w:shd w:val="clear" w:color="auto" w:fill="FFFFFF"/>
        </w:rPr>
        <w:t xml:space="preserve"> is its capacity to help students explore a new and fascinating vernacular about brain function and apply this knowledge to their own social and emotional experiences. It embeds teaching of mental health without reference to confronting medicalised terminology; it explains, normalises and destigmatises common thoughts and feelings. Each lesson over the five week program provides students with theoretical knowledge combined with an experiential activity. The metacognitive and interactive nature of the learning encourages self-reflection, and effectively invites peer to peer acceptance of key concepts. </w:t>
      </w:r>
    </w:p>
    <w:p w:rsidR="00216069" w:rsidRDefault="00D4688D" w:rsidP="001C0A56">
      <w:pPr>
        <w:rPr>
          <w:shd w:val="clear" w:color="auto" w:fill="FFFFFF"/>
        </w:rPr>
      </w:pPr>
      <w:r>
        <w:rPr>
          <w:noProof/>
          <w:lang w:eastAsia="en-AU"/>
        </w:rPr>
        <mc:AlternateContent>
          <mc:Choice Requires="wps">
            <w:drawing>
              <wp:anchor distT="45720" distB="45720" distL="114300" distR="114300" simplePos="0" relativeHeight="251663360" behindDoc="0" locked="0" layoutInCell="1" allowOverlap="1" wp14:anchorId="0AE3F227" wp14:editId="65CD83BA">
                <wp:simplePos x="0" y="0"/>
                <wp:positionH relativeFrom="column">
                  <wp:posOffset>1964055</wp:posOffset>
                </wp:positionH>
                <wp:positionV relativeFrom="paragraph">
                  <wp:posOffset>32385</wp:posOffset>
                </wp:positionV>
                <wp:extent cx="2600325" cy="1404620"/>
                <wp:effectExtent l="0" t="0" r="28575"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solidFill>
                          <a:srgbClr val="FFFFFF"/>
                        </a:solidFill>
                        <a:ln w="9525">
                          <a:solidFill>
                            <a:srgbClr val="000000"/>
                          </a:solidFill>
                          <a:miter lim="800000"/>
                          <a:headEnd/>
                          <a:tailEnd/>
                        </a:ln>
                      </wps:spPr>
                      <wps:txbx>
                        <w:txbxContent>
                          <w:p w:rsidR="00D4688D" w:rsidRPr="00980D34" w:rsidRDefault="00D4688D" w:rsidP="00D4688D">
                            <w:pPr>
                              <w:rPr>
                                <w:color w:val="0070C0"/>
                              </w:rPr>
                            </w:pPr>
                            <w:r w:rsidRPr="00980D34">
                              <w:rPr>
                                <w:color w:val="0070C0"/>
                              </w:rPr>
                              <w:t>“</w:t>
                            </w:r>
                            <w:proofErr w:type="spellStart"/>
                            <w:r w:rsidRPr="00980D34">
                              <w:rPr>
                                <w:color w:val="0070C0"/>
                              </w:rPr>
                              <w:t>BRAiNgro</w:t>
                            </w:r>
                            <w:r w:rsidR="00AF1EA2">
                              <w:rPr>
                                <w:color w:val="0070C0"/>
                              </w:rPr>
                              <w:t>w</w:t>
                            </w:r>
                            <w:proofErr w:type="spellEnd"/>
                            <w:r w:rsidRPr="00980D34">
                              <w:rPr>
                                <w:color w:val="0070C0"/>
                              </w:rPr>
                              <w:t xml:space="preserve"> ensures that schools, educators, and students understand the importance of developing safe and socially connected learning environments in order to access higher order regions of the brain.”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3F227" id="_x0000_s1028" type="#_x0000_t202" style="position:absolute;margin-left:154.65pt;margin-top:2.55pt;width:204.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">
                <v:textbox style="mso-fit-shape-to-text:t">
                  <w:txbxContent>
                    <w:p w:rsidR="00D4688D" w:rsidRPr="00980D34" w:rsidRDefault="00D4688D" w:rsidP="00D4688D">
                      <w:pPr>
                        <w:rPr>
                          <w:color w:val="0070C0"/>
                        </w:rPr>
                      </w:pPr>
                      <w:r w:rsidRPr="00980D34">
                        <w:rPr>
                          <w:color w:val="0070C0"/>
                        </w:rPr>
                        <w:t>“BRAiNgro</w:t>
                      </w:r>
                      <w:r w:rsidR="00AF1EA2">
                        <w:rPr>
                          <w:color w:val="0070C0"/>
                        </w:rPr>
                        <w:t>w</w:t>
                      </w:r>
                      <w:bookmarkStart w:id="1" w:name="_GoBack"/>
                      <w:bookmarkEnd w:id="1"/>
                      <w:r w:rsidRPr="00980D34">
                        <w:rPr>
                          <w:color w:val="0070C0"/>
                        </w:rPr>
                        <w:t xml:space="preserve"> ensures that schools, educators, and students understand the importance of developing safe and socially connected learning environments in order to access higher order regions of the brain.”</w:t>
                      </w:r>
                    </w:p>
                  </w:txbxContent>
                </v:textbox>
                <w10:wrap type="square"/>
              </v:shape>
            </w:pict>
          </mc:Fallback>
        </mc:AlternateContent>
      </w:r>
      <w:r w:rsidR="00C46FF6">
        <w:rPr>
          <w:noProof/>
          <w:shd w:val="clear" w:color="auto" w:fill="FFFFFF"/>
          <w:lang w:eastAsia="en-AU"/>
        </w:rPr>
        <w:drawing>
          <wp:inline distT="0" distB="0" distL="0" distR="0">
            <wp:extent cx="1209675" cy="1357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ngrow logo.png"/>
                    <pic:cNvPicPr/>
                  </pic:nvPicPr>
                  <pic:blipFill>
                    <a:blip r:embed="rId15">
                      <a:extLst>
                        <a:ext uri="{28A0092B-C50C-407E-A947-70E740481C1C}">
                          <a14:useLocalDpi xmlns:a14="http://schemas.microsoft.com/office/drawing/2010/main" val="0"/>
                        </a:ext>
                      </a:extLst>
                    </a:blip>
                    <a:stretch>
                      <a:fillRect/>
                    </a:stretch>
                  </pic:blipFill>
                  <pic:spPr>
                    <a:xfrm>
                      <a:off x="0" y="0"/>
                      <a:ext cx="1221714" cy="1371312"/>
                    </a:xfrm>
                    <a:prstGeom prst="rect">
                      <a:avLst/>
                    </a:prstGeom>
                  </pic:spPr>
                </pic:pic>
              </a:graphicData>
            </a:graphic>
          </wp:inline>
        </w:drawing>
      </w:r>
    </w:p>
    <w:p w:rsidR="00D4688D" w:rsidRDefault="00D4688D" w:rsidP="00D4688D">
      <w:pPr>
        <w:pStyle w:val="Caption"/>
        <w:rPr>
          <w:shd w:val="clear" w:color="auto" w:fill="FFFFFF"/>
        </w:rPr>
      </w:pPr>
      <w:r>
        <w:t xml:space="preserve">Figure 3: </w:t>
      </w:r>
      <w:proofErr w:type="spellStart"/>
      <w:r>
        <w:t>BRAiNgro</w:t>
      </w:r>
      <w:r w:rsidR="00001472">
        <w:t>w</w:t>
      </w:r>
      <w:proofErr w:type="spellEnd"/>
      <w:r>
        <w:t xml:space="preserve"> Institute Pty Ltd (used with permission)</w:t>
      </w:r>
    </w:p>
    <w:p w:rsidR="00D4688D" w:rsidRPr="00D4688D" w:rsidRDefault="00D4688D" w:rsidP="00D4688D">
      <w:pPr>
        <w:pStyle w:val="Heading3"/>
      </w:pPr>
      <w:r w:rsidRPr="00D4688D">
        <w:t>The importance of youth agency</w:t>
      </w:r>
    </w:p>
    <w:p w:rsidR="00D4688D" w:rsidRPr="00D4688D" w:rsidRDefault="00D4688D" w:rsidP="00D4688D">
      <w:pPr>
        <w:rPr>
          <w:shd w:val="clear" w:color="auto" w:fill="FFFFFF"/>
        </w:rPr>
      </w:pPr>
      <w:r w:rsidRPr="00D4688D">
        <w:rPr>
          <w:shd w:val="clear" w:color="auto" w:fill="FFFFFF"/>
        </w:rPr>
        <w:t xml:space="preserve">Educating young people in the fundamental lifestyle factors they may address themselves, is necessary to creating personal agency and a sense of hope. The Canadian Jack.Org charity is empowering young people by providing essential skills in leadership </w:t>
      </w:r>
      <w:r w:rsidRPr="00D4688D">
        <w:rPr>
          <w:shd w:val="clear" w:color="auto" w:fill="FFFFFF"/>
        </w:rPr>
        <w:lastRenderedPageBreak/>
        <w:t>to help them become safe and effective ambassadors for change. The movement has proven successful in presenting authentic, relatable information. Whilst the entire approach is overseen by an expert mental health committee, the key to its success lies in utilising young people themselves in the planning and delivery of effective and relevant psychoeducation. Where young people see other young people do something, they want to do it too and this is the way to revolutionise mental health. A close equivalent to Jack.Org in Australia is ‘</w:t>
      </w:r>
      <w:proofErr w:type="spellStart"/>
      <w:r w:rsidRPr="00D4688D">
        <w:rPr>
          <w:shd w:val="clear" w:color="auto" w:fill="FFFFFF"/>
        </w:rPr>
        <w:t>Batyr</w:t>
      </w:r>
      <w:proofErr w:type="spellEnd"/>
      <w:r w:rsidRPr="00D4688D">
        <w:rPr>
          <w:shd w:val="clear" w:color="auto" w:fill="FFFFFF"/>
        </w:rPr>
        <w:t xml:space="preserve">’. Another Canadian initiative is the Warrior </w:t>
      </w:r>
      <w:proofErr w:type="gramStart"/>
      <w:r w:rsidRPr="00D4688D">
        <w:rPr>
          <w:shd w:val="clear" w:color="auto" w:fill="FFFFFF"/>
        </w:rPr>
        <w:t>Within</w:t>
      </w:r>
      <w:proofErr w:type="gramEnd"/>
      <w:r w:rsidRPr="00D4688D">
        <w:rPr>
          <w:shd w:val="clear" w:color="auto" w:fill="FFFFFF"/>
        </w:rPr>
        <w:t xml:space="preserve"> Project led by guidance officer Catherine </w:t>
      </w:r>
      <w:proofErr w:type="spellStart"/>
      <w:r w:rsidRPr="00D4688D">
        <w:rPr>
          <w:shd w:val="clear" w:color="auto" w:fill="FFFFFF"/>
        </w:rPr>
        <w:t>Wachter</w:t>
      </w:r>
      <w:proofErr w:type="spellEnd"/>
      <w:r w:rsidRPr="00D4688D">
        <w:rPr>
          <w:shd w:val="clear" w:color="auto" w:fill="FFFFFF"/>
        </w:rPr>
        <w:t xml:space="preserve"> of Toronto University Schools. She is taking psycho-education out of the counselling room and across the school curriculum with innovative student led arts and film projects. Students are connecting with themes relevant to themselves and cross curricular wellbeing is taking on new dimensions.</w:t>
      </w:r>
    </w:p>
    <w:p w:rsidR="00D4688D" w:rsidRPr="00D4688D" w:rsidRDefault="00D4688D" w:rsidP="00D4688D">
      <w:pPr>
        <w:rPr>
          <w:shd w:val="clear" w:color="auto" w:fill="FFFFFF"/>
        </w:rPr>
      </w:pPr>
      <w:r w:rsidRPr="00D4688D">
        <w:rPr>
          <w:shd w:val="clear" w:color="auto" w:fill="FFFFFF"/>
        </w:rPr>
        <w:t xml:space="preserve">The Peer </w:t>
      </w:r>
      <w:proofErr w:type="gramStart"/>
      <w:r w:rsidRPr="00D4688D">
        <w:rPr>
          <w:shd w:val="clear" w:color="auto" w:fill="FFFFFF"/>
        </w:rPr>
        <w:t>To</w:t>
      </w:r>
      <w:proofErr w:type="gramEnd"/>
      <w:r w:rsidRPr="00D4688D">
        <w:rPr>
          <w:shd w:val="clear" w:color="auto" w:fill="FFFFFF"/>
        </w:rPr>
        <w:t xml:space="preserve"> Peer Depression Awareness Campaign operating out of Ohio State University and Erika’s Lighthouse, are influential drivers of successful mental health programs in N</w:t>
      </w:r>
      <w:r w:rsidR="00D91F1E">
        <w:rPr>
          <w:shd w:val="clear" w:color="auto" w:fill="FFFFFF"/>
        </w:rPr>
        <w:t xml:space="preserve">orth American schools offering </w:t>
      </w:r>
      <w:r w:rsidRPr="00D4688D">
        <w:rPr>
          <w:shd w:val="clear" w:color="auto" w:fill="FFFFFF"/>
        </w:rPr>
        <w:t>online platform</w:t>
      </w:r>
      <w:r w:rsidR="00D91F1E">
        <w:rPr>
          <w:shd w:val="clear" w:color="auto" w:fill="FFFFFF"/>
        </w:rPr>
        <w:t xml:space="preserve">s </w:t>
      </w:r>
      <w:r w:rsidRPr="00D4688D">
        <w:rPr>
          <w:shd w:val="clear" w:color="auto" w:fill="FFFFFF"/>
        </w:rPr>
        <w:t>to remotely tap into the energy of youth as ambassadors for change</w:t>
      </w:r>
      <w:r w:rsidR="00D91F1E">
        <w:rPr>
          <w:shd w:val="clear" w:color="auto" w:fill="FFFFFF"/>
        </w:rPr>
        <w:t xml:space="preserve">. Guided by a </w:t>
      </w:r>
      <w:r w:rsidRPr="00D4688D">
        <w:rPr>
          <w:shd w:val="clear" w:color="auto" w:fill="FFFFFF"/>
        </w:rPr>
        <w:t>toolkit of id</w:t>
      </w:r>
      <w:r w:rsidR="00D91F1E">
        <w:rPr>
          <w:shd w:val="clear" w:color="auto" w:fill="FFFFFF"/>
        </w:rPr>
        <w:t xml:space="preserve">eas and proven strategies, </w:t>
      </w:r>
      <w:r w:rsidRPr="00D4688D">
        <w:rPr>
          <w:shd w:val="clear" w:color="auto" w:fill="FFFFFF"/>
        </w:rPr>
        <w:t>young people passi</w:t>
      </w:r>
      <w:r w:rsidR="006E2DB6">
        <w:rPr>
          <w:shd w:val="clear" w:color="auto" w:fill="FFFFFF"/>
        </w:rPr>
        <w:t>onate about promoting wellbeing</w:t>
      </w:r>
      <w:r w:rsidRPr="00D4688D">
        <w:rPr>
          <w:shd w:val="clear" w:color="auto" w:fill="FFFFFF"/>
        </w:rPr>
        <w:t xml:space="preserve"> </w:t>
      </w:r>
      <w:r w:rsidR="00D91F1E">
        <w:rPr>
          <w:shd w:val="clear" w:color="auto" w:fill="FFFFFF"/>
        </w:rPr>
        <w:t>do not need to waste time and resources reinventing the wheel. A centralised point</w:t>
      </w:r>
      <w:r w:rsidR="00487937">
        <w:rPr>
          <w:shd w:val="clear" w:color="auto" w:fill="FFFFFF"/>
        </w:rPr>
        <w:t xml:space="preserve"> of quality control equips them to bring suitable wellness initiatives to their school</w:t>
      </w:r>
      <w:r w:rsidR="006E2DB6">
        <w:rPr>
          <w:shd w:val="clear" w:color="auto" w:fill="FFFFFF"/>
        </w:rPr>
        <w:t>s</w:t>
      </w:r>
      <w:r w:rsidR="00487937">
        <w:rPr>
          <w:shd w:val="clear" w:color="auto" w:fill="FFFFFF"/>
        </w:rPr>
        <w:t xml:space="preserve">. </w:t>
      </w:r>
    </w:p>
    <w:p w:rsidR="00D4688D" w:rsidRPr="00D4688D" w:rsidRDefault="00D4688D" w:rsidP="00D4688D">
      <w:pPr>
        <w:pStyle w:val="Heading3"/>
      </w:pPr>
      <w:r w:rsidRPr="00D4688D">
        <w:t xml:space="preserve">Student friendly triage to support and aftercare </w:t>
      </w:r>
    </w:p>
    <w:p w:rsidR="00FF5C3F" w:rsidRDefault="00D4688D" w:rsidP="00D4688D">
      <w:pPr>
        <w:rPr>
          <w:shd w:val="clear" w:color="auto" w:fill="FFFFFF"/>
        </w:rPr>
      </w:pPr>
      <w:r w:rsidRPr="00D4688D">
        <w:rPr>
          <w:shd w:val="clear" w:color="auto" w:fill="FFFFFF"/>
        </w:rPr>
        <w:t xml:space="preserve">Placing barriers in front of teens to access the psychological care they need, (i.e. GP visit-MHCP and parent permission) is a serious misstep causing many students who need early intervention to resort to their own maladaptive coping strategies. </w:t>
      </w:r>
      <w:r w:rsidR="006E2DB6">
        <w:rPr>
          <w:shd w:val="clear" w:color="auto" w:fill="FFFFFF"/>
        </w:rPr>
        <w:t>It is well understood medically,</w:t>
      </w:r>
      <w:r w:rsidRPr="00D4688D">
        <w:rPr>
          <w:shd w:val="clear" w:color="auto" w:fill="FFFFFF"/>
        </w:rPr>
        <w:t xml:space="preserve"> that the longer you neglect treatment for stress or depressive symptoms the more serious it can become, but medicalising all referrals to psychological support as a mental health concern is creating undue stigma, and especially so in some cultural communities. Australia needs a more </w:t>
      </w:r>
      <w:proofErr w:type="spellStart"/>
      <w:r w:rsidRPr="00D4688D">
        <w:rPr>
          <w:shd w:val="clear" w:color="auto" w:fill="FFFFFF"/>
        </w:rPr>
        <w:t>multiculturally</w:t>
      </w:r>
      <w:proofErr w:type="spellEnd"/>
      <w:r w:rsidRPr="00D4688D">
        <w:rPr>
          <w:shd w:val="clear" w:color="auto" w:fill="FFFFFF"/>
        </w:rPr>
        <w:t xml:space="preserve"> sensitive triage to a wider variety of psychological supports. </w:t>
      </w:r>
    </w:p>
    <w:p w:rsidR="00704439" w:rsidRDefault="00487937" w:rsidP="00D4688D">
      <w:pPr>
        <w:rPr>
          <w:shd w:val="clear" w:color="auto" w:fill="FFFFFF"/>
        </w:rPr>
      </w:pPr>
      <w:r>
        <w:rPr>
          <w:shd w:val="clear" w:color="auto" w:fill="FFFFFF"/>
        </w:rPr>
        <w:t>COPE</w:t>
      </w:r>
      <w:r w:rsidR="00704439">
        <w:rPr>
          <w:shd w:val="clear" w:color="auto" w:fill="FFFFFF"/>
        </w:rPr>
        <w:t xml:space="preserve"> Healthy Lifestyles</w:t>
      </w:r>
      <w:r>
        <w:rPr>
          <w:shd w:val="clear" w:color="auto" w:fill="FFFFFF"/>
        </w:rPr>
        <w:t xml:space="preserve">: </w:t>
      </w:r>
      <w:r w:rsidR="00CB2ABA" w:rsidRPr="00714232">
        <w:rPr>
          <w:shd w:val="clear" w:color="auto" w:fill="FFFFFF"/>
        </w:rPr>
        <w:t xml:space="preserve">Creating Opportunities for Personal </w:t>
      </w:r>
      <w:proofErr w:type="gramStart"/>
      <w:r w:rsidR="00CB2ABA" w:rsidRPr="00714232">
        <w:rPr>
          <w:shd w:val="clear" w:color="auto" w:fill="FFFFFF"/>
        </w:rPr>
        <w:t>Empowerment</w:t>
      </w:r>
      <w:r w:rsidR="00CB2ABA">
        <w:rPr>
          <w:shd w:val="clear" w:color="auto" w:fill="FFFFFF"/>
        </w:rPr>
        <w:t xml:space="preserve">  is</w:t>
      </w:r>
      <w:proofErr w:type="gramEnd"/>
      <w:r w:rsidR="00CB2ABA">
        <w:rPr>
          <w:shd w:val="clear" w:color="auto" w:fill="FFFFFF"/>
        </w:rPr>
        <w:t xml:space="preserve"> an online and </w:t>
      </w:r>
      <w:r w:rsidR="00FF5C3F">
        <w:rPr>
          <w:shd w:val="clear" w:color="auto" w:fill="FFFFFF"/>
        </w:rPr>
        <w:t xml:space="preserve">manualised classroom friendly </w:t>
      </w:r>
      <w:r>
        <w:rPr>
          <w:shd w:val="clear" w:color="auto" w:fill="FFFFFF"/>
        </w:rPr>
        <w:t>cognitive behaviour therapy</w:t>
      </w:r>
      <w:r w:rsidR="00FF5C3F">
        <w:rPr>
          <w:shd w:val="clear" w:color="auto" w:fill="FFFFFF"/>
        </w:rPr>
        <w:t xml:space="preserve"> </w:t>
      </w:r>
      <w:r>
        <w:rPr>
          <w:shd w:val="clear" w:color="auto" w:fill="FFFFFF"/>
        </w:rPr>
        <w:t xml:space="preserve">(CBT) </w:t>
      </w:r>
      <w:r w:rsidR="00FF5C3F">
        <w:rPr>
          <w:shd w:val="clear" w:color="auto" w:fill="FFFFFF"/>
        </w:rPr>
        <w:t>program</w:t>
      </w:r>
      <w:r w:rsidR="00D91F1E">
        <w:rPr>
          <w:shd w:val="clear" w:color="auto" w:fill="FFFFFF"/>
        </w:rPr>
        <w:t xml:space="preserve"> d</w:t>
      </w:r>
      <w:r w:rsidR="00FF5C3F">
        <w:rPr>
          <w:shd w:val="clear" w:color="auto" w:fill="FFFFFF"/>
        </w:rPr>
        <w:t xml:space="preserve">eveloped by Bernadette </w:t>
      </w:r>
      <w:proofErr w:type="spellStart"/>
      <w:r w:rsidR="00FF5C3F">
        <w:rPr>
          <w:shd w:val="clear" w:color="auto" w:fill="FFFFFF"/>
        </w:rPr>
        <w:t>Melnyk</w:t>
      </w:r>
      <w:proofErr w:type="spellEnd"/>
      <w:r w:rsidR="00FF5C3F">
        <w:rPr>
          <w:shd w:val="clear" w:color="auto" w:fill="FFFFFF"/>
        </w:rPr>
        <w:t xml:space="preserve"> PhD</w:t>
      </w:r>
      <w:r w:rsidR="00CB2ABA">
        <w:rPr>
          <w:shd w:val="clear" w:color="auto" w:fill="FFFFFF"/>
        </w:rPr>
        <w:t xml:space="preserve">. </w:t>
      </w:r>
      <w:r w:rsidR="00BC0CA5">
        <w:rPr>
          <w:shd w:val="clear" w:color="auto" w:fill="FFFFFF"/>
        </w:rPr>
        <w:t xml:space="preserve">COPE has been delivered to over 8,400 children in 44 US states and Canada; it pre-teaches CBT and presents a model for </w:t>
      </w:r>
      <w:r w:rsidR="00D91F1E" w:rsidRPr="00704439">
        <w:rPr>
          <w:shd w:val="clear" w:color="auto" w:fill="FFFFFF"/>
        </w:rPr>
        <w:t xml:space="preserve">healthy lifestyle </w:t>
      </w:r>
      <w:r w:rsidR="00BC0CA5">
        <w:rPr>
          <w:shd w:val="clear" w:color="auto" w:fill="FFFFFF"/>
        </w:rPr>
        <w:t>strategy</w:t>
      </w:r>
      <w:r w:rsidR="00AC4B7D">
        <w:rPr>
          <w:shd w:val="clear" w:color="auto" w:fill="FFFFFF"/>
        </w:rPr>
        <w:t xml:space="preserve"> that students can </w:t>
      </w:r>
      <w:r w:rsidR="004C7686">
        <w:rPr>
          <w:shd w:val="clear" w:color="auto" w:fill="FFFFFF"/>
        </w:rPr>
        <w:t>apply</w:t>
      </w:r>
      <w:r w:rsidR="00CB2ABA">
        <w:rPr>
          <w:shd w:val="clear" w:color="auto" w:fill="FFFFFF"/>
        </w:rPr>
        <w:t xml:space="preserve"> in daily life. Pre-teaching CBT </w:t>
      </w:r>
      <w:r w:rsidR="00BC0CA5">
        <w:rPr>
          <w:shd w:val="clear" w:color="auto" w:fill="FFFFFF"/>
        </w:rPr>
        <w:t xml:space="preserve">and raising health consciousness </w:t>
      </w:r>
      <w:r w:rsidR="00CB2ABA">
        <w:rPr>
          <w:shd w:val="clear" w:color="auto" w:fill="FFFFFF"/>
        </w:rPr>
        <w:t>makes more</w:t>
      </w:r>
      <w:r>
        <w:rPr>
          <w:shd w:val="clear" w:color="auto" w:fill="FFFFFF"/>
        </w:rPr>
        <w:t xml:space="preserve"> sense than waiting until students are already depr</w:t>
      </w:r>
      <w:r w:rsidR="00CB2ABA">
        <w:rPr>
          <w:shd w:val="clear" w:color="auto" w:fill="FFFFFF"/>
        </w:rPr>
        <w:t xml:space="preserve">essed </w:t>
      </w:r>
      <w:r w:rsidR="00BC0CA5">
        <w:rPr>
          <w:shd w:val="clear" w:color="auto" w:fill="FFFFFF"/>
        </w:rPr>
        <w:t>a</w:t>
      </w:r>
      <w:r w:rsidR="003B4013">
        <w:rPr>
          <w:shd w:val="clear" w:color="auto" w:fill="FFFFFF"/>
        </w:rPr>
        <w:t>nd</w:t>
      </w:r>
      <w:r w:rsidR="00BC0CA5">
        <w:rPr>
          <w:shd w:val="clear" w:color="auto" w:fill="FFFFFF"/>
        </w:rPr>
        <w:t xml:space="preserve"> less inclined to </w:t>
      </w:r>
      <w:r w:rsidR="003B4013">
        <w:rPr>
          <w:shd w:val="clear" w:color="auto" w:fill="FFFFFF"/>
        </w:rPr>
        <w:t>learn.</w:t>
      </w:r>
    </w:p>
    <w:p w:rsidR="00D4688D" w:rsidRPr="00D4688D" w:rsidRDefault="00AC4B7D" w:rsidP="00D4688D">
      <w:pPr>
        <w:rPr>
          <w:shd w:val="clear" w:color="auto" w:fill="FFFFFF"/>
        </w:rPr>
      </w:pPr>
      <w:r>
        <w:rPr>
          <w:shd w:val="clear" w:color="auto" w:fill="FFFFFF"/>
        </w:rPr>
        <w:t>A</w:t>
      </w:r>
      <w:r w:rsidR="00D4688D" w:rsidRPr="00D4688D">
        <w:rPr>
          <w:shd w:val="clear" w:color="auto" w:fill="FFFFFF"/>
        </w:rPr>
        <w:t xml:space="preserve">fter a mental health related absence, </w:t>
      </w:r>
      <w:r>
        <w:rPr>
          <w:shd w:val="clear" w:color="auto" w:fill="FFFFFF"/>
        </w:rPr>
        <w:t>students</w:t>
      </w:r>
      <w:r w:rsidR="00D4688D" w:rsidRPr="00D4688D">
        <w:rPr>
          <w:shd w:val="clear" w:color="auto" w:fill="FFFFFF"/>
        </w:rPr>
        <w:t xml:space="preserve"> need a streamlined </w:t>
      </w:r>
      <w:r w:rsidR="00704439">
        <w:rPr>
          <w:shd w:val="clear" w:color="auto" w:fill="FFFFFF"/>
        </w:rPr>
        <w:t xml:space="preserve">in-school </w:t>
      </w:r>
      <w:r w:rsidR="00D4688D" w:rsidRPr="00D4688D">
        <w:rPr>
          <w:shd w:val="clear" w:color="auto" w:fill="FFFFFF"/>
        </w:rPr>
        <w:t xml:space="preserve">protocol </w:t>
      </w:r>
      <w:r>
        <w:rPr>
          <w:shd w:val="clear" w:color="auto" w:fill="FFFFFF"/>
        </w:rPr>
        <w:t>to</w:t>
      </w:r>
      <w:r w:rsidR="00D4688D" w:rsidRPr="00D4688D">
        <w:rPr>
          <w:shd w:val="clear" w:color="auto" w:fill="FFFFFF"/>
        </w:rPr>
        <w:t xml:space="preserve"> </w:t>
      </w:r>
      <w:r>
        <w:rPr>
          <w:shd w:val="clear" w:color="auto" w:fill="FFFFFF"/>
        </w:rPr>
        <w:t xml:space="preserve">facilitate </w:t>
      </w:r>
      <w:r w:rsidR="00D4688D" w:rsidRPr="00D4688D">
        <w:rPr>
          <w:shd w:val="clear" w:color="auto" w:fill="FFFFFF"/>
        </w:rPr>
        <w:t>a confidential, supportive and gradual transition back to full</w:t>
      </w:r>
      <w:r w:rsidR="00704439">
        <w:rPr>
          <w:shd w:val="clear" w:color="auto" w:fill="FFFFFF"/>
        </w:rPr>
        <w:t>-</w:t>
      </w:r>
      <w:r w:rsidR="00D4688D" w:rsidRPr="00D4688D">
        <w:rPr>
          <w:shd w:val="clear" w:color="auto" w:fill="FFFFFF"/>
        </w:rPr>
        <w:t xml:space="preserve">time study. The Bridge for Resilient Youth in Transition (BRYT) Program created by the psychiatric team of the Brookline Centre, Boston, </w:t>
      </w:r>
      <w:r>
        <w:rPr>
          <w:shd w:val="clear" w:color="auto" w:fill="FFFFFF"/>
        </w:rPr>
        <w:t xml:space="preserve">enables </w:t>
      </w:r>
      <w:r w:rsidR="00D4688D" w:rsidRPr="00D4688D">
        <w:rPr>
          <w:shd w:val="clear" w:color="auto" w:fill="FFFFFF"/>
        </w:rPr>
        <w:t>students to the receive wrap</w:t>
      </w:r>
      <w:r w:rsidR="004C7686">
        <w:rPr>
          <w:shd w:val="clear" w:color="auto" w:fill="FFFFFF"/>
        </w:rPr>
        <w:t>-</w:t>
      </w:r>
      <w:r w:rsidR="00D4688D" w:rsidRPr="00D4688D">
        <w:rPr>
          <w:shd w:val="clear" w:color="auto" w:fill="FFFFFF"/>
        </w:rPr>
        <w:t>around support they require</w:t>
      </w:r>
      <w:r>
        <w:rPr>
          <w:shd w:val="clear" w:color="auto" w:fill="FFFFFF"/>
        </w:rPr>
        <w:t xml:space="preserve"> for gentle </w:t>
      </w:r>
      <w:r w:rsidR="00704439">
        <w:rPr>
          <w:shd w:val="clear" w:color="auto" w:fill="FFFFFF"/>
        </w:rPr>
        <w:t>re-entry to school</w:t>
      </w:r>
      <w:r w:rsidR="00D4688D" w:rsidRPr="00D4688D">
        <w:rPr>
          <w:shd w:val="clear" w:color="auto" w:fill="FFFFFF"/>
        </w:rPr>
        <w:t>. Students who drop out of school suffer considerable personal los</w:t>
      </w:r>
      <w:r w:rsidR="003B4013">
        <w:rPr>
          <w:shd w:val="clear" w:color="auto" w:fill="FFFFFF"/>
        </w:rPr>
        <w:t>s</w:t>
      </w:r>
      <w:r w:rsidR="00D4688D" w:rsidRPr="00D4688D">
        <w:rPr>
          <w:shd w:val="clear" w:color="auto" w:fill="FFFFFF"/>
        </w:rPr>
        <w:t xml:space="preserve"> and social disadvantage. </w:t>
      </w:r>
      <w:r w:rsidR="00704439">
        <w:rPr>
          <w:shd w:val="clear" w:color="auto" w:fill="FFFFFF"/>
        </w:rPr>
        <w:t>BRYT has created a safety</w:t>
      </w:r>
      <w:r w:rsidR="003B4013">
        <w:rPr>
          <w:shd w:val="clear" w:color="auto" w:fill="FFFFFF"/>
        </w:rPr>
        <w:t>-</w:t>
      </w:r>
      <w:proofErr w:type="gramStart"/>
      <w:r w:rsidR="00704439">
        <w:rPr>
          <w:shd w:val="clear" w:color="auto" w:fill="FFFFFF"/>
        </w:rPr>
        <w:t>net  for</w:t>
      </w:r>
      <w:proofErr w:type="gramEnd"/>
      <w:r w:rsidR="00704439">
        <w:rPr>
          <w:shd w:val="clear" w:color="auto" w:fill="FFFFFF"/>
        </w:rPr>
        <w:t xml:space="preserve"> more than 113,000</w:t>
      </w:r>
      <w:r w:rsidR="003B4013">
        <w:rPr>
          <w:shd w:val="clear" w:color="auto" w:fill="FFFFFF"/>
        </w:rPr>
        <w:t xml:space="preserve"> students in 102 US schools and </w:t>
      </w:r>
      <w:r w:rsidR="00704439">
        <w:rPr>
          <w:shd w:val="clear" w:color="auto" w:fill="FFFFFF"/>
        </w:rPr>
        <w:t xml:space="preserve">decreased the drop-out rate for students with serious mental illness from 50 to 8%. </w:t>
      </w:r>
      <w:r w:rsidR="00D4688D" w:rsidRPr="00D4688D">
        <w:rPr>
          <w:shd w:val="clear" w:color="auto" w:fill="FFFFFF"/>
        </w:rPr>
        <w:t xml:space="preserve">In the selective high school setting, </w:t>
      </w:r>
      <w:r w:rsidR="00D4688D" w:rsidRPr="00D4688D">
        <w:rPr>
          <w:shd w:val="clear" w:color="auto" w:fill="FFFFFF"/>
        </w:rPr>
        <w:lastRenderedPageBreak/>
        <w:t xml:space="preserve">where performance anxiety can become most debilitating, a program like BRYT can effectively minimise school refusal. North Sydney Girls High School will be the first Australian school to trial this program, commencing 2019.  </w:t>
      </w:r>
    </w:p>
    <w:p w:rsidR="00D4688D" w:rsidRPr="00D4688D" w:rsidRDefault="00D4688D" w:rsidP="00D4688D">
      <w:pPr>
        <w:pStyle w:val="Heading3"/>
      </w:pPr>
      <w:r w:rsidRPr="00D4688D">
        <w:t xml:space="preserve">Implementing evidence-based psychology within education </w:t>
      </w:r>
    </w:p>
    <w:p w:rsidR="00D4688D" w:rsidRPr="00D4688D" w:rsidRDefault="00001472" w:rsidP="00D4688D">
      <w:pPr>
        <w:rPr>
          <w:shd w:val="clear" w:color="auto" w:fill="FFFFFF"/>
        </w:rPr>
      </w:pPr>
      <w:r>
        <w:rPr>
          <w:shd w:val="clear" w:color="auto" w:fill="FFFFFF"/>
        </w:rPr>
        <w:t>A program that comes and goes</w:t>
      </w:r>
      <w:r w:rsidR="00D4688D" w:rsidRPr="00D4688D">
        <w:rPr>
          <w:shd w:val="clear" w:color="auto" w:fill="FFFFFF"/>
        </w:rPr>
        <w:t xml:space="preserve"> makes an impact for a short time</w:t>
      </w:r>
      <w:r w:rsidR="00581F0A">
        <w:rPr>
          <w:shd w:val="clear" w:color="auto" w:fill="FFFFFF"/>
        </w:rPr>
        <w:t xml:space="preserve"> only</w:t>
      </w:r>
      <w:r w:rsidR="00D4688D" w:rsidRPr="00D4688D">
        <w:rPr>
          <w:shd w:val="clear" w:color="auto" w:fill="FFFFFF"/>
        </w:rPr>
        <w:t xml:space="preserve">. Schools need to </w:t>
      </w:r>
      <w:r w:rsidR="00581F0A">
        <w:rPr>
          <w:shd w:val="clear" w:color="auto" w:fill="FFFFFF"/>
        </w:rPr>
        <w:t>do more to support sustainable healthy life consciousness across the school day.</w:t>
      </w:r>
      <w:r w:rsidR="00D4688D" w:rsidRPr="00D4688D">
        <w:rPr>
          <w:shd w:val="clear" w:color="auto" w:fill="FFFFFF"/>
        </w:rPr>
        <w:t xml:space="preserve"> The National Education Initiative (2018) being delivered to schools through Beyond Blue </w:t>
      </w:r>
      <w:r w:rsidR="00581F0A">
        <w:rPr>
          <w:shd w:val="clear" w:color="auto" w:fill="FFFFFF"/>
        </w:rPr>
        <w:t xml:space="preserve">will </w:t>
      </w:r>
      <w:r w:rsidR="00082C55">
        <w:rPr>
          <w:shd w:val="clear" w:color="auto" w:fill="FFFFFF"/>
        </w:rPr>
        <w:t>help</w:t>
      </w:r>
      <w:r w:rsidR="00883A0D">
        <w:rPr>
          <w:shd w:val="clear" w:color="auto" w:fill="FFFFFF"/>
        </w:rPr>
        <w:t xml:space="preserve"> to screen </w:t>
      </w:r>
      <w:r w:rsidR="004C7686">
        <w:rPr>
          <w:shd w:val="clear" w:color="auto" w:fill="FFFFFF"/>
        </w:rPr>
        <w:t>for</w:t>
      </w:r>
      <w:r w:rsidR="00883A0D">
        <w:rPr>
          <w:shd w:val="clear" w:color="auto" w:fill="FFFFFF"/>
        </w:rPr>
        <w:t xml:space="preserve"> </w:t>
      </w:r>
      <w:r w:rsidR="004C7686">
        <w:rPr>
          <w:shd w:val="clear" w:color="auto" w:fill="FFFFFF"/>
        </w:rPr>
        <w:t>quality</w:t>
      </w:r>
      <w:r w:rsidR="00883A0D">
        <w:rPr>
          <w:shd w:val="clear" w:color="auto" w:fill="FFFFFF"/>
        </w:rPr>
        <w:t xml:space="preserve"> </w:t>
      </w:r>
      <w:r w:rsidR="00CC7D6E">
        <w:rPr>
          <w:shd w:val="clear" w:color="auto" w:fill="FFFFFF"/>
        </w:rPr>
        <w:t>evidence-based programs. H</w:t>
      </w:r>
      <w:r w:rsidR="00D4688D" w:rsidRPr="00D4688D">
        <w:rPr>
          <w:shd w:val="clear" w:color="auto" w:fill="FFFFFF"/>
        </w:rPr>
        <w:t xml:space="preserve">owever, to accomplish meaningful integration with the needs of the </w:t>
      </w:r>
      <w:r w:rsidR="00CC7D6E">
        <w:rPr>
          <w:shd w:val="clear" w:color="auto" w:fill="FFFFFF"/>
        </w:rPr>
        <w:t xml:space="preserve">students at a local level </w:t>
      </w:r>
      <w:r w:rsidR="00D4688D" w:rsidRPr="00D4688D">
        <w:rPr>
          <w:shd w:val="clear" w:color="auto" w:fill="FFFFFF"/>
        </w:rPr>
        <w:t xml:space="preserve">requires </w:t>
      </w:r>
      <w:r w:rsidR="00883A0D">
        <w:rPr>
          <w:shd w:val="clear" w:color="auto" w:fill="FFFFFF"/>
        </w:rPr>
        <w:t xml:space="preserve">better </w:t>
      </w:r>
      <w:r w:rsidR="00CC7D6E">
        <w:rPr>
          <w:shd w:val="clear" w:color="auto" w:fill="FFFFFF"/>
        </w:rPr>
        <w:t>analysis</w:t>
      </w:r>
      <w:r w:rsidR="00883A0D">
        <w:rPr>
          <w:shd w:val="clear" w:color="auto" w:fill="FFFFFF"/>
        </w:rPr>
        <w:t xml:space="preserve"> </w:t>
      </w:r>
      <w:r w:rsidR="00A35BCF">
        <w:rPr>
          <w:shd w:val="clear" w:color="auto" w:fill="FFFFFF"/>
        </w:rPr>
        <w:t>of</w:t>
      </w:r>
      <w:r w:rsidR="00883A0D">
        <w:rPr>
          <w:shd w:val="clear" w:color="auto" w:fill="FFFFFF"/>
        </w:rPr>
        <w:t xml:space="preserve"> exactly what those needs are</w:t>
      </w:r>
      <w:r w:rsidR="00A35BCF">
        <w:rPr>
          <w:shd w:val="clear" w:color="auto" w:fill="FFFFFF"/>
        </w:rPr>
        <w:t xml:space="preserve">. </w:t>
      </w:r>
      <w:r w:rsidR="00082C55">
        <w:rPr>
          <w:shd w:val="clear" w:color="auto" w:fill="FFFFFF"/>
        </w:rPr>
        <w:t xml:space="preserve">Students are already </w:t>
      </w:r>
      <w:r w:rsidR="00A35BCF">
        <w:rPr>
          <w:shd w:val="clear" w:color="auto" w:fill="FFFFFF"/>
        </w:rPr>
        <w:t>saturated</w:t>
      </w:r>
      <w:r w:rsidR="00082C55">
        <w:rPr>
          <w:shd w:val="clear" w:color="auto" w:fill="FFFFFF"/>
        </w:rPr>
        <w:t xml:space="preserve"> with online and generic psycho-education that lacks personal relevance and impact. </w:t>
      </w:r>
      <w:r w:rsidR="00D4688D" w:rsidRPr="00D4688D">
        <w:rPr>
          <w:shd w:val="clear" w:color="auto" w:fill="FFFFFF"/>
        </w:rPr>
        <w:t xml:space="preserve">The New South Wales Department of Education offers a world class model in the provision of registered psychologists within schools who are privy to information about student </w:t>
      </w:r>
      <w:r w:rsidR="0037329D">
        <w:rPr>
          <w:shd w:val="clear" w:color="auto" w:fill="FFFFFF"/>
        </w:rPr>
        <w:t>concerns</w:t>
      </w:r>
      <w:r w:rsidR="00D4688D" w:rsidRPr="00D4688D">
        <w:rPr>
          <w:shd w:val="clear" w:color="auto" w:fill="FFFFFF"/>
        </w:rPr>
        <w:t xml:space="preserve"> </w:t>
      </w:r>
      <w:r w:rsidR="00591625">
        <w:rPr>
          <w:shd w:val="clear" w:color="auto" w:fill="FFFFFF"/>
        </w:rPr>
        <w:t>like no other staff, but s</w:t>
      </w:r>
      <w:r w:rsidR="00D4688D" w:rsidRPr="00D4688D">
        <w:rPr>
          <w:shd w:val="clear" w:color="auto" w:fill="FFFFFF"/>
        </w:rPr>
        <w:t>tudent needs, hidden from common view must be known, prioritised and inform cross</w:t>
      </w:r>
      <w:r w:rsidR="00581F0A">
        <w:rPr>
          <w:shd w:val="clear" w:color="auto" w:fill="FFFFFF"/>
        </w:rPr>
        <w:t>-</w:t>
      </w:r>
      <w:r w:rsidR="00D4688D" w:rsidRPr="00D4688D">
        <w:rPr>
          <w:shd w:val="clear" w:color="auto" w:fill="FFFFFF"/>
        </w:rPr>
        <w:t>curricular welfare aims.</w:t>
      </w:r>
      <w:r w:rsidR="00883A0D">
        <w:rPr>
          <w:shd w:val="clear" w:color="auto" w:fill="FFFFFF"/>
        </w:rPr>
        <w:t xml:space="preserve"> </w:t>
      </w:r>
      <w:r w:rsidR="00A35BCF" w:rsidRPr="00D4688D">
        <w:rPr>
          <w:shd w:val="clear" w:color="auto" w:fill="FFFFFF"/>
        </w:rPr>
        <w:t xml:space="preserve">Psychology in education should not remain closed </w:t>
      </w:r>
      <w:r w:rsidR="00A35BCF">
        <w:rPr>
          <w:shd w:val="clear" w:color="auto" w:fill="FFFFFF"/>
        </w:rPr>
        <w:t xml:space="preserve">in an office reacting to crises, it should </w:t>
      </w:r>
      <w:r w:rsidR="00883A0D">
        <w:rPr>
          <w:shd w:val="clear" w:color="auto" w:fill="FFFFFF"/>
        </w:rPr>
        <w:t>be fully integrated</w:t>
      </w:r>
      <w:r w:rsidR="009545BB">
        <w:rPr>
          <w:shd w:val="clear" w:color="auto" w:fill="FFFFFF"/>
        </w:rPr>
        <w:t>,</w:t>
      </w:r>
      <w:r w:rsidR="0037329D">
        <w:rPr>
          <w:shd w:val="clear" w:color="auto" w:fill="FFFFFF"/>
        </w:rPr>
        <w:t xml:space="preserve"> informing </w:t>
      </w:r>
      <w:r w:rsidR="00D4688D" w:rsidRPr="00D4688D">
        <w:rPr>
          <w:shd w:val="clear" w:color="auto" w:fill="FFFFFF"/>
        </w:rPr>
        <w:t xml:space="preserve">executive </w:t>
      </w:r>
      <w:r w:rsidR="00E76B5C">
        <w:rPr>
          <w:shd w:val="clear" w:color="auto" w:fill="FFFFFF"/>
        </w:rPr>
        <w:t>decisions and planning</w:t>
      </w:r>
      <w:r w:rsidR="00D4688D" w:rsidRPr="00D4688D">
        <w:rPr>
          <w:shd w:val="clear" w:color="auto" w:fill="FFFFFF"/>
        </w:rPr>
        <w:t>.</w:t>
      </w:r>
    </w:p>
    <w:p w:rsidR="00D4688D" w:rsidRPr="00ED3B04" w:rsidRDefault="00D4688D" w:rsidP="00D4688D">
      <w:pPr>
        <w:pStyle w:val="Heading1"/>
        <w:rPr>
          <w:highlight w:val="white"/>
        </w:rPr>
      </w:pPr>
      <w:r w:rsidRPr="00ED3B04">
        <w:rPr>
          <w:highlight w:val="white"/>
        </w:rPr>
        <w:t>Conclusion</w:t>
      </w:r>
    </w:p>
    <w:p w:rsidR="00D4688D" w:rsidRPr="00D4688D" w:rsidRDefault="00D4688D" w:rsidP="00D4688D">
      <w:pPr>
        <w:pStyle w:val="Heading3"/>
      </w:pPr>
      <w:bookmarkStart w:id="1" w:name="_gjdgxs" w:colFirst="0" w:colLast="0"/>
      <w:bookmarkEnd w:id="1"/>
      <w:r w:rsidRPr="00D4688D">
        <w:t>Wellbeing first and foremost</w:t>
      </w:r>
    </w:p>
    <w:p w:rsidR="00AE504B" w:rsidRDefault="00D4688D" w:rsidP="007B2257">
      <w:pPr>
        <w:rPr>
          <w:highlight w:val="white"/>
        </w:rPr>
      </w:pPr>
      <w:r w:rsidRPr="00D4688D">
        <w:rPr>
          <w:highlight w:val="white"/>
        </w:rPr>
        <w:t xml:space="preserve">Schools </w:t>
      </w:r>
      <w:r w:rsidR="00CC7D6E">
        <w:rPr>
          <w:highlight w:val="white"/>
        </w:rPr>
        <w:t xml:space="preserve">are under pressure to prioritise and </w:t>
      </w:r>
      <w:r w:rsidR="00896475">
        <w:rPr>
          <w:highlight w:val="white"/>
        </w:rPr>
        <w:t>push students through</w:t>
      </w:r>
      <w:r w:rsidRPr="00D4688D">
        <w:rPr>
          <w:highlight w:val="white"/>
        </w:rPr>
        <w:t xml:space="preserve"> </w:t>
      </w:r>
      <w:r w:rsidR="00CC7D6E">
        <w:rPr>
          <w:highlight w:val="white"/>
        </w:rPr>
        <w:t xml:space="preserve">academic </w:t>
      </w:r>
      <w:r w:rsidR="00896475">
        <w:rPr>
          <w:highlight w:val="white"/>
        </w:rPr>
        <w:t>performance scales</w:t>
      </w:r>
      <w:r w:rsidR="00CC7D6E">
        <w:rPr>
          <w:highlight w:val="white"/>
        </w:rPr>
        <w:t xml:space="preserve">, </w:t>
      </w:r>
      <w:r w:rsidR="00896475">
        <w:rPr>
          <w:highlight w:val="white"/>
        </w:rPr>
        <w:t>rather than foster whole person</w:t>
      </w:r>
      <w:r w:rsidR="00CC7D6E">
        <w:rPr>
          <w:highlight w:val="white"/>
        </w:rPr>
        <w:t xml:space="preserve"> wellbeing.  I</w:t>
      </w:r>
      <w:r w:rsidRPr="00D4688D">
        <w:rPr>
          <w:highlight w:val="white"/>
        </w:rPr>
        <w:t xml:space="preserve">t’s time we recognise the missed opportunity, not only in the all-important prevention of youth suicide, but in </w:t>
      </w:r>
      <w:r w:rsidR="00896475">
        <w:rPr>
          <w:highlight w:val="white"/>
        </w:rPr>
        <w:t xml:space="preserve">actually </w:t>
      </w:r>
      <w:r w:rsidRPr="00D4688D">
        <w:rPr>
          <w:highlight w:val="white"/>
        </w:rPr>
        <w:t xml:space="preserve">optimising brain growth, development and learning. Schools have an ethical imperative to take robust measures to assess </w:t>
      </w:r>
      <w:r w:rsidR="005E56C1">
        <w:rPr>
          <w:highlight w:val="white"/>
        </w:rPr>
        <w:t>the major stressors impacting young people,</w:t>
      </w:r>
      <w:r w:rsidRPr="00D4688D">
        <w:rPr>
          <w:highlight w:val="white"/>
        </w:rPr>
        <w:t xml:space="preserve"> then prevent and manage harm. Schools are formational, and they should be good for you!</w:t>
      </w:r>
      <w:r w:rsidR="006B22FB">
        <w:rPr>
          <w:highlight w:val="white"/>
        </w:rPr>
        <w:t xml:space="preserve"> </w:t>
      </w:r>
      <w:r w:rsidRPr="00D4688D">
        <w:rPr>
          <w:highlight w:val="white"/>
        </w:rPr>
        <w:t xml:space="preserve"> </w:t>
      </w:r>
    </w:p>
    <w:p w:rsidR="003F3357" w:rsidRPr="007B2257" w:rsidRDefault="004233BA" w:rsidP="007B2257">
      <w:pPr>
        <w:rPr>
          <w:highlight w:val="white"/>
        </w:rPr>
      </w:pPr>
      <w:r w:rsidRPr="007B2257">
        <w:rPr>
          <w:highlight w:val="white"/>
        </w:rPr>
        <w:t xml:space="preserve">The NSW Curriculum Review (2018) should take the opportunity to </w:t>
      </w:r>
      <w:r w:rsidR="00EE632B">
        <w:rPr>
          <w:highlight w:val="white"/>
        </w:rPr>
        <w:t xml:space="preserve">seriously </w:t>
      </w:r>
      <w:r w:rsidRPr="007B2257">
        <w:rPr>
          <w:highlight w:val="white"/>
        </w:rPr>
        <w:t xml:space="preserve">address </w:t>
      </w:r>
      <w:r w:rsidR="007B2257">
        <w:rPr>
          <w:highlight w:val="white"/>
        </w:rPr>
        <w:t>the</w:t>
      </w:r>
      <w:r w:rsidR="003F3357" w:rsidRPr="007B2257">
        <w:rPr>
          <w:highlight w:val="white"/>
        </w:rPr>
        <w:t xml:space="preserve"> imbalance towards sedentary, competitive </w:t>
      </w:r>
      <w:r w:rsidRPr="007B2257">
        <w:rPr>
          <w:highlight w:val="white"/>
        </w:rPr>
        <w:t>academic learning and take home workload affecting the health of students and teachers.</w:t>
      </w:r>
      <w:r w:rsidR="00E76B5C" w:rsidRPr="00E76B5C">
        <w:rPr>
          <w:highlight w:val="white"/>
        </w:rPr>
        <w:t xml:space="preserve"> </w:t>
      </w:r>
      <w:r w:rsidR="00E76B5C">
        <w:rPr>
          <w:highlight w:val="white"/>
        </w:rPr>
        <w:t>T</w:t>
      </w:r>
      <w:r w:rsidR="00E76B5C" w:rsidRPr="00D4688D">
        <w:rPr>
          <w:highlight w:val="white"/>
        </w:rPr>
        <w:t>he follow</w:t>
      </w:r>
      <w:r w:rsidR="00E76B5C">
        <w:rPr>
          <w:highlight w:val="white"/>
        </w:rPr>
        <w:t>ing recommendations are offered:</w:t>
      </w:r>
    </w:p>
    <w:p w:rsidR="003F3357" w:rsidRPr="007B2257" w:rsidRDefault="00E76B5C" w:rsidP="007B2257">
      <w:pPr>
        <w:pStyle w:val="ListParagraph"/>
        <w:numPr>
          <w:ilvl w:val="0"/>
          <w:numId w:val="47"/>
        </w:numPr>
        <w:rPr>
          <w:highlight w:val="white"/>
        </w:rPr>
      </w:pPr>
      <w:r>
        <w:rPr>
          <w:highlight w:val="white"/>
        </w:rPr>
        <w:t>Integrate</w:t>
      </w:r>
      <w:r w:rsidR="003F3357" w:rsidRPr="007B2257">
        <w:rPr>
          <w:highlight w:val="white"/>
        </w:rPr>
        <w:t xml:space="preserve"> healthy eating, movement breaks and sleep self-monitoring as a routine part of brain fitness</w:t>
      </w:r>
      <w:r>
        <w:rPr>
          <w:highlight w:val="white"/>
        </w:rPr>
        <w:t xml:space="preserve"> to optimise learning success. This should be</w:t>
      </w:r>
      <w:r w:rsidR="003F3357" w:rsidRPr="007B2257">
        <w:rPr>
          <w:highlight w:val="white"/>
        </w:rPr>
        <w:t xml:space="preserve"> taught, practised and monitored across the curriculum through to Year 12</w:t>
      </w:r>
      <w:r w:rsidR="00FA43E8">
        <w:rPr>
          <w:highlight w:val="white"/>
        </w:rPr>
        <w:t>.</w:t>
      </w:r>
      <w:r w:rsidR="003F3357" w:rsidRPr="007B2257">
        <w:rPr>
          <w:highlight w:val="white"/>
        </w:rPr>
        <w:t xml:space="preserve"> </w:t>
      </w:r>
      <w:r w:rsidR="009E086C">
        <w:rPr>
          <w:highlight w:val="white"/>
        </w:rPr>
        <w:t xml:space="preserve">A program such as </w:t>
      </w:r>
      <w:proofErr w:type="spellStart"/>
      <w:r w:rsidR="009E086C">
        <w:rPr>
          <w:highlight w:val="white"/>
        </w:rPr>
        <w:t>BRAingrow</w:t>
      </w:r>
      <w:proofErr w:type="spellEnd"/>
      <w:r w:rsidR="009E086C">
        <w:rPr>
          <w:highlight w:val="white"/>
        </w:rPr>
        <w:t xml:space="preserve"> might assist in creating a neuroscience informed </w:t>
      </w:r>
      <w:r w:rsidR="00FA43E8">
        <w:rPr>
          <w:highlight w:val="white"/>
        </w:rPr>
        <w:t xml:space="preserve">brain fitness </w:t>
      </w:r>
      <w:r w:rsidR="009E086C">
        <w:rPr>
          <w:highlight w:val="white"/>
        </w:rPr>
        <w:t>vernacular.</w:t>
      </w:r>
    </w:p>
    <w:p w:rsidR="007B2257" w:rsidRPr="007B2257" w:rsidRDefault="004233BA" w:rsidP="007B2257">
      <w:pPr>
        <w:pStyle w:val="ListParagraph"/>
        <w:numPr>
          <w:ilvl w:val="0"/>
          <w:numId w:val="47"/>
        </w:numPr>
        <w:rPr>
          <w:highlight w:val="white"/>
        </w:rPr>
      </w:pPr>
      <w:r w:rsidRPr="004233BA">
        <w:rPr>
          <w:highlight w:val="white"/>
        </w:rPr>
        <w:t>The NSW Healthy Canteens Strategy should be accompanied by a he</w:t>
      </w:r>
      <w:r w:rsidR="007B2257">
        <w:rPr>
          <w:highlight w:val="white"/>
        </w:rPr>
        <w:t>a</w:t>
      </w:r>
      <w:r w:rsidR="007E1F54">
        <w:rPr>
          <w:highlight w:val="white"/>
        </w:rPr>
        <w:t xml:space="preserve">lthy eating education campaign </w:t>
      </w:r>
      <w:r w:rsidR="007B2257">
        <w:rPr>
          <w:highlight w:val="white"/>
        </w:rPr>
        <w:t>consistently</w:t>
      </w:r>
      <w:r w:rsidRPr="004233BA">
        <w:rPr>
          <w:highlight w:val="white"/>
        </w:rPr>
        <w:t xml:space="preserve"> promoted across the school community.</w:t>
      </w:r>
      <w:r w:rsidR="009816E5" w:rsidRPr="00D4688D">
        <w:rPr>
          <w:shd w:val="clear" w:color="auto" w:fill="FFFFFF"/>
        </w:rPr>
        <w:t xml:space="preserve"> </w:t>
      </w:r>
    </w:p>
    <w:p w:rsidR="007B2257" w:rsidRDefault="004233BA" w:rsidP="007B2257">
      <w:pPr>
        <w:pStyle w:val="ListParagraph"/>
        <w:numPr>
          <w:ilvl w:val="0"/>
          <w:numId w:val="47"/>
        </w:numPr>
        <w:rPr>
          <w:highlight w:val="white"/>
        </w:rPr>
      </w:pPr>
      <w:r w:rsidRPr="007B2257">
        <w:rPr>
          <w:highlight w:val="white"/>
        </w:rPr>
        <w:t xml:space="preserve">Promising programs such as Burn 2 Learn </w:t>
      </w:r>
      <w:r w:rsidR="003F3357" w:rsidRPr="007B2257">
        <w:rPr>
          <w:highlight w:val="white"/>
        </w:rPr>
        <w:t xml:space="preserve">(out of the University of Newcastle) </w:t>
      </w:r>
      <w:r w:rsidRPr="007B2257">
        <w:rPr>
          <w:highlight w:val="white"/>
        </w:rPr>
        <w:t xml:space="preserve">now trialling in NSW schools should be widely implemented as a way to facilitate recommended intervals of </w:t>
      </w:r>
      <w:r w:rsidR="003F3357" w:rsidRPr="007B2257">
        <w:rPr>
          <w:highlight w:val="white"/>
        </w:rPr>
        <w:t xml:space="preserve">supervised </w:t>
      </w:r>
      <w:r w:rsidRPr="007B2257">
        <w:rPr>
          <w:highlight w:val="white"/>
        </w:rPr>
        <w:t>exercise throughout a school day.</w:t>
      </w:r>
    </w:p>
    <w:p w:rsidR="009E086C" w:rsidRDefault="004233BA" w:rsidP="009E086C">
      <w:pPr>
        <w:pStyle w:val="ListParagraph"/>
        <w:numPr>
          <w:ilvl w:val="0"/>
          <w:numId w:val="47"/>
        </w:numPr>
        <w:rPr>
          <w:highlight w:val="white"/>
        </w:rPr>
      </w:pPr>
      <w:r w:rsidRPr="007B2257">
        <w:rPr>
          <w:highlight w:val="white"/>
        </w:rPr>
        <w:lastRenderedPageBreak/>
        <w:t>Mental health awareness needs to touch all subjects and aspects of school life. Evidence-based best practice should be informing school methodology in student recognition, reward and ranking practices. Emphasis must shift to a rubric of developmental progress towards skills, and away from a fixed snapshot of outcomes (p 12. Lawless, 2017).</w:t>
      </w:r>
    </w:p>
    <w:p w:rsidR="009E086C" w:rsidRDefault="009E086C" w:rsidP="009E086C">
      <w:pPr>
        <w:pStyle w:val="ListParagraph"/>
        <w:numPr>
          <w:ilvl w:val="0"/>
          <w:numId w:val="47"/>
        </w:numPr>
        <w:rPr>
          <w:highlight w:val="white"/>
        </w:rPr>
      </w:pPr>
      <w:r w:rsidRPr="009E086C">
        <w:rPr>
          <w:highlight w:val="white"/>
        </w:rPr>
        <w:t>High Schools need a dedicated space and consistent protocols of support for students returning to school after a mental health/wellbeing related absence, to prevent relapse and school refusal.</w:t>
      </w:r>
      <w:r>
        <w:rPr>
          <w:highlight w:val="white"/>
        </w:rPr>
        <w:t xml:space="preserve"> </w:t>
      </w:r>
      <w:r w:rsidR="004233BA" w:rsidRPr="009E086C">
        <w:rPr>
          <w:highlight w:val="white"/>
        </w:rPr>
        <w:t xml:space="preserve">The BRYT program </w:t>
      </w:r>
      <w:r w:rsidRPr="009E086C">
        <w:rPr>
          <w:highlight w:val="white"/>
        </w:rPr>
        <w:t>now successfully implemented across USA schools should be a NSW schools wellbeing imperative.</w:t>
      </w:r>
      <w:r>
        <w:rPr>
          <w:highlight w:val="white"/>
        </w:rPr>
        <w:t xml:space="preserve"> </w:t>
      </w:r>
    </w:p>
    <w:p w:rsidR="009E086C" w:rsidRDefault="004233BA" w:rsidP="009E086C">
      <w:pPr>
        <w:pStyle w:val="ListParagraph"/>
        <w:numPr>
          <w:ilvl w:val="0"/>
          <w:numId w:val="47"/>
        </w:numPr>
        <w:rPr>
          <w:highlight w:val="white"/>
        </w:rPr>
      </w:pPr>
      <w:r w:rsidRPr="009E086C">
        <w:rPr>
          <w:highlight w:val="white"/>
        </w:rPr>
        <w:t>New South Wales students are the best ambassadors for mental health awareness</w:t>
      </w:r>
      <w:r w:rsidR="009E086C">
        <w:rPr>
          <w:highlight w:val="white"/>
        </w:rPr>
        <w:t>/brain fitness</w:t>
      </w:r>
      <w:r w:rsidRPr="009E086C">
        <w:rPr>
          <w:highlight w:val="white"/>
        </w:rPr>
        <w:t xml:space="preserve"> among their peers. The NSW Department of Education could produce an online support platform modelled from Erika’s Lighthouse or Michigan Peer to Peer Awareness to </w:t>
      </w:r>
      <w:r w:rsidR="009E086C">
        <w:rPr>
          <w:highlight w:val="white"/>
        </w:rPr>
        <w:t>encourage</w:t>
      </w:r>
      <w:r w:rsidRPr="009E086C">
        <w:rPr>
          <w:highlight w:val="white"/>
        </w:rPr>
        <w:t xml:space="preserve"> and </w:t>
      </w:r>
      <w:r w:rsidR="009E086C">
        <w:rPr>
          <w:highlight w:val="white"/>
        </w:rPr>
        <w:t>guide</w:t>
      </w:r>
      <w:r w:rsidRPr="009E086C">
        <w:rPr>
          <w:highlight w:val="white"/>
        </w:rPr>
        <w:t xml:space="preserve"> enthusiastic students in their on-site wellbeing initiatives.</w:t>
      </w:r>
    </w:p>
    <w:p w:rsidR="009E086C" w:rsidRDefault="004233BA" w:rsidP="009E086C">
      <w:pPr>
        <w:pStyle w:val="ListParagraph"/>
        <w:numPr>
          <w:ilvl w:val="0"/>
          <w:numId w:val="47"/>
        </w:numPr>
        <w:rPr>
          <w:highlight w:val="white"/>
        </w:rPr>
      </w:pPr>
      <w:r w:rsidRPr="009E086C">
        <w:rPr>
          <w:highlight w:val="white"/>
        </w:rPr>
        <w:t>Schools need to optimise their promotion of the school psychology service. School</w:t>
      </w:r>
      <w:r w:rsidR="00FF5C3F">
        <w:rPr>
          <w:highlight w:val="white"/>
        </w:rPr>
        <w:t>-</w:t>
      </w:r>
      <w:r w:rsidRPr="009E086C">
        <w:rPr>
          <w:highlight w:val="white"/>
        </w:rPr>
        <w:t xml:space="preserve">based psychology should favour a coaching rather than clinical profile to make counselling services more socially desirable for improved educational and wellbeing outcomes. School counsellors with dual qualifications/training in teaching and </w:t>
      </w:r>
      <w:r w:rsidR="00EE632B">
        <w:rPr>
          <w:highlight w:val="white"/>
        </w:rPr>
        <w:t xml:space="preserve">psychology should be positioned to </w:t>
      </w:r>
      <w:r w:rsidR="00591625">
        <w:rPr>
          <w:highlight w:val="white"/>
        </w:rPr>
        <w:t xml:space="preserve">advise and </w:t>
      </w:r>
      <w:r w:rsidR="009E086C">
        <w:rPr>
          <w:highlight w:val="white"/>
        </w:rPr>
        <w:t>inform</w:t>
      </w:r>
      <w:r w:rsidRPr="009E086C">
        <w:rPr>
          <w:highlight w:val="white"/>
        </w:rPr>
        <w:t xml:space="preserve"> cros</w:t>
      </w:r>
      <w:r w:rsidR="009E086C">
        <w:rPr>
          <w:highlight w:val="white"/>
        </w:rPr>
        <w:t>s</w:t>
      </w:r>
      <w:r w:rsidR="00FA43E8">
        <w:rPr>
          <w:highlight w:val="white"/>
        </w:rPr>
        <w:t>-</w:t>
      </w:r>
      <w:r w:rsidR="009E086C">
        <w:rPr>
          <w:highlight w:val="white"/>
        </w:rPr>
        <w:t>curricula</w:t>
      </w:r>
      <w:r w:rsidR="00591625">
        <w:rPr>
          <w:highlight w:val="white"/>
        </w:rPr>
        <w:t>r</w:t>
      </w:r>
      <w:r w:rsidR="009E086C">
        <w:rPr>
          <w:highlight w:val="white"/>
        </w:rPr>
        <w:t xml:space="preserve"> wellbeing strategy and planning.</w:t>
      </w:r>
    </w:p>
    <w:p w:rsidR="00850F9B" w:rsidRDefault="004233BA" w:rsidP="00850F9B">
      <w:pPr>
        <w:pStyle w:val="ListParagraph"/>
        <w:numPr>
          <w:ilvl w:val="0"/>
          <w:numId w:val="47"/>
        </w:numPr>
        <w:rPr>
          <w:highlight w:val="white"/>
        </w:rPr>
      </w:pPr>
      <w:r w:rsidRPr="009E086C">
        <w:rPr>
          <w:highlight w:val="white"/>
        </w:rPr>
        <w:t xml:space="preserve">Students need improved access to a socially palatable range of mental health and wellbeing supports. GPs have an important role to play in acute case management, however, initial referrals to psychologists should be enabled through school counsellors or parents rather </w:t>
      </w:r>
      <w:r w:rsidR="00EE632B">
        <w:rPr>
          <w:highlight w:val="white"/>
        </w:rPr>
        <w:t xml:space="preserve">than requiring a medical plan.  </w:t>
      </w:r>
      <w:r w:rsidRPr="009E086C">
        <w:rPr>
          <w:highlight w:val="white"/>
        </w:rPr>
        <w:t xml:space="preserve">The consulting psychologist </w:t>
      </w:r>
      <w:r w:rsidR="00FA43E8">
        <w:rPr>
          <w:highlight w:val="white"/>
        </w:rPr>
        <w:t>should</w:t>
      </w:r>
      <w:r w:rsidRPr="009E086C">
        <w:rPr>
          <w:highlight w:val="white"/>
        </w:rPr>
        <w:t xml:space="preserve"> then involve a GP if further sessions or more intensive oversight is required.</w:t>
      </w:r>
    </w:p>
    <w:p w:rsidR="00487937" w:rsidRDefault="009F549C" w:rsidP="00850F9B">
      <w:pPr>
        <w:pStyle w:val="ListParagraph"/>
        <w:numPr>
          <w:ilvl w:val="0"/>
          <w:numId w:val="47"/>
        </w:numPr>
        <w:rPr>
          <w:highlight w:val="white"/>
        </w:rPr>
      </w:pPr>
      <w:r w:rsidRPr="00850F9B">
        <w:rPr>
          <w:highlight w:val="white"/>
        </w:rPr>
        <w:t>My scholarship work has been shared through school’s P &amp; C, school counsellor teams, the Mental Health Professionals Network and the Australian Psychological Society</w:t>
      </w:r>
      <w:r w:rsidR="00E34AE6">
        <w:rPr>
          <w:highlight w:val="white"/>
        </w:rPr>
        <w:t>.</w:t>
      </w:r>
      <w:r>
        <w:rPr>
          <w:highlight w:val="white"/>
        </w:rPr>
        <w:t xml:space="preserve"> </w:t>
      </w:r>
      <w:r w:rsidR="007E1F54">
        <w:rPr>
          <w:highlight w:val="white"/>
        </w:rPr>
        <w:t xml:space="preserve">More detail </w:t>
      </w:r>
      <w:r w:rsidR="00487937">
        <w:rPr>
          <w:highlight w:val="white"/>
        </w:rPr>
        <w:t>about the promising research and programs highlighted by this study tour</w:t>
      </w:r>
      <w:r>
        <w:rPr>
          <w:highlight w:val="white"/>
        </w:rPr>
        <w:t xml:space="preserve"> may be accessed through my website </w:t>
      </w:r>
      <w:hyperlink r:id="rId16" w:tooltip="Link to website It's Not all in the mind" w:history="1">
        <w:proofErr w:type="gramStart"/>
        <w:r w:rsidRPr="00850F9B">
          <w:rPr>
            <w:rStyle w:val="Hyperlink"/>
            <w:highlight w:val="white"/>
          </w:rPr>
          <w:t>It’s</w:t>
        </w:r>
        <w:proofErr w:type="gramEnd"/>
        <w:r w:rsidRPr="00850F9B">
          <w:rPr>
            <w:rStyle w:val="Hyperlink"/>
            <w:highlight w:val="white"/>
          </w:rPr>
          <w:t xml:space="preserve"> Not All in the Mind</w:t>
        </w:r>
      </w:hyperlink>
      <w:r>
        <w:rPr>
          <w:highlight w:val="white"/>
        </w:rPr>
        <w:t xml:space="preserve">. </w:t>
      </w:r>
    </w:p>
    <w:p w:rsidR="00D4688D" w:rsidRPr="00850F9B" w:rsidRDefault="00E34AE6" w:rsidP="00850F9B">
      <w:pPr>
        <w:pStyle w:val="ListParagraph"/>
        <w:numPr>
          <w:ilvl w:val="0"/>
          <w:numId w:val="47"/>
        </w:numPr>
        <w:rPr>
          <w:highlight w:val="white"/>
        </w:rPr>
      </w:pPr>
      <w:r>
        <w:rPr>
          <w:highlight w:val="white"/>
        </w:rPr>
        <w:t>Finally, establishing an</w:t>
      </w:r>
      <w:r w:rsidR="00850F9B" w:rsidRPr="00850F9B">
        <w:rPr>
          <w:highlight w:val="white"/>
        </w:rPr>
        <w:t xml:space="preserve"> Anika Foundation Scholars Alumni </w:t>
      </w:r>
      <w:r>
        <w:rPr>
          <w:highlight w:val="white"/>
        </w:rPr>
        <w:t>could</w:t>
      </w:r>
      <w:r w:rsidR="00FA43E8">
        <w:rPr>
          <w:highlight w:val="white"/>
        </w:rPr>
        <w:t xml:space="preserve"> assist the NSW Department of Education </w:t>
      </w:r>
      <w:r w:rsidR="00850F9B" w:rsidRPr="00850F9B">
        <w:rPr>
          <w:highlight w:val="white"/>
        </w:rPr>
        <w:t xml:space="preserve">to discuss, explore and promote </w:t>
      </w:r>
      <w:r w:rsidR="00850F9B">
        <w:rPr>
          <w:highlight w:val="white"/>
        </w:rPr>
        <w:t>useful recommendations with</w:t>
      </w:r>
      <w:r w:rsidR="00FA43E8">
        <w:rPr>
          <w:highlight w:val="white"/>
        </w:rPr>
        <w:t>in</w:t>
      </w:r>
      <w:r w:rsidR="00850F9B">
        <w:rPr>
          <w:highlight w:val="white"/>
        </w:rPr>
        <w:t xml:space="preserve"> scholars’ projects.</w:t>
      </w:r>
      <w:r w:rsidR="004233BA" w:rsidRPr="00850F9B">
        <w:rPr>
          <w:highlight w:val="white"/>
        </w:rPr>
        <w:t xml:space="preserve"> Maximum potential is lost if Anika Foundation reports become archives rather than blueprints for change.</w:t>
      </w:r>
    </w:p>
    <w:p w:rsidR="00D4688D" w:rsidRPr="00ED3B04" w:rsidRDefault="004233BA" w:rsidP="00D4688D">
      <w:pPr>
        <w:pStyle w:val="Heading1"/>
      </w:pPr>
      <w:r>
        <w:t>References</w:t>
      </w:r>
    </w:p>
    <w:p w:rsidR="004233BA" w:rsidRDefault="004233BA" w:rsidP="004233BA">
      <w:pPr>
        <w:pStyle w:val="ListParagraph"/>
        <w:numPr>
          <w:ilvl w:val="0"/>
          <w:numId w:val="29"/>
        </w:numPr>
      </w:pPr>
      <w:r>
        <w:t>Australian Institute of Health and Welfare (2017). A Picture of Overweight and Obesity.</w:t>
      </w:r>
    </w:p>
    <w:p w:rsidR="004233BA" w:rsidRDefault="004233BA" w:rsidP="004233BA">
      <w:pPr>
        <w:pStyle w:val="ListParagraph"/>
        <w:numPr>
          <w:ilvl w:val="0"/>
          <w:numId w:val="29"/>
        </w:numPr>
      </w:pPr>
      <w:r>
        <w:t>Be You, Educators Handbook: Primary and Secondary Schools. Beyond Blue.</w:t>
      </w:r>
      <w:r w:rsidRPr="00736C7C">
        <w:t xml:space="preserve"> https://www.beyondblue.org.au/healthy-places/learning-communities</w:t>
      </w:r>
    </w:p>
    <w:p w:rsidR="004233BA" w:rsidRDefault="004233BA" w:rsidP="004233BA">
      <w:pPr>
        <w:pStyle w:val="ListParagraph"/>
        <w:numPr>
          <w:ilvl w:val="0"/>
          <w:numId w:val="29"/>
        </w:numPr>
      </w:pPr>
      <w:proofErr w:type="spellStart"/>
      <w:r>
        <w:t>B</w:t>
      </w:r>
      <w:r w:rsidR="005F3561">
        <w:t>RAiNgro</w:t>
      </w:r>
      <w:proofErr w:type="spellEnd"/>
      <w:r>
        <w:t xml:space="preserve">. </w:t>
      </w:r>
      <w:hyperlink r:id="rId17" w:history="1">
        <w:r w:rsidRPr="008C2C03">
          <w:rPr>
            <w:rStyle w:val="Hyperlink"/>
          </w:rPr>
          <w:t>www.braingro.com.au</w:t>
        </w:r>
      </w:hyperlink>
    </w:p>
    <w:p w:rsidR="004233BA" w:rsidRDefault="004233BA" w:rsidP="004233BA">
      <w:pPr>
        <w:pStyle w:val="ListParagraph"/>
        <w:numPr>
          <w:ilvl w:val="0"/>
          <w:numId w:val="29"/>
        </w:numPr>
      </w:pPr>
      <w:r>
        <w:t xml:space="preserve">Burn 2 Learn: University of Newcastle. </w:t>
      </w:r>
      <w:hyperlink r:id="rId18" w:history="1">
        <w:r w:rsidR="00EE632B" w:rsidRPr="00293941">
          <w:rPr>
            <w:rStyle w:val="Hyperlink"/>
          </w:rPr>
          <w:t>https://www.newcastle.edu.au/highlights/our-researchers/education-arts/education/fit-for-learning</w:t>
        </w:r>
      </w:hyperlink>
    </w:p>
    <w:p w:rsidR="00EE632B" w:rsidRDefault="00EE632B" w:rsidP="00EE632B">
      <w:pPr>
        <w:pStyle w:val="ListParagraph"/>
        <w:numPr>
          <w:ilvl w:val="0"/>
          <w:numId w:val="29"/>
        </w:numPr>
      </w:pPr>
      <w:r>
        <w:lastRenderedPageBreak/>
        <w:t xml:space="preserve">COPE. </w:t>
      </w:r>
      <w:hyperlink r:id="rId19" w:history="1">
        <w:r w:rsidRPr="00EE632B">
          <w:rPr>
            <w:rStyle w:val="Hyperlink"/>
          </w:rPr>
          <w:t>www.cope2thrive.com</w:t>
        </w:r>
      </w:hyperlink>
    </w:p>
    <w:p w:rsidR="004233BA" w:rsidRDefault="004233BA" w:rsidP="004233BA">
      <w:pPr>
        <w:pStyle w:val="ListParagraph"/>
        <w:numPr>
          <w:ilvl w:val="0"/>
          <w:numId w:val="29"/>
        </w:numPr>
      </w:pPr>
      <w:r>
        <w:t>Harvey SB et al (2017). Exercise and the prevention of depression: Results of the HUNT cohort study. The American Journal of Psychiatry, October. Exercise Your Mood; Black Dog Institute</w:t>
      </w:r>
    </w:p>
    <w:p w:rsidR="004233BA" w:rsidRDefault="004233BA" w:rsidP="004233BA">
      <w:pPr>
        <w:pStyle w:val="ListParagraph"/>
        <w:numPr>
          <w:ilvl w:val="0"/>
          <w:numId w:val="29"/>
        </w:numPr>
      </w:pPr>
      <w:r>
        <w:t xml:space="preserve">Health Direct. </w:t>
      </w:r>
      <w:r w:rsidRPr="00736C7C">
        <w:t>https://www.healthdirect.gov.au/obesity-in-children</w:t>
      </w:r>
    </w:p>
    <w:p w:rsidR="004233BA" w:rsidRPr="00ED3B04" w:rsidRDefault="004233BA" w:rsidP="004233BA">
      <w:pPr>
        <w:pStyle w:val="ListParagraph"/>
        <w:numPr>
          <w:ilvl w:val="0"/>
          <w:numId w:val="29"/>
        </w:numPr>
      </w:pPr>
      <w:r>
        <w:t xml:space="preserve">Healthy Kids NSW: </w:t>
      </w:r>
      <w:r w:rsidRPr="00A45164">
        <w:t>https://www.healthykids.nsw.gov.au/campaigns-programs/nsw-healthy-school-canteen-strategy.aspx</w:t>
      </w:r>
    </w:p>
    <w:p w:rsidR="004233BA" w:rsidRPr="007725F1" w:rsidRDefault="00BB1567" w:rsidP="004233BA">
      <w:pPr>
        <w:pStyle w:val="ListParagraph"/>
        <w:numPr>
          <w:ilvl w:val="0"/>
          <w:numId w:val="29"/>
        </w:numPr>
        <w:rPr>
          <w:rStyle w:val="Hyperlink"/>
          <w:color w:val="000000"/>
          <w:u w:val="none"/>
        </w:rPr>
      </w:pPr>
      <w:hyperlink r:id="rId20" w:history="1">
        <w:r w:rsidR="004233BA" w:rsidRPr="005F6D09">
          <w:rPr>
            <w:rStyle w:val="Hyperlink"/>
          </w:rPr>
          <w:t>https://www.healthykids.nsw.gov.au/teachers-childcare/healthy-lifestyle-programs-for-primary-schools/sporting-schools.aspx</w:t>
        </w:r>
      </w:hyperlink>
    </w:p>
    <w:p w:rsidR="004233BA" w:rsidRPr="007725F1" w:rsidRDefault="004233BA" w:rsidP="004233BA">
      <w:pPr>
        <w:pStyle w:val="ListParagraph"/>
        <w:numPr>
          <w:ilvl w:val="0"/>
          <w:numId w:val="29"/>
        </w:numPr>
        <w:rPr>
          <w:rStyle w:val="Hyperlink"/>
          <w:color w:val="000000"/>
          <w:u w:val="none"/>
        </w:rPr>
      </w:pPr>
      <w:r>
        <w:t xml:space="preserve">Hoare (2016). Mood and Food Centre </w:t>
      </w:r>
      <w:hyperlink r:id="rId21" w:history="1">
        <w:r w:rsidRPr="005C387F">
          <w:rPr>
            <w:rStyle w:val="Hyperlink"/>
          </w:rPr>
          <w:t>https://foodandmoodcentre.com.au/complex-systems-and-mental-health/</w:t>
        </w:r>
      </w:hyperlink>
    </w:p>
    <w:p w:rsidR="004233BA" w:rsidRPr="006171A3" w:rsidRDefault="004233BA" w:rsidP="004233BA">
      <w:pPr>
        <w:pStyle w:val="ListParagraph"/>
        <w:numPr>
          <w:ilvl w:val="0"/>
          <w:numId w:val="29"/>
        </w:numPr>
        <w:rPr>
          <w:rStyle w:val="Hyperlink"/>
          <w:color w:val="000000"/>
          <w:u w:val="none"/>
        </w:rPr>
      </w:pPr>
      <w:r>
        <w:t xml:space="preserve">Jack.Org </w:t>
      </w:r>
      <w:hyperlink r:id="rId22" w:history="1">
        <w:r w:rsidRPr="00412010">
          <w:rPr>
            <w:rStyle w:val="Hyperlink"/>
          </w:rPr>
          <w:t>https://jack.org/Home</w:t>
        </w:r>
      </w:hyperlink>
    </w:p>
    <w:p w:rsidR="004233BA" w:rsidRPr="00581900" w:rsidRDefault="004233BA" w:rsidP="004233BA">
      <w:pPr>
        <w:pStyle w:val="ListParagraph"/>
        <w:numPr>
          <w:ilvl w:val="0"/>
          <w:numId w:val="29"/>
        </w:numPr>
        <w:rPr>
          <w:rFonts w:cstheme="minorHAnsi"/>
          <w:color w:val="333333"/>
          <w:szCs w:val="22"/>
        </w:rPr>
      </w:pPr>
      <w:proofErr w:type="spellStart"/>
      <w:r w:rsidRPr="009321D3">
        <w:rPr>
          <w:rFonts w:cstheme="minorHAnsi"/>
          <w:color w:val="333333"/>
          <w:szCs w:val="22"/>
        </w:rPr>
        <w:t>Felice</w:t>
      </w:r>
      <w:proofErr w:type="spellEnd"/>
      <w:r w:rsidRPr="009321D3">
        <w:rPr>
          <w:rFonts w:cstheme="minorHAnsi"/>
          <w:color w:val="333333"/>
          <w:szCs w:val="22"/>
        </w:rPr>
        <w:t xml:space="preserve"> N. </w:t>
      </w:r>
      <w:proofErr w:type="spellStart"/>
      <w:r w:rsidRPr="009321D3">
        <w:rPr>
          <w:rFonts w:cstheme="minorHAnsi"/>
          <w:color w:val="333333"/>
          <w:szCs w:val="22"/>
        </w:rPr>
        <w:t>Jacka</w:t>
      </w:r>
      <w:proofErr w:type="spellEnd"/>
      <w:r w:rsidRPr="009321D3">
        <w:rPr>
          <w:rFonts w:cstheme="minorHAnsi"/>
          <w:color w:val="333333"/>
          <w:szCs w:val="22"/>
        </w:rPr>
        <w:t xml:space="preserve"> , Peter J. Kremer, Michael Berk, Andrea M. de Silva-</w:t>
      </w:r>
      <w:proofErr w:type="spellStart"/>
      <w:r w:rsidRPr="009321D3">
        <w:rPr>
          <w:rFonts w:cstheme="minorHAnsi"/>
          <w:color w:val="333333"/>
          <w:szCs w:val="22"/>
        </w:rPr>
        <w:t>Sanigorski</w:t>
      </w:r>
      <w:proofErr w:type="spellEnd"/>
      <w:r w:rsidRPr="009321D3">
        <w:rPr>
          <w:rFonts w:cstheme="minorHAnsi"/>
          <w:color w:val="333333"/>
          <w:szCs w:val="22"/>
        </w:rPr>
        <w:t xml:space="preserve">, Marjorie </w:t>
      </w:r>
      <w:proofErr w:type="spellStart"/>
      <w:r w:rsidRPr="009321D3">
        <w:rPr>
          <w:rFonts w:cstheme="minorHAnsi"/>
          <w:color w:val="333333"/>
          <w:szCs w:val="22"/>
        </w:rPr>
        <w:t>Moodie</w:t>
      </w:r>
      <w:proofErr w:type="spellEnd"/>
      <w:r w:rsidRPr="009321D3">
        <w:rPr>
          <w:rFonts w:cstheme="minorHAnsi"/>
          <w:color w:val="333333"/>
          <w:szCs w:val="22"/>
        </w:rPr>
        <w:t xml:space="preserve">, Eva R. Leslie, Julie A. Pasco, Boyd A. </w:t>
      </w:r>
      <w:proofErr w:type="spellStart"/>
      <w:r w:rsidRPr="009321D3">
        <w:rPr>
          <w:rFonts w:cstheme="minorHAnsi"/>
          <w:color w:val="333333"/>
          <w:szCs w:val="22"/>
        </w:rPr>
        <w:t>Swinburn</w:t>
      </w:r>
      <w:proofErr w:type="spellEnd"/>
      <w:r>
        <w:rPr>
          <w:rFonts w:cstheme="minorHAnsi"/>
          <w:color w:val="333333"/>
          <w:szCs w:val="22"/>
        </w:rPr>
        <w:t xml:space="preserve"> (2011). </w:t>
      </w:r>
      <w:r w:rsidRPr="00A25B2D">
        <w:rPr>
          <w:rFonts w:cstheme="minorHAnsi"/>
          <w:color w:val="333333"/>
          <w:szCs w:val="22"/>
        </w:rPr>
        <w:t>A Prospective Study of Diet Quality and Mental Health in Adolescents</w:t>
      </w:r>
      <w:r>
        <w:rPr>
          <w:rFonts w:cstheme="minorHAnsi"/>
          <w:color w:val="333333"/>
          <w:szCs w:val="22"/>
        </w:rPr>
        <w:t>.</w:t>
      </w:r>
      <w:r w:rsidRPr="009321D3">
        <w:t xml:space="preserve"> </w:t>
      </w:r>
      <w:r w:rsidRPr="009321D3">
        <w:rPr>
          <w:rFonts w:cstheme="minorHAnsi"/>
          <w:color w:val="333333"/>
          <w:szCs w:val="22"/>
        </w:rPr>
        <w:t>https://doi.org/10.1371/journal.pone.0024805</w:t>
      </w:r>
    </w:p>
    <w:p w:rsidR="004233BA" w:rsidRPr="00035BEB" w:rsidRDefault="004233BA" w:rsidP="004233BA">
      <w:pPr>
        <w:pStyle w:val="ListParagraph"/>
        <w:numPr>
          <w:ilvl w:val="0"/>
          <w:numId w:val="29"/>
        </w:numPr>
        <w:spacing w:line="360" w:lineRule="auto"/>
        <w:rPr>
          <w:rFonts w:cstheme="minorHAnsi"/>
          <w:szCs w:val="22"/>
        </w:rPr>
      </w:pPr>
      <w:r>
        <w:rPr>
          <w:rFonts w:cstheme="minorHAnsi"/>
          <w:color w:val="333333"/>
          <w:szCs w:val="22"/>
          <w:shd w:val="clear" w:color="auto" w:fill="FFFFFF"/>
        </w:rPr>
        <w:t>Lawless, B (2017) Bad Grades. Education Today, Term 2.</w:t>
      </w:r>
    </w:p>
    <w:p w:rsidR="004233BA" w:rsidRPr="00731574" w:rsidRDefault="004233BA" w:rsidP="004233BA">
      <w:pPr>
        <w:pStyle w:val="ListParagraph"/>
        <w:numPr>
          <w:ilvl w:val="0"/>
          <w:numId w:val="29"/>
        </w:numPr>
        <w:spacing w:line="360" w:lineRule="auto"/>
      </w:pPr>
      <w:r>
        <w:t xml:space="preserve">Ley (2015) Media Release, Minister for Health and Sport, The Hon </w:t>
      </w:r>
      <w:proofErr w:type="spellStart"/>
      <w:r>
        <w:t>Sussan</w:t>
      </w:r>
      <w:proofErr w:type="spellEnd"/>
      <w:r>
        <w:t xml:space="preserve"> Ley MP, 7 August. </w:t>
      </w:r>
    </w:p>
    <w:p w:rsidR="004233BA" w:rsidRPr="00731574" w:rsidRDefault="00BB1567" w:rsidP="004233BA">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360" w:lineRule="auto"/>
        <w:rPr>
          <w:rFonts w:ascii="Arial" w:hAnsi="Arial" w:cs="Arial"/>
          <w:color w:val="333333"/>
          <w:szCs w:val="22"/>
        </w:rPr>
      </w:pPr>
      <w:hyperlink r:id="rId23" w:history="1">
        <w:r w:rsidR="004233BA" w:rsidRPr="00E77589">
          <w:rPr>
            <w:rFonts w:ascii="Arial" w:hAnsi="Arial" w:cs="Arial"/>
            <w:color w:val="auto"/>
            <w:szCs w:val="22"/>
            <w:shd w:val="clear" w:color="auto" w:fill="FFFFFF"/>
          </w:rPr>
          <w:t>Marino DD</w:t>
        </w:r>
      </w:hyperlink>
      <w:r w:rsidR="004233BA" w:rsidRPr="00E77589">
        <w:rPr>
          <w:rFonts w:ascii="Arial" w:hAnsi="Arial" w:cs="Arial"/>
          <w:color w:val="auto"/>
          <w:szCs w:val="22"/>
          <w:shd w:val="clear" w:color="auto" w:fill="FFFFFF"/>
        </w:rPr>
        <w:t>, </w:t>
      </w:r>
      <w:hyperlink r:id="rId24" w:history="1">
        <w:r w:rsidR="004233BA" w:rsidRPr="00E77589">
          <w:rPr>
            <w:rFonts w:ascii="Arial" w:hAnsi="Arial" w:cs="Arial"/>
            <w:color w:val="auto"/>
            <w:szCs w:val="22"/>
            <w:shd w:val="clear" w:color="auto" w:fill="FFFFFF"/>
          </w:rPr>
          <w:t>King JC</w:t>
        </w:r>
      </w:hyperlink>
      <w:r w:rsidR="004233BA">
        <w:rPr>
          <w:szCs w:val="22"/>
        </w:rPr>
        <w:t xml:space="preserve"> </w:t>
      </w:r>
      <w:r w:rsidR="004233BA" w:rsidRPr="006E64CD">
        <w:rPr>
          <w:szCs w:val="22"/>
        </w:rPr>
        <w:t>(1980)</w:t>
      </w:r>
      <w:r w:rsidR="004233BA">
        <w:rPr>
          <w:szCs w:val="22"/>
        </w:rPr>
        <w:t>.</w:t>
      </w:r>
      <w:r w:rsidR="004233BA" w:rsidRPr="006E64CD">
        <w:rPr>
          <w:szCs w:val="22"/>
        </w:rPr>
        <w:t xml:space="preserve"> Nutritional concerns during adolescence.</w:t>
      </w:r>
      <w:r w:rsidR="004233BA">
        <w:rPr>
          <w:szCs w:val="22"/>
        </w:rPr>
        <w:t xml:space="preserve"> </w:t>
      </w:r>
      <w:hyperlink r:id="rId25" w:tooltip="Pediatric clinics of North America." w:history="1">
        <w:proofErr w:type="spellStart"/>
        <w:r w:rsidR="004233BA" w:rsidRPr="00E77589">
          <w:rPr>
            <w:rStyle w:val="Hyperlink"/>
            <w:rFonts w:ascii="Arial" w:hAnsi="Arial" w:cs="Arial"/>
            <w:color w:val="auto"/>
            <w:szCs w:val="22"/>
            <w:u w:val="none"/>
            <w:shd w:val="clear" w:color="auto" w:fill="FFFFFF"/>
          </w:rPr>
          <w:t>Pediatr</w:t>
        </w:r>
        <w:proofErr w:type="spellEnd"/>
        <w:r w:rsidR="004233BA" w:rsidRPr="00E77589">
          <w:rPr>
            <w:rStyle w:val="Hyperlink"/>
            <w:rFonts w:ascii="Arial" w:hAnsi="Arial" w:cs="Arial"/>
            <w:color w:val="auto"/>
            <w:szCs w:val="22"/>
            <w:u w:val="none"/>
            <w:shd w:val="clear" w:color="auto" w:fill="FFFFFF"/>
          </w:rPr>
          <w:t xml:space="preserve"> </w:t>
        </w:r>
        <w:proofErr w:type="spellStart"/>
        <w:r w:rsidR="004233BA" w:rsidRPr="00E77589">
          <w:rPr>
            <w:rStyle w:val="Hyperlink"/>
            <w:rFonts w:ascii="Arial" w:hAnsi="Arial" w:cs="Arial"/>
            <w:color w:val="auto"/>
            <w:szCs w:val="22"/>
            <w:u w:val="none"/>
            <w:shd w:val="clear" w:color="auto" w:fill="FFFFFF"/>
          </w:rPr>
          <w:t>Clin</w:t>
        </w:r>
        <w:proofErr w:type="spellEnd"/>
        <w:r w:rsidR="004233BA" w:rsidRPr="00E77589">
          <w:rPr>
            <w:rStyle w:val="Hyperlink"/>
            <w:rFonts w:ascii="Arial" w:hAnsi="Arial" w:cs="Arial"/>
            <w:color w:val="auto"/>
            <w:szCs w:val="22"/>
            <w:u w:val="none"/>
            <w:shd w:val="clear" w:color="auto" w:fill="FFFFFF"/>
          </w:rPr>
          <w:t xml:space="preserve"> North </w:t>
        </w:r>
        <w:r w:rsidR="004233BA" w:rsidRPr="00035BEB">
          <w:rPr>
            <w:rStyle w:val="Hyperlink"/>
            <w:rFonts w:ascii="Arial" w:hAnsi="Arial" w:cs="Arial"/>
            <w:color w:val="auto"/>
            <w:szCs w:val="22"/>
            <w:u w:val="none"/>
            <w:shd w:val="clear" w:color="auto" w:fill="FFFFFF"/>
          </w:rPr>
          <w:t>Am</w:t>
        </w:r>
        <w:r w:rsidR="004233BA" w:rsidRPr="006E64CD">
          <w:rPr>
            <w:rStyle w:val="Hyperlink"/>
            <w:rFonts w:ascii="Arial" w:hAnsi="Arial" w:cs="Arial"/>
            <w:color w:val="660066"/>
            <w:szCs w:val="22"/>
            <w:u w:val="none"/>
            <w:shd w:val="clear" w:color="auto" w:fill="FFFFFF"/>
          </w:rPr>
          <w:t>.</w:t>
        </w:r>
      </w:hyperlink>
      <w:r w:rsidR="004233BA" w:rsidRPr="006E64CD">
        <w:rPr>
          <w:rFonts w:ascii="Arial" w:hAnsi="Arial" w:cs="Arial"/>
          <w:szCs w:val="22"/>
          <w:shd w:val="clear" w:color="auto" w:fill="FFFFFF"/>
        </w:rPr>
        <w:t> 1980 Feb;27(1):125-39</w:t>
      </w:r>
    </w:p>
    <w:p w:rsidR="004233BA" w:rsidRPr="00E26422" w:rsidRDefault="004233BA" w:rsidP="004233BA">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360" w:lineRule="auto"/>
        <w:rPr>
          <w:rFonts w:ascii="Arial" w:hAnsi="Arial" w:cs="Arial"/>
          <w:color w:val="333333"/>
          <w:szCs w:val="22"/>
        </w:rPr>
      </w:pPr>
      <w:proofErr w:type="spellStart"/>
      <w:r w:rsidRPr="00E26422">
        <w:rPr>
          <w:rFonts w:ascii="Arial" w:hAnsi="Arial" w:cs="Arial"/>
          <w:color w:val="333333"/>
          <w:szCs w:val="22"/>
        </w:rPr>
        <w:t>Sheth</w:t>
      </w:r>
      <w:proofErr w:type="spellEnd"/>
      <w:r>
        <w:rPr>
          <w:rFonts w:ascii="Arial" w:hAnsi="Arial" w:cs="Arial"/>
          <w:color w:val="333333"/>
          <w:szCs w:val="22"/>
        </w:rPr>
        <w:t xml:space="preserve"> C, </w:t>
      </w:r>
      <w:proofErr w:type="spellStart"/>
      <w:r w:rsidRPr="00E26422">
        <w:rPr>
          <w:rFonts w:ascii="Arial" w:hAnsi="Arial" w:cs="Arial"/>
          <w:color w:val="333333"/>
          <w:szCs w:val="22"/>
        </w:rPr>
        <w:t>McGlade</w:t>
      </w:r>
      <w:proofErr w:type="spellEnd"/>
      <w:r>
        <w:rPr>
          <w:rFonts w:ascii="Arial" w:hAnsi="Arial" w:cs="Arial"/>
          <w:color w:val="333333"/>
          <w:szCs w:val="22"/>
        </w:rPr>
        <w:t xml:space="preserve"> </w:t>
      </w:r>
      <w:proofErr w:type="spellStart"/>
      <w:r>
        <w:rPr>
          <w:rFonts w:ascii="Arial" w:hAnsi="Arial" w:cs="Arial"/>
          <w:color w:val="333333"/>
          <w:szCs w:val="22"/>
        </w:rPr>
        <w:t>E</w:t>
      </w:r>
      <w:proofErr w:type="gramStart"/>
      <w:r>
        <w:rPr>
          <w:rFonts w:ascii="Arial" w:hAnsi="Arial" w:cs="Arial"/>
          <w:color w:val="333333"/>
          <w:szCs w:val="22"/>
        </w:rPr>
        <w:t>,</w:t>
      </w:r>
      <w:r w:rsidRPr="00E26422">
        <w:rPr>
          <w:rFonts w:ascii="Arial" w:hAnsi="Arial" w:cs="Arial"/>
          <w:color w:val="333333"/>
          <w:szCs w:val="22"/>
        </w:rPr>
        <w:t>Yurgelun</w:t>
      </w:r>
      <w:proofErr w:type="spellEnd"/>
      <w:proofErr w:type="gramEnd"/>
      <w:r w:rsidRPr="00E26422">
        <w:rPr>
          <w:rFonts w:ascii="Arial" w:hAnsi="Arial" w:cs="Arial"/>
          <w:color w:val="333333"/>
          <w:szCs w:val="22"/>
        </w:rPr>
        <w:t>-Todd</w:t>
      </w:r>
      <w:r>
        <w:rPr>
          <w:rFonts w:ascii="Arial" w:hAnsi="Arial" w:cs="Arial"/>
          <w:color w:val="333333"/>
          <w:szCs w:val="22"/>
        </w:rPr>
        <w:t xml:space="preserve"> D,</w:t>
      </w:r>
      <w:r w:rsidRPr="00E26422">
        <w:rPr>
          <w:rFonts w:ascii="Arial" w:hAnsi="Arial" w:cs="Arial"/>
          <w:color w:val="333333"/>
          <w:szCs w:val="22"/>
        </w:rPr>
        <w:t xml:space="preserve"> </w:t>
      </w:r>
      <w:r>
        <w:rPr>
          <w:rFonts w:ascii="Arial" w:hAnsi="Arial" w:cs="Arial"/>
          <w:color w:val="333333"/>
          <w:szCs w:val="22"/>
        </w:rPr>
        <w:t xml:space="preserve">(2017). </w:t>
      </w:r>
      <w:r w:rsidRPr="00E26422">
        <w:rPr>
          <w:rFonts w:ascii="Arial" w:hAnsi="Arial" w:cs="Arial"/>
          <w:color w:val="333333"/>
          <w:szCs w:val="22"/>
        </w:rPr>
        <w:t xml:space="preserve">Chronic Stress in Adolescents and Its Neurobiological and Psychopathological Consequences: An </w:t>
      </w:r>
      <w:proofErr w:type="spellStart"/>
      <w:r w:rsidRPr="00E26422">
        <w:rPr>
          <w:rFonts w:ascii="Arial" w:hAnsi="Arial" w:cs="Arial"/>
          <w:color w:val="333333"/>
          <w:szCs w:val="22"/>
        </w:rPr>
        <w:t>RDoC</w:t>
      </w:r>
      <w:proofErr w:type="spellEnd"/>
      <w:r w:rsidRPr="00E26422">
        <w:rPr>
          <w:rFonts w:ascii="Arial" w:hAnsi="Arial" w:cs="Arial"/>
          <w:color w:val="333333"/>
          <w:szCs w:val="22"/>
        </w:rPr>
        <w:t xml:space="preserve"> Perspective</w:t>
      </w:r>
      <w:r>
        <w:rPr>
          <w:rFonts w:ascii="Arial" w:hAnsi="Arial" w:cs="Arial"/>
          <w:color w:val="333333"/>
          <w:szCs w:val="22"/>
        </w:rPr>
        <w:t>.</w:t>
      </w:r>
    </w:p>
    <w:p w:rsidR="004233BA" w:rsidRPr="00621324" w:rsidRDefault="004233BA" w:rsidP="004233BA">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360" w:lineRule="auto"/>
        <w:rPr>
          <w:rFonts w:ascii="Arial" w:hAnsi="Arial" w:cs="Arial"/>
          <w:color w:val="333333"/>
          <w:szCs w:val="22"/>
        </w:rPr>
      </w:pPr>
      <w:r>
        <w:rPr>
          <w:rFonts w:ascii="Arial" w:hAnsi="Arial" w:cs="Arial"/>
          <w:color w:val="333333"/>
          <w:szCs w:val="22"/>
        </w:rPr>
        <w:t xml:space="preserve">Sleep Foundation. </w:t>
      </w:r>
      <w:r w:rsidRPr="00621324">
        <w:rPr>
          <w:rFonts w:ascii="Arial" w:hAnsi="Arial" w:cs="Arial"/>
          <w:color w:val="333333"/>
          <w:szCs w:val="22"/>
        </w:rPr>
        <w:t>https://www.sleepfoundation.org/sleep-topics/teens-and-sleep</w:t>
      </w:r>
    </w:p>
    <w:p w:rsidR="004233BA" w:rsidRDefault="004233BA" w:rsidP="004233BA">
      <w:pPr>
        <w:pStyle w:val="ListParagraph"/>
        <w:numPr>
          <w:ilvl w:val="0"/>
          <w:numId w:val="29"/>
        </w:numPr>
        <w:spacing w:line="360" w:lineRule="auto"/>
      </w:pPr>
      <w:r>
        <w:t>World Health Organisation (2011). Global burden of mental disorders and the need for</w:t>
      </w:r>
    </w:p>
    <w:p w:rsidR="004233BA" w:rsidRPr="00ED3B04" w:rsidRDefault="004233BA" w:rsidP="004233BA">
      <w:pPr>
        <w:pStyle w:val="ListParagraph"/>
        <w:spacing w:line="360" w:lineRule="auto"/>
        <w:ind w:left="397"/>
      </w:pPr>
      <w:proofErr w:type="gramStart"/>
      <w:r>
        <w:t>a</w:t>
      </w:r>
      <w:proofErr w:type="gramEnd"/>
      <w:r>
        <w:t xml:space="preserve"> comprehensive, coordinated response from health and social sectors at the country level.</w:t>
      </w:r>
    </w:p>
    <w:p w:rsidR="004233BA" w:rsidRPr="00ED3B04" w:rsidRDefault="004233BA" w:rsidP="004233BA">
      <w:pPr>
        <w:pStyle w:val="Heading1"/>
      </w:pPr>
      <w:r>
        <w:t>Acknowledgements</w:t>
      </w:r>
    </w:p>
    <w:p w:rsidR="004233BA" w:rsidRDefault="004233BA" w:rsidP="004233BA">
      <w:pPr>
        <w:pStyle w:val="ListParagraph"/>
        <w:numPr>
          <w:ilvl w:val="0"/>
          <w:numId w:val="45"/>
        </w:numPr>
      </w:pPr>
      <w:proofErr w:type="spellStart"/>
      <w:r>
        <w:t>BRAiNgro</w:t>
      </w:r>
      <w:r w:rsidR="00850F9B">
        <w:t>w</w:t>
      </w:r>
      <w:proofErr w:type="spellEnd"/>
      <w:r>
        <w:t>: Dr David Collins, Melbourne, Victoria, Australia</w:t>
      </w:r>
    </w:p>
    <w:p w:rsidR="004233BA" w:rsidRDefault="004233BA" w:rsidP="004233BA">
      <w:pPr>
        <w:pStyle w:val="ListParagraph"/>
        <w:numPr>
          <w:ilvl w:val="0"/>
          <w:numId w:val="45"/>
        </w:numPr>
      </w:pPr>
      <w:r>
        <w:t>Brookline Centre, Boston, MA, USA:BRYT Bridge to Resilient Youth in Transition Program</w:t>
      </w:r>
    </w:p>
    <w:p w:rsidR="004233BA" w:rsidRDefault="004233BA" w:rsidP="004233BA">
      <w:pPr>
        <w:pStyle w:val="ListParagraph"/>
        <w:numPr>
          <w:ilvl w:val="0"/>
          <w:numId w:val="45"/>
        </w:numPr>
      </w:pPr>
      <w:r>
        <w:t xml:space="preserve">COPE: Creating Opportunities for Personal Empowerment. Dr Bernadette </w:t>
      </w:r>
      <w:proofErr w:type="spellStart"/>
      <w:r>
        <w:t>Melnyk</w:t>
      </w:r>
      <w:proofErr w:type="spellEnd"/>
    </w:p>
    <w:p w:rsidR="004233BA" w:rsidRDefault="004233BA" w:rsidP="004233BA">
      <w:pPr>
        <w:pStyle w:val="ListParagraph"/>
        <w:numPr>
          <w:ilvl w:val="0"/>
          <w:numId w:val="45"/>
        </w:numPr>
      </w:pPr>
      <w:r>
        <w:t>Erika’s Lighthouse, Winnetka, Chicago, USA</w:t>
      </w:r>
    </w:p>
    <w:p w:rsidR="004233BA" w:rsidRDefault="004233BA" w:rsidP="004233BA">
      <w:pPr>
        <w:pStyle w:val="ListParagraph"/>
        <w:numPr>
          <w:ilvl w:val="0"/>
          <w:numId w:val="45"/>
        </w:numPr>
      </w:pPr>
      <w:r>
        <w:t>Felicity Wilson, MP North Shore for hosting Anika Premier’s Scholarship: Australian Psychological Society Girls Matter Forum</w:t>
      </w:r>
    </w:p>
    <w:p w:rsidR="004233BA" w:rsidRDefault="004233BA" w:rsidP="004233BA">
      <w:pPr>
        <w:pStyle w:val="ListParagraph"/>
        <w:numPr>
          <w:ilvl w:val="0"/>
          <w:numId w:val="45"/>
        </w:numPr>
      </w:pPr>
      <w:r>
        <w:t xml:space="preserve">Genevieve </w:t>
      </w:r>
      <w:proofErr w:type="spellStart"/>
      <w:r>
        <w:t>Gariepy</w:t>
      </w:r>
      <w:proofErr w:type="spellEnd"/>
      <w:r>
        <w:t>, McGill. Montreal, Canada</w:t>
      </w:r>
    </w:p>
    <w:p w:rsidR="004233BA" w:rsidRDefault="004233BA" w:rsidP="004233BA">
      <w:pPr>
        <w:pStyle w:val="ListParagraph"/>
        <w:numPr>
          <w:ilvl w:val="0"/>
          <w:numId w:val="45"/>
        </w:numPr>
      </w:pPr>
      <w:r>
        <w:lastRenderedPageBreak/>
        <w:t>Jack.org Foundation, Toronto, Canada</w:t>
      </w:r>
    </w:p>
    <w:p w:rsidR="004233BA" w:rsidRDefault="004233BA" w:rsidP="004233BA">
      <w:pPr>
        <w:pStyle w:val="ListParagraph"/>
        <w:numPr>
          <w:ilvl w:val="0"/>
          <w:numId w:val="45"/>
        </w:numPr>
      </w:pPr>
      <w:r>
        <w:t>James Greenblatt MD; Psychiatrist, Waltham MA, USA</w:t>
      </w:r>
    </w:p>
    <w:p w:rsidR="004233BA" w:rsidRDefault="004233BA" w:rsidP="004233BA">
      <w:pPr>
        <w:pStyle w:val="ListParagraph"/>
        <w:numPr>
          <w:ilvl w:val="0"/>
          <w:numId w:val="45"/>
        </w:numPr>
      </w:pPr>
      <w:r>
        <w:t>Mood and Food Centre: Deakin University, Victoria, Australia</w:t>
      </w:r>
    </w:p>
    <w:p w:rsidR="004233BA" w:rsidRDefault="004233BA" w:rsidP="004233BA">
      <w:pPr>
        <w:pStyle w:val="ListParagraph"/>
        <w:numPr>
          <w:ilvl w:val="0"/>
          <w:numId w:val="45"/>
        </w:numPr>
      </w:pPr>
      <w:r>
        <w:t>Michelle Fortier, Physical Activity Counselling University of Ottawa, Canada</w:t>
      </w:r>
    </w:p>
    <w:p w:rsidR="004233BA" w:rsidRDefault="004233BA" w:rsidP="004233BA">
      <w:pPr>
        <w:pStyle w:val="ListParagraph"/>
        <w:numPr>
          <w:ilvl w:val="0"/>
          <w:numId w:val="45"/>
        </w:numPr>
      </w:pPr>
      <w:r>
        <w:t xml:space="preserve">Michigan Peer to Peer Depression Awareness Program: School Based Prevention to Address Depression </w:t>
      </w:r>
      <w:proofErr w:type="gramStart"/>
      <w:r>
        <w:t>Among</w:t>
      </w:r>
      <w:proofErr w:type="gramEnd"/>
      <w:r>
        <w:t xml:space="preserve"> Teens. Dr Stephanie Salazar </w:t>
      </w:r>
    </w:p>
    <w:p w:rsidR="004233BA" w:rsidRDefault="004233BA" w:rsidP="004233BA">
      <w:pPr>
        <w:pStyle w:val="ListParagraph"/>
        <w:numPr>
          <w:ilvl w:val="0"/>
          <w:numId w:val="45"/>
        </w:numPr>
      </w:pPr>
      <w:r>
        <w:t>Walsh Research Institute: William Walsh PhD, Chicago, USA</w:t>
      </w:r>
    </w:p>
    <w:p w:rsidR="004233BA" w:rsidRDefault="004233BA" w:rsidP="004233BA">
      <w:pPr>
        <w:pStyle w:val="ListParagraph"/>
        <w:numPr>
          <w:ilvl w:val="0"/>
          <w:numId w:val="45"/>
        </w:numPr>
      </w:pPr>
      <w:r>
        <w:t xml:space="preserve">Warrior </w:t>
      </w:r>
      <w:proofErr w:type="gramStart"/>
      <w:r>
        <w:t>Within</w:t>
      </w:r>
      <w:proofErr w:type="gramEnd"/>
      <w:r>
        <w:t xml:space="preserve"> Program: Inspiring a student driven curriculum.  Catherine </w:t>
      </w:r>
      <w:proofErr w:type="spellStart"/>
      <w:r>
        <w:t>Wachter</w:t>
      </w:r>
      <w:proofErr w:type="spellEnd"/>
      <w:r>
        <w:t>, Guidance counsellor at University of Toronto Schools</w:t>
      </w:r>
    </w:p>
    <w:p w:rsidR="00216069" w:rsidRDefault="00216069" w:rsidP="001C0A56">
      <w:pPr>
        <w:rPr>
          <w:shd w:val="clear" w:color="auto" w:fill="FFFFFF"/>
        </w:rPr>
      </w:pPr>
    </w:p>
    <w:sectPr w:rsidR="00216069"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3E" w:rsidRDefault="007F233E" w:rsidP="000255B4">
      <w:pPr>
        <w:spacing w:before="0" w:after="0" w:line="240" w:lineRule="auto"/>
      </w:pPr>
      <w:r>
        <w:separator/>
      </w:r>
    </w:p>
  </w:endnote>
  <w:endnote w:type="continuationSeparator" w:id="0">
    <w:p w:rsidR="007F233E" w:rsidRDefault="007F233E"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B4" w:rsidRDefault="00D4688D" w:rsidP="000255B4">
    <w:pPr>
      <w:pStyle w:val="Footer"/>
      <w:tabs>
        <w:tab w:val="clear" w:pos="4513"/>
        <w:tab w:val="clear" w:pos="9026"/>
        <w:tab w:val="right" w:pos="9498"/>
      </w:tabs>
    </w:pPr>
    <w:r>
      <w:t>It’s Not all in the Mind</w:t>
    </w:r>
    <w:r w:rsidR="000255B4">
      <w:tab/>
      <w:t xml:space="preserve">Page </w:t>
    </w:r>
    <w:r w:rsidR="000255B4">
      <w:fldChar w:fldCharType="begin"/>
    </w:r>
    <w:r w:rsidR="000255B4">
      <w:instrText xml:space="preserve"> PAGE  \* Arabic  \* MERGEFORMAT </w:instrText>
    </w:r>
    <w:r w:rsidR="000255B4">
      <w:fldChar w:fldCharType="separate"/>
    </w:r>
    <w:r w:rsidR="00BB1567">
      <w:rPr>
        <w:noProof/>
      </w:rPr>
      <w:t>9</w:t>
    </w:r>
    <w:r w:rsidR="000255B4">
      <w:fldChar w:fldCharType="end"/>
    </w:r>
    <w:r w:rsidR="000255B4">
      <w:t xml:space="preserve"> of </w:t>
    </w:r>
    <w:r w:rsidR="005F3561">
      <w:rPr>
        <w:noProof/>
      </w:rPr>
      <w:fldChar w:fldCharType="begin"/>
    </w:r>
    <w:r w:rsidR="005F3561">
      <w:rPr>
        <w:noProof/>
      </w:rPr>
      <w:instrText xml:space="preserve"> SECTIONPAGES   \* MERGEFORMAT </w:instrText>
    </w:r>
    <w:r w:rsidR="005F3561">
      <w:rPr>
        <w:noProof/>
      </w:rPr>
      <w:fldChar w:fldCharType="separate"/>
    </w:r>
    <w:r w:rsidR="00BB1567">
      <w:rPr>
        <w:noProof/>
      </w:rPr>
      <w:t>9</w:t>
    </w:r>
    <w:r w:rsidR="005F356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3E" w:rsidRDefault="007F233E" w:rsidP="000255B4">
      <w:pPr>
        <w:spacing w:before="0" w:after="0" w:line="240" w:lineRule="auto"/>
      </w:pPr>
      <w:r>
        <w:separator/>
      </w:r>
    </w:p>
  </w:footnote>
  <w:footnote w:type="continuationSeparator" w:id="0">
    <w:p w:rsidR="007F233E" w:rsidRDefault="007F233E"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330CA7"/>
    <w:multiLevelType w:val="hybridMultilevel"/>
    <w:tmpl w:val="1DACC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AC2671"/>
    <w:multiLevelType w:val="hybridMultilevel"/>
    <w:tmpl w:val="0E00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B94279"/>
    <w:multiLevelType w:val="hybridMultilevel"/>
    <w:tmpl w:val="0F8E3E0C"/>
    <w:lvl w:ilvl="0" w:tplc="2286AF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2DD7507C"/>
    <w:multiLevelType w:val="hybridMultilevel"/>
    <w:tmpl w:val="7C7C2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BB3244"/>
    <w:multiLevelType w:val="hybridMultilevel"/>
    <w:tmpl w:val="75D624EA"/>
    <w:lvl w:ilvl="0" w:tplc="6E62248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7D03032"/>
    <w:multiLevelType w:val="multilevel"/>
    <w:tmpl w:val="3C2CCE98"/>
    <w:numStyleLink w:val="PTSUnorderedListStyle"/>
  </w:abstractNum>
  <w:abstractNum w:abstractNumId="31" w15:restartNumberingAfterBreak="0">
    <w:nsid w:val="4D4341CB"/>
    <w:multiLevelType w:val="hybridMultilevel"/>
    <w:tmpl w:val="A87AC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82A3C"/>
    <w:multiLevelType w:val="multilevel"/>
    <w:tmpl w:val="DCE4B9E0"/>
    <w:numStyleLink w:val="PTSOrderedListStyle"/>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10C33CE"/>
    <w:multiLevelType w:val="multilevel"/>
    <w:tmpl w:val="346EDF6C"/>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5" w15:restartNumberingAfterBreak="0">
    <w:nsid w:val="75767C01"/>
    <w:multiLevelType w:val="multilevel"/>
    <w:tmpl w:val="DCE4B9E0"/>
    <w:numStyleLink w:val="PTSOrderedListStyle"/>
  </w:abstractNum>
  <w:abstractNum w:abstractNumId="46" w15:restartNumberingAfterBreak="0">
    <w:nsid w:val="7DA8697C"/>
    <w:multiLevelType w:val="hybridMultilevel"/>
    <w:tmpl w:val="2B3CFE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21"/>
  </w:num>
  <w:num w:numId="2">
    <w:abstractNumId w:val="36"/>
  </w:num>
  <w:num w:numId="3">
    <w:abstractNumId w:val="41"/>
  </w:num>
  <w:num w:numId="4">
    <w:abstractNumId w:val="40"/>
  </w:num>
  <w:num w:numId="5">
    <w:abstractNumId w:val="23"/>
  </w:num>
  <w:num w:numId="6">
    <w:abstractNumId w:val="32"/>
  </w:num>
  <w:num w:numId="7">
    <w:abstractNumId w:val="27"/>
  </w:num>
  <w:num w:numId="8">
    <w:abstractNumId w:val="33"/>
  </w:num>
  <w:num w:numId="9">
    <w:abstractNumId w:val="10"/>
  </w:num>
  <w:num w:numId="10">
    <w:abstractNumId w:val="12"/>
  </w:num>
  <w:num w:numId="11">
    <w:abstractNumId w:val="18"/>
  </w:num>
  <w:num w:numId="12">
    <w:abstractNumId w:val="14"/>
  </w:num>
  <w:num w:numId="13">
    <w:abstractNumId w:val="34"/>
  </w:num>
  <w:num w:numId="14">
    <w:abstractNumId w:val="42"/>
  </w:num>
  <w:num w:numId="15">
    <w:abstractNumId w:val="26"/>
  </w:num>
  <w:num w:numId="16">
    <w:abstractNumId w:val="20"/>
  </w:num>
  <w:num w:numId="17">
    <w:abstractNumId w:val="43"/>
  </w:num>
  <w:num w:numId="18">
    <w:abstractNumId w:val="39"/>
  </w:num>
  <w:num w:numId="19">
    <w:abstractNumId w:val="37"/>
  </w:num>
  <w:num w:numId="20">
    <w:abstractNumId w:val="28"/>
  </w:num>
  <w:num w:numId="21">
    <w:abstractNumId w:val="35"/>
  </w:num>
  <w:num w:numId="22">
    <w:abstractNumId w:val="15"/>
  </w:num>
  <w:num w:numId="23">
    <w:abstractNumId w:val="45"/>
  </w:num>
  <w:num w:numId="24">
    <w:abstractNumId w:val="16"/>
  </w:num>
  <w:num w:numId="25">
    <w:abstractNumId w:val="11"/>
  </w:num>
  <w:num w:numId="26">
    <w:abstractNumId w:val="17"/>
  </w:num>
  <w:num w:numId="27">
    <w:abstractNumId w:val="30"/>
  </w:num>
  <w:num w:numId="28">
    <w:abstractNumId w:val="22"/>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46"/>
  </w:num>
  <w:num w:numId="42">
    <w:abstractNumId w:val="31"/>
  </w:num>
  <w:num w:numId="43">
    <w:abstractNumId w:val="24"/>
  </w:num>
  <w:num w:numId="44">
    <w:abstractNumId w:val="44"/>
  </w:num>
  <w:num w:numId="45">
    <w:abstractNumId w:val="19"/>
  </w:num>
  <w:num w:numId="46">
    <w:abstractNumId w:val="1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1472"/>
    <w:rsid w:val="00010DC8"/>
    <w:rsid w:val="000255B4"/>
    <w:rsid w:val="00035C95"/>
    <w:rsid w:val="00066CF7"/>
    <w:rsid w:val="00082C55"/>
    <w:rsid w:val="00084611"/>
    <w:rsid w:val="00087207"/>
    <w:rsid w:val="00091CB4"/>
    <w:rsid w:val="00096D1A"/>
    <w:rsid w:val="000C1125"/>
    <w:rsid w:val="000C11CD"/>
    <w:rsid w:val="000C18ED"/>
    <w:rsid w:val="000D7F55"/>
    <w:rsid w:val="00120132"/>
    <w:rsid w:val="00146A91"/>
    <w:rsid w:val="00152E9A"/>
    <w:rsid w:val="00155404"/>
    <w:rsid w:val="0016662C"/>
    <w:rsid w:val="00173A5D"/>
    <w:rsid w:val="001B4C3C"/>
    <w:rsid w:val="001C0A56"/>
    <w:rsid w:val="001C1A56"/>
    <w:rsid w:val="001D3E2B"/>
    <w:rsid w:val="001D3FF0"/>
    <w:rsid w:val="00216069"/>
    <w:rsid w:val="00216E43"/>
    <w:rsid w:val="00275489"/>
    <w:rsid w:val="002B3433"/>
    <w:rsid w:val="00327960"/>
    <w:rsid w:val="00353DB4"/>
    <w:rsid w:val="0037329D"/>
    <w:rsid w:val="003B4013"/>
    <w:rsid w:val="003F3357"/>
    <w:rsid w:val="0040108E"/>
    <w:rsid w:val="00414B60"/>
    <w:rsid w:val="00417F49"/>
    <w:rsid w:val="004233BA"/>
    <w:rsid w:val="00477517"/>
    <w:rsid w:val="00477B81"/>
    <w:rsid w:val="00487937"/>
    <w:rsid w:val="004C7686"/>
    <w:rsid w:val="004E735C"/>
    <w:rsid w:val="00502627"/>
    <w:rsid w:val="005162C5"/>
    <w:rsid w:val="00524CC4"/>
    <w:rsid w:val="005606DB"/>
    <w:rsid w:val="00573BC8"/>
    <w:rsid w:val="00581913"/>
    <w:rsid w:val="00581F0A"/>
    <w:rsid w:val="00591625"/>
    <w:rsid w:val="005935DB"/>
    <w:rsid w:val="005B6CA8"/>
    <w:rsid w:val="005E56C1"/>
    <w:rsid w:val="005F3561"/>
    <w:rsid w:val="00620B4B"/>
    <w:rsid w:val="0069455C"/>
    <w:rsid w:val="006A0EF1"/>
    <w:rsid w:val="006B22FB"/>
    <w:rsid w:val="006E2817"/>
    <w:rsid w:val="006E2DB6"/>
    <w:rsid w:val="00704439"/>
    <w:rsid w:val="00714232"/>
    <w:rsid w:val="007227AD"/>
    <w:rsid w:val="00741DA9"/>
    <w:rsid w:val="007B2257"/>
    <w:rsid w:val="007D4B9D"/>
    <w:rsid w:val="007E1F54"/>
    <w:rsid w:val="007F233E"/>
    <w:rsid w:val="00850F9B"/>
    <w:rsid w:val="00883A0D"/>
    <w:rsid w:val="00896475"/>
    <w:rsid w:val="008F5148"/>
    <w:rsid w:val="0090533A"/>
    <w:rsid w:val="00930037"/>
    <w:rsid w:val="00943538"/>
    <w:rsid w:val="009539A5"/>
    <w:rsid w:val="009545BB"/>
    <w:rsid w:val="009816E5"/>
    <w:rsid w:val="009D264F"/>
    <w:rsid w:val="009E086C"/>
    <w:rsid w:val="009F1311"/>
    <w:rsid w:val="009F3C9D"/>
    <w:rsid w:val="009F549C"/>
    <w:rsid w:val="00A20E8A"/>
    <w:rsid w:val="00A35BCF"/>
    <w:rsid w:val="00A573A5"/>
    <w:rsid w:val="00A95D0B"/>
    <w:rsid w:val="00AB7750"/>
    <w:rsid w:val="00AC4B7D"/>
    <w:rsid w:val="00AE504B"/>
    <w:rsid w:val="00AF17D7"/>
    <w:rsid w:val="00AF1EA2"/>
    <w:rsid w:val="00B015F7"/>
    <w:rsid w:val="00B02AE5"/>
    <w:rsid w:val="00B5310E"/>
    <w:rsid w:val="00B83484"/>
    <w:rsid w:val="00B979EA"/>
    <w:rsid w:val="00BA1183"/>
    <w:rsid w:val="00BB1567"/>
    <w:rsid w:val="00BC0CA5"/>
    <w:rsid w:val="00BF3A76"/>
    <w:rsid w:val="00C00779"/>
    <w:rsid w:val="00C0245F"/>
    <w:rsid w:val="00C20E7C"/>
    <w:rsid w:val="00C30643"/>
    <w:rsid w:val="00C46FF6"/>
    <w:rsid w:val="00C509F6"/>
    <w:rsid w:val="00C55021"/>
    <w:rsid w:val="00C7010F"/>
    <w:rsid w:val="00C82A4F"/>
    <w:rsid w:val="00C902DF"/>
    <w:rsid w:val="00C92191"/>
    <w:rsid w:val="00CB2ABA"/>
    <w:rsid w:val="00CB48F8"/>
    <w:rsid w:val="00CC7D6E"/>
    <w:rsid w:val="00D06FE8"/>
    <w:rsid w:val="00D17681"/>
    <w:rsid w:val="00D21A79"/>
    <w:rsid w:val="00D4688D"/>
    <w:rsid w:val="00D63C18"/>
    <w:rsid w:val="00D65435"/>
    <w:rsid w:val="00D73C50"/>
    <w:rsid w:val="00D91F1E"/>
    <w:rsid w:val="00DC4AF3"/>
    <w:rsid w:val="00E14DC7"/>
    <w:rsid w:val="00E34AE6"/>
    <w:rsid w:val="00E50BD0"/>
    <w:rsid w:val="00E568E6"/>
    <w:rsid w:val="00E76B5C"/>
    <w:rsid w:val="00EC0ED6"/>
    <w:rsid w:val="00EC26CD"/>
    <w:rsid w:val="00EC7265"/>
    <w:rsid w:val="00ED3B04"/>
    <w:rsid w:val="00EE632B"/>
    <w:rsid w:val="00F0721B"/>
    <w:rsid w:val="00F1653C"/>
    <w:rsid w:val="00F36095"/>
    <w:rsid w:val="00F37270"/>
    <w:rsid w:val="00F65681"/>
    <w:rsid w:val="00F815C6"/>
    <w:rsid w:val="00FA3AEF"/>
    <w:rsid w:val="00FA43E8"/>
    <w:rsid w:val="00FD19D4"/>
    <w:rsid w:val="00FF5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openxmlformats.org/officeDocument/2006/relationships/hyperlink" Target="https://www.newcastle.edu.au/highlights/our-researchers/education-arts/education/fit-for-lear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oodandmoodcentre.com.au/complex-systems-and-mental-health/" TargetMode="External"/><Relationship Id="rId7" Type="http://schemas.openxmlformats.org/officeDocument/2006/relationships/endnotes" Target="endnotes.xml"/><Relationship Id="rId12" Type="http://schemas.openxmlformats.org/officeDocument/2006/relationships/hyperlink" Target="https://www.ncbi.nlm.nih.gov/pubmed/?term=King%20JC%5BAuthor%5D&amp;cauthor=true&amp;cauthor_uid=6445537" TargetMode="External"/><Relationship Id="rId17" Type="http://schemas.openxmlformats.org/officeDocument/2006/relationships/hyperlink" Target="http://www.braingro.com.au" TargetMode="External"/><Relationship Id="rId25" Type="http://schemas.openxmlformats.org/officeDocument/2006/relationships/hyperlink" Target="https://www.ncbi.nlm.nih.gov/pubmed/6445537" TargetMode="External"/><Relationship Id="rId2" Type="http://schemas.openxmlformats.org/officeDocument/2006/relationships/numbering" Target="numbering.xml"/><Relationship Id="rId16" Type="http://schemas.openxmlformats.org/officeDocument/2006/relationships/hyperlink" Target="http://www.itsnotallinthemind.com/" TargetMode="External"/><Relationship Id="rId20" Type="http://schemas.openxmlformats.org/officeDocument/2006/relationships/hyperlink" Target="https://www.healthykids.nsw.gov.au/teachers-childcare/healthy-lifestyle-programs-for-primary-schools/sporting-school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Marino%20DD%5BAuthor%5D&amp;cauthor=true&amp;cauthor_uid=6445537" TargetMode="External"/><Relationship Id="rId24" Type="http://schemas.openxmlformats.org/officeDocument/2006/relationships/hyperlink" Target="https://www.ncbi.nlm.nih.gov/pubmed/?term=King%20JC%5BAuthor%5D&amp;cauthor=true&amp;cauthor_uid=6445537"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ncbi.nlm.nih.gov/pubmed/?term=Marino%20DD%5BAuthor%5D&amp;cauthor=true&amp;cauthor_uid=6445537" TargetMode="External"/><Relationship Id="rId10" Type="http://schemas.openxmlformats.org/officeDocument/2006/relationships/footer" Target="footer1.xml"/><Relationship Id="rId19" Type="http://schemas.openxmlformats.org/officeDocument/2006/relationships/hyperlink" Target="file:///C:\Users\sandra.scott\Downloads\www.cope2thrive.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eg"/><Relationship Id="rId22" Type="http://schemas.openxmlformats.org/officeDocument/2006/relationships/hyperlink" Target="https://jack.org/Hom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0EE51-722C-4D8E-9A98-FDE93830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4007</Words>
  <Characters>22844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2</cp:revision>
  <cp:lastPrinted>2019-02-19T00:53:00Z</cp:lastPrinted>
  <dcterms:created xsi:type="dcterms:W3CDTF">2019-02-26T02:49:00Z</dcterms:created>
  <dcterms:modified xsi:type="dcterms:W3CDTF">2019-02-26T02:49:00Z</dcterms:modified>
</cp:coreProperties>
</file>